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9153" w:type="dxa"/>
        <w:tblInd w:w="0" w:type="dxa"/>
        <w:tblCellMar>
          <w:top w:w="78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6452"/>
        <w:gridCol w:w="2701"/>
      </w:tblGrid>
      <w:tr w:rsidR="00F15F71">
        <w:trPr>
          <w:trHeight w:val="2235"/>
        </w:trPr>
        <w:tc>
          <w:tcPr>
            <w:tcW w:w="6452" w:type="dxa"/>
            <w:tcBorders>
              <w:top w:val="nil"/>
              <w:left w:val="nil"/>
              <w:bottom w:val="nil"/>
              <w:right w:val="nil"/>
            </w:tcBorders>
          </w:tcPr>
          <w:p w:rsidR="00F15F71" w:rsidRDefault="00F974CD">
            <w:pPr>
              <w:tabs>
                <w:tab w:val="center" w:pos="3826"/>
              </w:tabs>
              <w:spacing w:after="0" w:line="259" w:lineRule="auto"/>
              <w:ind w:left="0" w:firstLine="0"/>
              <w:jc w:val="left"/>
            </w:pPr>
            <w:bookmarkStart w:id="0" w:name="_GoBack"/>
            <w:bookmarkEnd w:id="0"/>
            <w:r>
              <w:t xml:space="preserve">Утверждено: </w:t>
            </w:r>
            <w:r>
              <w:rPr>
                <w:b/>
                <w:sz w:val="28"/>
              </w:rPr>
              <w:t xml:space="preserve"> </w:t>
            </w:r>
            <w:r>
              <w:rPr>
                <w:b/>
                <w:sz w:val="28"/>
              </w:rPr>
              <w:tab/>
            </w:r>
            <w:r>
              <w:t xml:space="preserve">Утверждено: </w:t>
            </w:r>
            <w:r>
              <w:rPr>
                <w:b/>
                <w:sz w:val="28"/>
              </w:rPr>
              <w:t xml:space="preserve"> </w:t>
            </w:r>
          </w:p>
          <w:p w:rsidR="00F15F71" w:rsidRDefault="00F974CD">
            <w:pPr>
              <w:tabs>
                <w:tab w:val="center" w:pos="3751"/>
              </w:tabs>
              <w:spacing w:after="28" w:line="259" w:lineRule="auto"/>
              <w:ind w:left="0" w:firstLine="0"/>
              <w:jc w:val="left"/>
            </w:pPr>
            <w:r>
              <w:t xml:space="preserve">Российская ассоциация </w:t>
            </w:r>
            <w:r>
              <w:tab/>
              <w:t xml:space="preserve">Российское </w:t>
            </w:r>
          </w:p>
          <w:p w:rsidR="00F15F71" w:rsidRDefault="00F974CD">
            <w:pPr>
              <w:tabs>
                <w:tab w:val="center" w:pos="3929"/>
              </w:tabs>
              <w:spacing w:after="28" w:line="259" w:lineRule="auto"/>
              <w:ind w:left="0" w:firstLine="0"/>
              <w:jc w:val="left"/>
            </w:pPr>
            <w:r>
              <w:t xml:space="preserve">аллергологов </w:t>
            </w:r>
            <w:r>
              <w:tab/>
              <w:t xml:space="preserve">Респираторное </w:t>
            </w:r>
          </w:p>
          <w:p w:rsidR="00F15F71" w:rsidRDefault="00F974CD">
            <w:pPr>
              <w:spacing w:after="1" w:line="281" w:lineRule="auto"/>
              <w:ind w:left="0" w:right="877" w:firstLine="0"/>
              <w:jc w:val="left"/>
            </w:pPr>
            <w:r>
              <w:t xml:space="preserve"> и клинических </w:t>
            </w:r>
            <w:r>
              <w:tab/>
              <w:t xml:space="preserve">общество иммунологов </w:t>
            </w:r>
            <w:r>
              <w:tab/>
              <w:t xml:space="preserve"> </w:t>
            </w:r>
          </w:p>
          <w:p w:rsidR="00F15F71" w:rsidRDefault="00F974CD">
            <w:pPr>
              <w:tabs>
                <w:tab w:val="center" w:pos="4543"/>
              </w:tabs>
              <w:spacing w:after="0" w:line="259" w:lineRule="auto"/>
              <w:ind w:left="0" w:firstLine="0"/>
              <w:jc w:val="left"/>
            </w:pPr>
            <w:r>
              <w:t xml:space="preserve">Протокол от ________2024г </w:t>
            </w:r>
            <w:r>
              <w:tab/>
              <w:t xml:space="preserve">Протокол от _______2024г </w:t>
            </w:r>
          </w:p>
          <w:p w:rsidR="00F15F71" w:rsidRDefault="00F974CD">
            <w:pPr>
              <w:spacing w:after="20" w:line="259" w:lineRule="auto"/>
              <w:ind w:left="0" w:firstLine="0"/>
              <w:jc w:val="left"/>
            </w:pPr>
            <w:r>
              <w:t xml:space="preserve">________________________  _______________________ </w:t>
            </w:r>
          </w:p>
          <w:p w:rsidR="00F15F71" w:rsidRDefault="00F974CD">
            <w:pPr>
              <w:tabs>
                <w:tab w:val="center" w:pos="3952"/>
              </w:tabs>
              <w:spacing w:after="0" w:line="259" w:lineRule="auto"/>
              <w:ind w:left="0" w:firstLine="0"/>
              <w:jc w:val="left"/>
            </w:pPr>
            <w:r>
              <w:t>М.Р.Хаитов</w:t>
            </w:r>
            <w:r>
              <w:rPr>
                <w:b/>
              </w:rPr>
              <w:t xml:space="preserve"> </w:t>
            </w:r>
            <w:r>
              <w:rPr>
                <w:b/>
              </w:rPr>
              <w:tab/>
              <w:t xml:space="preserve"> </w:t>
            </w:r>
            <w:r>
              <w:t>А.С.Белевский</w:t>
            </w:r>
            <w:r>
              <w:rPr>
                <w:b/>
              </w:rPr>
              <w:t xml:space="preserve"> </w:t>
            </w:r>
          </w:p>
        </w:tc>
        <w:tc>
          <w:tcPr>
            <w:tcW w:w="2701" w:type="dxa"/>
            <w:tcBorders>
              <w:top w:val="nil"/>
              <w:left w:val="nil"/>
              <w:bottom w:val="nil"/>
              <w:right w:val="nil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Утверждено: </w:t>
            </w:r>
            <w:r>
              <w:rPr>
                <w:b/>
                <w:sz w:val="28"/>
              </w:rPr>
              <w:t xml:space="preserve">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Союз педиатров России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20" w:line="259" w:lineRule="auto"/>
              <w:ind w:left="0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45" w:line="238" w:lineRule="auto"/>
              <w:ind w:left="0" w:firstLine="0"/>
              <w:jc w:val="left"/>
            </w:pPr>
            <w:r>
              <w:t xml:space="preserve">Протокол от ______2024г ______________________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Л.С.Намазова-Баранова </w:t>
            </w:r>
          </w:p>
        </w:tc>
      </w:tr>
    </w:tbl>
    <w:p w:rsidR="00F15F71" w:rsidRDefault="00F974CD">
      <w:pPr>
        <w:spacing w:after="684" w:line="259" w:lineRule="auto"/>
        <w:ind w:left="819" w:firstLine="0"/>
        <w:jc w:val="center"/>
      </w:pPr>
      <w:r>
        <w:rPr>
          <w:sz w:val="28"/>
        </w:rPr>
        <w:t xml:space="preserve"> </w:t>
      </w:r>
    </w:p>
    <w:p w:rsidR="00F15F71" w:rsidRDefault="00F974CD">
      <w:pPr>
        <w:spacing w:after="95" w:line="259" w:lineRule="auto"/>
        <w:ind w:left="748" w:firstLine="0"/>
        <w:jc w:val="center"/>
      </w:pPr>
      <w:r>
        <w:rPr>
          <w:color w:val="808080"/>
        </w:rPr>
        <w:t xml:space="preserve">Клинические </w:t>
      </w:r>
      <w:r>
        <w:rPr>
          <w:color w:val="767171"/>
        </w:rPr>
        <w:t>рекомендации</w:t>
      </w:r>
      <w:r>
        <w:rPr>
          <w:b/>
          <w:sz w:val="44"/>
        </w:rPr>
        <w:t xml:space="preserve"> </w:t>
      </w:r>
    </w:p>
    <w:p w:rsidR="00F15F71" w:rsidRDefault="00F974CD">
      <w:pPr>
        <w:spacing w:after="1037" w:line="259" w:lineRule="auto"/>
        <w:ind w:left="744" w:firstLine="0"/>
        <w:jc w:val="center"/>
      </w:pPr>
      <w:r>
        <w:rPr>
          <w:b/>
          <w:sz w:val="44"/>
        </w:rPr>
        <w:t>Бронхиальная астма</w:t>
      </w:r>
      <w:r>
        <w:rPr>
          <w:sz w:val="28"/>
        </w:rPr>
        <w:t xml:space="preserve"> </w:t>
      </w:r>
    </w:p>
    <w:p w:rsidR="00F15F71" w:rsidRDefault="00F974CD">
      <w:pPr>
        <w:spacing w:after="55" w:line="259" w:lineRule="auto"/>
        <w:ind w:left="223" w:right="4642" w:hanging="192"/>
        <w:jc w:val="left"/>
      </w:pPr>
      <w:r>
        <w:rPr>
          <w:color w:val="808080"/>
        </w:rPr>
        <w:t xml:space="preserve">Кодирование по Международной </w:t>
      </w:r>
      <w:r>
        <w:t xml:space="preserve"> </w:t>
      </w:r>
      <w:r>
        <w:rPr>
          <w:color w:val="808080"/>
        </w:rPr>
        <w:t xml:space="preserve">статистической классификации </w:t>
      </w:r>
      <w:r>
        <w:t xml:space="preserve"> </w:t>
      </w:r>
      <w:r>
        <w:rPr>
          <w:color w:val="808080"/>
        </w:rPr>
        <w:t xml:space="preserve">болезней и проблем, связанных </w:t>
      </w:r>
      <w:r>
        <w:t xml:space="preserve"> </w:t>
      </w:r>
    </w:p>
    <w:p w:rsidR="00F15F71" w:rsidRDefault="00F974CD">
      <w:pPr>
        <w:spacing w:line="259" w:lineRule="auto"/>
        <w:ind w:right="841"/>
      </w:pPr>
      <w:r>
        <w:rPr>
          <w:color w:val="808080"/>
        </w:rPr>
        <w:t xml:space="preserve">со здоровьем:  </w:t>
      </w:r>
      <w:r>
        <w:t xml:space="preserve">J45.0, J45.1, J45.8, J45.9, J46 </w:t>
      </w:r>
    </w:p>
    <w:p w:rsidR="00F15F71" w:rsidRDefault="00F974CD">
      <w:pPr>
        <w:spacing w:after="259" w:line="259" w:lineRule="auto"/>
        <w:ind w:left="3517" w:firstLine="0"/>
        <w:jc w:val="left"/>
      </w:pPr>
      <w:r>
        <w:t xml:space="preserve"> </w:t>
      </w:r>
    </w:p>
    <w:p w:rsidR="00F15F71" w:rsidRDefault="00F974CD">
      <w:pPr>
        <w:spacing w:after="792" w:line="259" w:lineRule="auto"/>
        <w:ind w:left="1529" w:firstLine="0"/>
        <w:jc w:val="left"/>
      </w:pPr>
      <w:r>
        <w:rPr>
          <w:color w:val="767171"/>
        </w:rPr>
        <w:t>Возрастная группа:</w:t>
      </w:r>
      <w:r>
        <w:rPr>
          <w:color w:val="808080"/>
        </w:rPr>
        <w:t xml:space="preserve"> </w:t>
      </w:r>
      <w:r>
        <w:t xml:space="preserve">дети/взрослые </w:t>
      </w:r>
    </w:p>
    <w:p w:rsidR="00F15F71" w:rsidRDefault="00F974CD">
      <w:pPr>
        <w:spacing w:after="55" w:line="259" w:lineRule="auto"/>
        <w:ind w:left="1692" w:right="4642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5992114</wp:posOffset>
                </wp:positionH>
                <wp:positionV relativeFrom="page">
                  <wp:posOffset>-115976</wp:posOffset>
                </wp:positionV>
                <wp:extent cx="38100" cy="168707"/>
                <wp:effectExtent l="0" t="0" r="0" b="0"/>
                <wp:wrapTopAndBottom/>
                <wp:docPr id="218594" name="Group 218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100" cy="168707"/>
                          <a:chOff x="0" y="0"/>
                          <a:chExt cx="38100" cy="168707"/>
                        </a:xfrm>
                      </wpg:grpSpPr>
                      <wps:wsp>
                        <wps:cNvPr id="7" name="Rectangle 7"/>
                        <wps:cNvSpPr/>
                        <wps:spPr>
                          <a:xfrm>
                            <a:off x="0" y="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18594" style="width:3pt;height:13.284pt;position:absolute;mso-position-horizontal-relative:page;mso-position-horizontal:absolute;margin-left:471.82pt;mso-position-vertical-relative:page;margin-top:-9.13202pt;" coordsize="381,1687">
                <v:rect id="Rectangle 7" style="position:absolute;width:506;height:2243;left: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rPr>
          <w:color w:val="808080"/>
        </w:rPr>
        <w:t xml:space="preserve">Год утверждения: </w:t>
      </w:r>
      <w:r>
        <w:rPr>
          <w:b/>
        </w:rPr>
        <w:t xml:space="preserve">2024 </w:t>
      </w:r>
    </w:p>
    <w:p w:rsidR="00F15F71" w:rsidRDefault="00F974CD">
      <w:pPr>
        <w:spacing w:after="16" w:line="259" w:lineRule="auto"/>
        <w:ind w:left="958" w:right="4642"/>
        <w:jc w:val="left"/>
      </w:pPr>
      <w:r>
        <w:rPr>
          <w:color w:val="808080"/>
        </w:rPr>
        <w:t xml:space="preserve">Год окончания действия: </w:t>
      </w:r>
      <w:r>
        <w:rPr>
          <w:b/>
        </w:rPr>
        <w:t xml:space="preserve">2027 </w:t>
      </w:r>
    </w:p>
    <w:p w:rsidR="00F15F71" w:rsidRDefault="00F974CD">
      <w:pPr>
        <w:spacing w:after="204" w:line="259" w:lineRule="auto"/>
        <w:ind w:left="3733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257" w:line="259" w:lineRule="auto"/>
        <w:ind w:left="41" w:right="4642"/>
        <w:jc w:val="left"/>
      </w:pPr>
      <w:r>
        <w:rPr>
          <w:color w:val="808080"/>
        </w:rPr>
        <w:t xml:space="preserve">Разработчик клинической рекомендации: </w:t>
      </w:r>
    </w:p>
    <w:p w:rsidR="00F15F71" w:rsidRDefault="00F974CD">
      <w:pPr>
        <w:numPr>
          <w:ilvl w:val="0"/>
          <w:numId w:val="1"/>
        </w:numPr>
        <w:spacing w:after="160" w:line="259" w:lineRule="auto"/>
        <w:ind w:right="841" w:hanging="360"/>
      </w:pPr>
      <w:r>
        <w:t xml:space="preserve">Российская ассоциация </w:t>
      </w:r>
      <w:r>
        <w:t>аллергологов и клинических иммунологов</w:t>
      </w:r>
      <w:r>
        <w:rPr>
          <w:b/>
          <w:sz w:val="28"/>
        </w:rPr>
        <w:t xml:space="preserve"> </w:t>
      </w:r>
    </w:p>
    <w:p w:rsidR="00F15F71" w:rsidRDefault="00F974CD">
      <w:pPr>
        <w:numPr>
          <w:ilvl w:val="0"/>
          <w:numId w:val="1"/>
        </w:numPr>
        <w:spacing w:after="160" w:line="259" w:lineRule="auto"/>
        <w:ind w:right="841" w:hanging="360"/>
      </w:pPr>
      <w:r>
        <w:t>Российское респираторное общество</w:t>
      </w:r>
      <w:r>
        <w:rPr>
          <w:b/>
          <w:sz w:val="28"/>
        </w:rPr>
        <w:t xml:space="preserve"> </w:t>
      </w:r>
    </w:p>
    <w:p w:rsidR="00F15F71" w:rsidRDefault="00F974CD">
      <w:pPr>
        <w:numPr>
          <w:ilvl w:val="0"/>
          <w:numId w:val="1"/>
        </w:numPr>
        <w:spacing w:line="259" w:lineRule="auto"/>
        <w:ind w:right="841" w:hanging="360"/>
      </w:pPr>
      <w:r>
        <w:t>Союз педиатров России</w:t>
      </w:r>
      <w:r>
        <w:rPr>
          <w:b/>
          <w:sz w:val="28"/>
        </w:rPr>
        <w:t xml:space="preserve"> </w:t>
      </w:r>
    </w:p>
    <w:p w:rsidR="00F15F71" w:rsidRDefault="00F974CD">
      <w:pPr>
        <w:spacing w:after="179" w:line="259" w:lineRule="auto"/>
        <w:ind w:left="46" w:firstLine="0"/>
        <w:jc w:val="left"/>
      </w:pPr>
      <w:r>
        <w:rPr>
          <w:color w:val="FF0000"/>
          <w:sz w:val="20"/>
        </w:rPr>
        <w:t xml:space="preserve"> </w:t>
      </w:r>
    </w:p>
    <w:p w:rsidR="00F15F71" w:rsidRDefault="00F974CD">
      <w:pPr>
        <w:spacing w:line="259" w:lineRule="auto"/>
        <w:ind w:left="1976" w:right="841"/>
      </w:pPr>
      <w:r>
        <w:t xml:space="preserve">Одобрено на заседании научно-практического совета </w:t>
      </w:r>
    </w:p>
    <w:p w:rsidR="00F15F71" w:rsidRDefault="00F974CD">
      <w:pPr>
        <w:spacing w:line="259" w:lineRule="auto"/>
        <w:ind w:left="1846" w:right="841"/>
      </w:pPr>
      <w:r>
        <w:t xml:space="preserve">Министерства здравоохранения Российской Федерации </w:t>
      </w:r>
    </w:p>
    <w:p w:rsidR="00F15F71" w:rsidRDefault="00F974CD">
      <w:pPr>
        <w:spacing w:after="155" w:line="259" w:lineRule="auto"/>
        <w:ind w:left="716" w:right="671"/>
        <w:jc w:val="center"/>
      </w:pPr>
      <w:r>
        <w:t>(протокол от ____________ № ________)</w:t>
      </w:r>
      <w:r>
        <w:rPr>
          <w:color w:val="808080"/>
        </w:rPr>
        <w:t xml:space="preserve"> </w:t>
      </w:r>
    </w:p>
    <w:p w:rsidR="00F15F71" w:rsidRDefault="00F974CD">
      <w:pPr>
        <w:spacing w:after="133" w:line="259" w:lineRule="auto"/>
        <w:ind w:left="754" w:firstLine="0"/>
        <w:jc w:val="left"/>
      </w:pPr>
      <w:r>
        <w:rPr>
          <w:b/>
          <w:sz w:val="28"/>
        </w:rPr>
        <w:t xml:space="preserve"> </w:t>
      </w:r>
    </w:p>
    <w:p w:rsidR="00F15F71" w:rsidRDefault="00F974CD">
      <w:pPr>
        <w:spacing w:after="131" w:line="259" w:lineRule="auto"/>
        <w:ind w:left="46" w:firstLine="0"/>
        <w:jc w:val="left"/>
      </w:pPr>
      <w:r>
        <w:rPr>
          <w:b/>
          <w:sz w:val="28"/>
        </w:rPr>
        <w:t xml:space="preserve"> </w:t>
      </w:r>
    </w:p>
    <w:p w:rsidR="00F15F71" w:rsidRDefault="00F974CD">
      <w:pPr>
        <w:spacing w:after="93" w:line="259" w:lineRule="auto"/>
        <w:ind w:left="46" w:firstLine="0"/>
        <w:jc w:val="left"/>
      </w:pPr>
      <w:r>
        <w:rPr>
          <w:b/>
          <w:sz w:val="28"/>
        </w:rPr>
        <w:t xml:space="preserve"> </w:t>
      </w:r>
    </w:p>
    <w:p w:rsidR="00F15F71" w:rsidRDefault="00F974CD">
      <w:pPr>
        <w:spacing w:after="0" w:line="259" w:lineRule="auto"/>
        <w:ind w:left="98" w:firstLine="0"/>
        <w:jc w:val="center"/>
      </w:pPr>
      <w:r>
        <w:t xml:space="preserve"> </w:t>
      </w:r>
    </w:p>
    <w:p w:rsidR="00F15F71" w:rsidRDefault="00F974CD">
      <w:pPr>
        <w:pStyle w:val="Heading1"/>
        <w:spacing w:after="25"/>
        <w:ind w:left="716" w:right="712"/>
      </w:pPr>
      <w:bookmarkStart w:id="1" w:name="_Toc275158"/>
      <w:r>
        <w:rPr>
          <w:sz w:val="24"/>
        </w:rPr>
        <w:t xml:space="preserve">Оглавление </w:t>
      </w:r>
      <w:bookmarkEnd w:id="1"/>
    </w:p>
    <w:sdt>
      <w:sdtPr>
        <w:id w:val="-315961542"/>
        <w:docPartObj>
          <w:docPartGallery w:val="Table of Contents"/>
        </w:docPartObj>
      </w:sdtPr>
      <w:sdtEndPr/>
      <w:sdtContent>
        <w:p w:rsidR="00F15F71" w:rsidRDefault="00F974CD">
          <w:pPr>
            <w:pStyle w:val="TOC1"/>
            <w:tabs>
              <w:tab w:val="right" w:leader="dot" w:pos="9362"/>
            </w:tabs>
          </w:pPr>
          <w:r>
            <w:fldChar w:fldCharType="begin"/>
          </w:r>
          <w:r>
            <w:instrText xml:space="preserve"> TOC \o "1-5" \h \z \u </w:instrText>
          </w:r>
          <w:r>
            <w:fldChar w:fldCharType="separate"/>
          </w:r>
          <w:hyperlink w:anchor="_Toc275158">
            <w:r>
              <w:t>Оглавление</w:t>
            </w:r>
            <w:r>
              <w:tab/>
            </w:r>
            <w:r>
              <w:fldChar w:fldCharType="begin"/>
            </w:r>
            <w:r>
              <w:instrText>PAGEREF _Toc275158 \h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59">
            <w:r>
              <w:t>Список сокращений</w:t>
            </w:r>
            <w:r>
              <w:tab/>
            </w:r>
            <w:r>
              <w:fldChar w:fldCharType="begin"/>
            </w:r>
            <w:r>
              <w:instrText>PAGEREF _Toc275159 \h</w:instrText>
            </w:r>
            <w:r>
              <w:fldChar w:fldCharType="separate"/>
            </w:r>
            <w:r>
              <w:t xml:space="preserve">6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60">
            <w:r>
              <w:t>Термины и определения</w:t>
            </w:r>
            <w:r>
              <w:tab/>
            </w:r>
            <w:r>
              <w:fldChar w:fldCharType="begin"/>
            </w:r>
            <w:r>
              <w:instrText>PAGEREF _Toc275160 \h</w:instrText>
            </w:r>
            <w:r>
              <w:fldChar w:fldCharType="separate"/>
            </w:r>
            <w:r>
              <w:t xml:space="preserve">9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61">
            <w:r>
              <w:t>1. Краткая информация по забо</w:t>
            </w:r>
            <w:r>
              <w:t xml:space="preserve">леванию или состоянию (группе заболеваний или </w:t>
            </w:r>
            <w:r>
              <w:tab/>
            </w:r>
            <w:r>
              <w:fldChar w:fldCharType="begin"/>
            </w:r>
            <w:r>
              <w:instrText>PAGEREF _Toc275161 \h</w:instrTex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62">
            <w:r>
              <w:t>состояний)</w:t>
            </w:r>
            <w:r>
              <w:tab/>
            </w:r>
            <w:r>
              <w:fldChar w:fldCharType="begin"/>
            </w:r>
            <w:r>
              <w:instrText>PAGEREF _Toc275162 \h</w:instrText>
            </w:r>
            <w:r>
              <w:fldChar w:fldCharType="separate"/>
            </w:r>
            <w:r>
              <w:t xml:space="preserve">10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63">
            <w:r>
              <w:t>1.1 Определение заболевания или состояния (группы заболеваний или состояний)</w:t>
            </w:r>
            <w:r>
              <w:tab/>
            </w:r>
            <w:r>
              <w:fldChar w:fldCharType="begin"/>
            </w:r>
            <w:r>
              <w:instrText>PAGEREF _Toc275163 \h</w:instrText>
            </w:r>
            <w:r>
              <w:fldChar w:fldCharType="separate"/>
            </w:r>
            <w:r>
              <w:t xml:space="preserve">10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64">
            <w:r>
              <w:t>1.2 Этиология и патогенез заболевания или состояния (группы заболеваний или состояний)</w:t>
            </w:r>
            <w:r>
              <w:tab/>
            </w:r>
            <w:r>
              <w:fldChar w:fldCharType="begin"/>
            </w:r>
            <w:r>
              <w:instrText>PAGEREF _Toc275164 \h</w:instrText>
            </w:r>
            <w:r>
              <w:fldChar w:fldCharType="separate"/>
            </w:r>
            <w:r>
              <w:t xml:space="preserve">10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65">
            <w:r>
              <w:t>1.3 Эпидемиология заболевания или состояния (группы заболеваний или состояний)</w:t>
            </w:r>
            <w:r>
              <w:tab/>
            </w:r>
            <w:r>
              <w:fldChar w:fldCharType="begin"/>
            </w:r>
            <w:r>
              <w:instrText>PAGEREF _Toc275165 \h</w:instrText>
            </w:r>
            <w:r>
              <w:fldChar w:fldCharType="separate"/>
            </w:r>
            <w:r>
              <w:t xml:space="preserve">12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66">
            <w:r>
              <w:t>1.4 О</w:t>
            </w:r>
            <w:r>
              <w:t>собенности кодирования заболевания или состояния (группы заболеваний или состояний) по Международной статистической классификации болезней и проблем, связанных со здоровьем</w:t>
            </w:r>
            <w:r>
              <w:tab/>
            </w:r>
            <w:r>
              <w:fldChar w:fldCharType="begin"/>
            </w:r>
            <w:r>
              <w:instrText>PAGEREF _Toc275166 \h</w:instrText>
            </w:r>
            <w:r>
              <w:fldChar w:fldCharType="separate"/>
            </w:r>
            <w:r>
              <w:t xml:space="preserve">13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67">
            <w:r>
              <w:t>1.5 Классификация заболевания или состояния (группы заболеваний или состояний)</w:t>
            </w:r>
            <w:r>
              <w:tab/>
            </w:r>
            <w:r>
              <w:fldChar w:fldCharType="begin"/>
            </w:r>
            <w:r>
              <w:instrText>PAGEREF _Toc275167 \h</w:instrText>
            </w:r>
            <w:r>
              <w:fldChar w:fldCharType="separate"/>
            </w:r>
            <w:r>
              <w:t xml:space="preserve">13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68">
            <w:r>
              <w:t>1.6 Клиническая</w:t>
            </w:r>
            <w:r>
              <w:t xml:space="preserve"> картина заболевания или состояния (группы заболеваний или </w:t>
            </w:r>
            <w:r>
              <w:tab/>
            </w:r>
            <w:r>
              <w:fldChar w:fldCharType="begin"/>
            </w:r>
            <w:r>
              <w:instrText>PAGEREF _Toc275168 \h</w:instrText>
            </w:r>
            <w:r>
              <w:fldChar w:fldCharType="end"/>
            </w:r>
          </w:hyperlink>
        </w:p>
        <w:p w:rsidR="00F15F71" w:rsidRDefault="00F974CD">
          <w:pPr>
            <w:pStyle w:val="TOC3"/>
            <w:tabs>
              <w:tab w:val="right" w:leader="dot" w:pos="9362"/>
            </w:tabs>
          </w:pPr>
          <w:hyperlink w:anchor="_Toc275169">
            <w:r>
              <w:t>состояний)</w:t>
            </w:r>
            <w:r>
              <w:tab/>
            </w:r>
            <w:r>
              <w:fldChar w:fldCharType="begin"/>
            </w:r>
            <w:r>
              <w:instrText>PAGEREF _Toc275169 \h</w:instrText>
            </w:r>
            <w:r>
              <w:fldChar w:fldCharType="separate"/>
            </w:r>
            <w:r>
              <w:t xml:space="preserve">19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70">
            <w:r>
              <w:t>2. Диагностика заболевания или состояния (группы заболеваний или состояний), медицинские показания и противопоказания к применению методов диагностики</w:t>
            </w:r>
            <w:r>
              <w:tab/>
            </w:r>
            <w:r>
              <w:fldChar w:fldCharType="begin"/>
            </w:r>
            <w:r>
              <w:instrText>PAGEREF _Toc275170 \h</w:instrText>
            </w:r>
            <w:r>
              <w:fldChar w:fldCharType="separate"/>
            </w:r>
            <w:r>
              <w:t xml:space="preserve">22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71">
            <w:r>
              <w:t>2.1 Жалобы и анамнез</w:t>
            </w:r>
            <w:r>
              <w:tab/>
            </w:r>
            <w:r>
              <w:fldChar w:fldCharType="begin"/>
            </w:r>
            <w:r>
              <w:instrText>PAGEREF _Toc275171 \h</w:instrText>
            </w:r>
            <w:r>
              <w:fldChar w:fldCharType="separate"/>
            </w:r>
            <w:r>
              <w:t xml:space="preserve">24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72">
            <w:r>
              <w:t>2.2 Физикальное обследование</w:t>
            </w:r>
            <w:r>
              <w:tab/>
            </w:r>
            <w:r>
              <w:fldChar w:fldCharType="begin"/>
            </w:r>
            <w:r>
              <w:instrText>PAGEREF _Toc275172 \h</w:instrText>
            </w:r>
            <w:r>
              <w:fldChar w:fldCharType="separate"/>
            </w:r>
            <w:r>
              <w:t xml:space="preserve">26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73">
            <w:r>
              <w:t>2.3 Лабор</w:t>
            </w:r>
            <w:r>
              <w:t>аторные диагностические исследования</w:t>
            </w:r>
            <w:r>
              <w:tab/>
            </w:r>
            <w:r>
              <w:fldChar w:fldCharType="begin"/>
            </w:r>
            <w:r>
              <w:instrText>PAGEREF _Toc275173 \h</w:instrText>
            </w:r>
            <w:r>
              <w:fldChar w:fldCharType="separate"/>
            </w:r>
            <w:r>
              <w:t xml:space="preserve">28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74">
            <w:r>
              <w:t>2.4 Инструментальные диагностические исследования</w:t>
            </w:r>
            <w:r>
              <w:tab/>
            </w:r>
            <w:r>
              <w:fldChar w:fldCharType="begin"/>
            </w:r>
            <w:r>
              <w:instrText>PAGEREF _Toc275174 \h</w:instrText>
            </w:r>
            <w:r>
              <w:fldChar w:fldCharType="separate"/>
            </w:r>
            <w:r>
              <w:t xml:space="preserve">33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75">
            <w:r>
              <w:t>2.5 Иные диагностические исследования</w:t>
            </w:r>
            <w:r>
              <w:tab/>
            </w:r>
            <w:r>
              <w:fldChar w:fldCharType="begin"/>
            </w:r>
            <w:r>
              <w:instrText>PAGEREF _Toc275175 \h</w:instrText>
            </w:r>
            <w:r>
              <w:fldChar w:fldCharType="separate"/>
            </w:r>
            <w:r>
              <w:t xml:space="preserve">40 </w:t>
            </w:r>
            <w:r>
              <w:fldChar w:fldCharType="end"/>
            </w:r>
          </w:hyperlink>
        </w:p>
        <w:p w:rsidR="00F15F71" w:rsidRDefault="00F974CD">
          <w:pPr>
            <w:pStyle w:val="TOC5"/>
            <w:tabs>
              <w:tab w:val="right" w:leader="dot" w:pos="9362"/>
            </w:tabs>
          </w:pPr>
          <w:hyperlink w:anchor="_Toc275176">
            <w:r>
              <w:t>2.5.1 Диагностика про</w:t>
            </w:r>
            <w:r>
              <w:t>фессиональной БА</w:t>
            </w:r>
            <w:r>
              <w:tab/>
            </w:r>
            <w:r>
              <w:fldChar w:fldCharType="begin"/>
            </w:r>
            <w:r>
              <w:instrText>PAGEREF _Toc275176 \h</w:instrText>
            </w:r>
            <w:r>
              <w:fldChar w:fldCharType="separate"/>
            </w:r>
            <w:r>
              <w:t xml:space="preserve">41 </w:t>
            </w:r>
            <w:r>
              <w:fldChar w:fldCharType="end"/>
            </w:r>
          </w:hyperlink>
        </w:p>
        <w:p w:rsidR="00F15F71" w:rsidRDefault="00F974CD">
          <w:pPr>
            <w:pStyle w:val="TOC5"/>
            <w:tabs>
              <w:tab w:val="right" w:leader="dot" w:pos="9362"/>
            </w:tabs>
          </w:pPr>
          <w:hyperlink w:anchor="_Toc275177">
            <w:r>
              <w:t>2.5.2 Подтверждение диагноза БА у лиц, подлежащих призыву на военную службу</w:t>
            </w:r>
            <w:r>
              <w:tab/>
            </w:r>
            <w:r>
              <w:fldChar w:fldCharType="begin"/>
            </w:r>
            <w:r>
              <w:instrText>PAGEREF _Toc275177 \h</w:instrText>
            </w:r>
            <w:r>
              <w:fldChar w:fldCharType="separate"/>
            </w:r>
            <w:r>
              <w:t xml:space="preserve">42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78">
            <w:r>
              <w:t>2.6 Дифференциальная диагностика БА</w:t>
            </w:r>
            <w:r>
              <w:tab/>
            </w:r>
            <w:r>
              <w:fldChar w:fldCharType="begin"/>
            </w:r>
            <w:r>
              <w:instrText>PAGEREF _Toc275178 \h</w:instrText>
            </w:r>
            <w:r>
              <w:fldChar w:fldCharType="separate"/>
            </w:r>
            <w:r>
              <w:t xml:space="preserve">43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79">
            <w:r>
              <w:t>3. Лечение, включая медикаментозную и немедикаментозную терапии, диетотерапию, обезболивание, медицинские показания и противопоказания к применению методов лечения</w:t>
            </w:r>
            <w:r>
              <w:tab/>
            </w:r>
            <w:r>
              <w:fldChar w:fldCharType="begin"/>
            </w:r>
            <w:r>
              <w:instrText>PAGEREF _Toc275179 \h</w:instrText>
            </w:r>
            <w:r>
              <w:fldChar w:fldCharType="separate"/>
            </w:r>
            <w:r>
              <w:t xml:space="preserve">44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80">
            <w:r>
              <w:t>3.1 Медикаментозная терапия</w:t>
            </w:r>
            <w:r>
              <w:tab/>
            </w:r>
            <w:r>
              <w:fldChar w:fldCharType="begin"/>
            </w:r>
            <w:r>
              <w:instrText>PAGEREF _Toc275180 \h</w:instrText>
            </w:r>
            <w:r>
              <w:fldChar w:fldCharType="separate"/>
            </w:r>
            <w:r>
              <w:t xml:space="preserve">44 </w:t>
            </w:r>
            <w:r>
              <w:fldChar w:fldCharType="end"/>
            </w:r>
          </w:hyperlink>
        </w:p>
        <w:p w:rsidR="00F15F71" w:rsidRDefault="00F974CD">
          <w:pPr>
            <w:pStyle w:val="TOC5"/>
            <w:tabs>
              <w:tab w:val="right" w:leader="dot" w:pos="9362"/>
            </w:tabs>
          </w:pPr>
          <w:hyperlink w:anchor="_Toc275181">
            <w:r>
              <w:t>3.1.1 Лечение стабильной астмы</w:t>
            </w:r>
            <w:r>
              <w:tab/>
            </w:r>
            <w:r>
              <w:fldChar w:fldCharType="begin"/>
            </w:r>
            <w:r>
              <w:instrText>PAGEREF _Toc275181 \h</w:instrText>
            </w:r>
            <w:r>
              <w:fldChar w:fldCharType="separate"/>
            </w:r>
            <w:r>
              <w:t>44</w:t>
            </w:r>
            <w:r>
              <w:fldChar w:fldCharType="end"/>
            </w:r>
          </w:hyperlink>
        </w:p>
        <w:p w:rsidR="00F15F71" w:rsidRDefault="00F974CD">
          <w:pPr>
            <w:pStyle w:val="TOC5"/>
            <w:tabs>
              <w:tab w:val="right" w:leader="dot" w:pos="9362"/>
            </w:tabs>
          </w:pPr>
          <w:hyperlink w:anchor="_Toc275182">
            <w:r>
              <w:t>3.1.2 Лечение обострений БА</w:t>
            </w:r>
            <w:r>
              <w:tab/>
            </w:r>
            <w:r>
              <w:fldChar w:fldCharType="begin"/>
            </w:r>
            <w:r>
              <w:instrText>PAGEREF _Toc275182 \h</w:instrText>
            </w:r>
            <w:r>
              <w:fldChar w:fldCharType="separate"/>
            </w:r>
            <w:r>
              <w:t>67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83">
            <w:r>
              <w:t>3.2 Респираторная терапия</w:t>
            </w:r>
            <w:r>
              <w:tab/>
            </w:r>
            <w:r>
              <w:fldChar w:fldCharType="begin"/>
            </w:r>
            <w:r>
              <w:instrText>PAG</w:instrText>
            </w:r>
            <w:r>
              <w:instrText>EREF _Toc275183 \h</w:instrText>
            </w:r>
            <w:r>
              <w:fldChar w:fldCharType="separate"/>
            </w:r>
            <w:r>
              <w:t xml:space="preserve">73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84">
            <w:r>
              <w:t>3.3 Элиминационные мероприятия</w:t>
            </w:r>
            <w:r>
              <w:tab/>
            </w:r>
            <w:r>
              <w:fldChar w:fldCharType="begin"/>
            </w:r>
            <w:r>
              <w:instrText>PAGEREF _Toc275184 \h</w:instrText>
            </w:r>
            <w:r>
              <w:fldChar w:fldCharType="separate"/>
            </w:r>
            <w:r>
              <w:t xml:space="preserve">75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85">
            <w:r>
              <w:t>3.4 Аллерген-специфическая иммунотерапия</w:t>
            </w:r>
            <w:r>
              <w:tab/>
            </w:r>
            <w:r>
              <w:fldChar w:fldCharType="begin"/>
            </w:r>
            <w:r>
              <w:instrText>PAGEREF _Toc275185 \h</w:instrText>
            </w:r>
            <w:r>
              <w:fldChar w:fldCharType="separate"/>
            </w:r>
            <w:r>
              <w:t xml:space="preserve">75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86">
            <w:r>
              <w:t>3.5 Хирургическое лечение</w:t>
            </w:r>
            <w:r>
              <w:tab/>
            </w:r>
            <w:r>
              <w:fldChar w:fldCharType="begin"/>
            </w:r>
            <w:r>
              <w:instrText>PAGEREF _Toc275186 \h</w:instrText>
            </w:r>
            <w:r>
              <w:fldChar w:fldCharType="separate"/>
            </w:r>
            <w:r>
              <w:t xml:space="preserve">76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87">
            <w:r>
              <w:t>3.6 Методы нетрадиционной и альтернативной медицины</w:t>
            </w:r>
            <w:r>
              <w:tab/>
            </w:r>
            <w:r>
              <w:fldChar w:fldCharType="begin"/>
            </w:r>
            <w:r>
              <w:instrText>PAGEREF _Toc275187 \h</w:instrText>
            </w:r>
            <w:r>
              <w:fldChar w:fldCharType="separate"/>
            </w:r>
            <w:r>
              <w:t xml:space="preserve">77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188">
            <w:r>
              <w:t>3.7 Особенности лечения БА у беременных и в период грудного вскармливания</w:t>
            </w:r>
            <w:r>
              <w:tab/>
            </w:r>
            <w:r>
              <w:fldChar w:fldCharType="begin"/>
            </w:r>
            <w:r>
              <w:instrText>PAGEREF _Toc275188 \h</w:instrText>
            </w:r>
            <w:r>
              <w:fldChar w:fldCharType="separate"/>
            </w:r>
            <w:r>
              <w:t xml:space="preserve">78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89">
            <w:r>
              <w:t xml:space="preserve">4. Медицинская реабилитация, медицинские показания и противопоказания к применению </w:t>
            </w:r>
            <w:r>
              <w:tab/>
            </w:r>
            <w:r>
              <w:fldChar w:fldCharType="begin"/>
            </w:r>
            <w:r>
              <w:instrText>PAGEREF _Toc275189 \h</w:instrTex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90">
            <w:r>
              <w:t>методов реабилитаци</w:t>
            </w:r>
            <w:r>
              <w:t>и</w:t>
            </w:r>
            <w:r>
              <w:tab/>
            </w:r>
            <w:r>
              <w:fldChar w:fldCharType="begin"/>
            </w:r>
            <w:r>
              <w:instrText>PAGEREF _Toc275190 \h</w:instrText>
            </w:r>
            <w:r>
              <w:fldChar w:fldCharType="separate"/>
            </w:r>
            <w:r>
              <w:t xml:space="preserve">81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91">
            <w:r>
              <w:t xml:space="preserve">5.  Профилактика  и  диспансерное  наблюдение,  медицинские  показания  и </w:t>
            </w:r>
            <w:r>
              <w:tab/>
            </w:r>
            <w:r>
              <w:fldChar w:fldCharType="begin"/>
            </w:r>
            <w:r>
              <w:instrText>PAGEREF _Toc275191 \h</w:instrTex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92">
            <w:r>
              <w:t>противопоказания к применению методов профилактики</w:t>
            </w:r>
            <w:r>
              <w:tab/>
            </w:r>
            <w:r>
              <w:fldChar w:fldCharType="begin"/>
            </w:r>
            <w:r>
              <w:instrText>PAGEREF _Toc275192 \h</w:instrText>
            </w:r>
            <w:r>
              <w:fldChar w:fldCharType="separate"/>
            </w:r>
            <w:r>
              <w:t xml:space="preserve">81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93">
            <w:r>
              <w:t>6. Организация оказ</w:t>
            </w:r>
            <w:r>
              <w:t>ания медицинской помощи</w:t>
            </w:r>
            <w:r>
              <w:tab/>
            </w:r>
            <w:r>
              <w:fldChar w:fldCharType="begin"/>
            </w:r>
            <w:r>
              <w:instrText>PAGEREF _Toc275193 \h</w:instrText>
            </w:r>
            <w:r>
              <w:fldChar w:fldCharType="separate"/>
            </w:r>
            <w:r>
              <w:t xml:space="preserve">86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94">
            <w:r>
              <w:t xml:space="preserve">7. Дополнительная информация (в том числе факторы, влияющие на исход заболевания </w:t>
            </w:r>
            <w:r>
              <w:tab/>
            </w:r>
            <w:r>
              <w:fldChar w:fldCharType="begin"/>
            </w:r>
            <w:r>
              <w:instrText>PAGEREF _Toc275194 \h</w:instrTex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95">
            <w:r>
              <w:t>или состояния)</w:t>
            </w:r>
            <w:r>
              <w:tab/>
            </w:r>
            <w:r>
              <w:fldChar w:fldCharType="begin"/>
            </w:r>
            <w:r>
              <w:instrText>PAGEREF _Toc275195 \h</w:instrText>
            </w:r>
            <w:r>
              <w:fldChar w:fldCharType="separate"/>
            </w:r>
            <w:r>
              <w:t xml:space="preserve">88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96">
            <w:r>
              <w:t>8. Критерии оценки качества медицинской помощи</w:t>
            </w:r>
            <w:r>
              <w:tab/>
            </w:r>
            <w:r>
              <w:fldChar w:fldCharType="begin"/>
            </w:r>
            <w:r>
              <w:instrText>PAGEREF _Toc275196 \h</w:instrText>
            </w:r>
            <w:r>
              <w:fldChar w:fldCharType="separate"/>
            </w:r>
            <w:r>
              <w:t xml:space="preserve">91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97">
            <w:r>
              <w:t>Список литературы</w:t>
            </w:r>
            <w:r>
              <w:tab/>
            </w:r>
            <w:r>
              <w:fldChar w:fldCharType="begin"/>
            </w:r>
            <w:r>
              <w:instrText>PAGEREF _Toc275197 \h</w:instrText>
            </w:r>
            <w:r>
              <w:fldChar w:fldCharType="separate"/>
            </w:r>
            <w:r>
              <w:t xml:space="preserve">94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98">
            <w:r>
              <w:t xml:space="preserve">Приложение А1. Состав рабочей группы по разработке и пересмотру клинических </w:t>
            </w:r>
            <w:r>
              <w:tab/>
            </w:r>
            <w:r>
              <w:fldChar w:fldCharType="begin"/>
            </w:r>
            <w:r>
              <w:instrText xml:space="preserve">PAGEREF </w:instrText>
            </w:r>
            <w:r>
              <w:instrText>_Toc275198 \h</w:instrTex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199">
            <w:r>
              <w:t>рекомендаций</w:t>
            </w:r>
            <w:r>
              <w:tab/>
            </w:r>
            <w:r>
              <w:fldChar w:fldCharType="begin"/>
            </w:r>
            <w:r>
              <w:instrText>PAGEREF _Toc275199 \h</w:instrText>
            </w:r>
            <w:r>
              <w:fldChar w:fldCharType="separate"/>
            </w:r>
            <w:r>
              <w:t xml:space="preserve">139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200">
            <w:r>
              <w:t>Приложени</w:t>
            </w:r>
            <w:r>
              <w:t>е А2. Методология разработки клинических рекомендаций</w:t>
            </w:r>
            <w:r>
              <w:tab/>
            </w:r>
            <w:r>
              <w:fldChar w:fldCharType="begin"/>
            </w:r>
            <w:r>
              <w:instrText>PAGEREF _Toc275200 \h</w:instrText>
            </w:r>
            <w:r>
              <w:fldChar w:fldCharType="separate"/>
            </w:r>
            <w:r>
              <w:t xml:space="preserve">144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201">
            <w:r>
              <w:t>Приложение А3. Справочные материалы, включая соответствие показаний к применени</w:t>
            </w:r>
            <w:r>
              <w:t>ю и противопоказаний, способов применения и доз лекарственных препаратов, инструкции по применению лекарственного препарата</w:t>
            </w:r>
            <w:r>
              <w:tab/>
            </w:r>
            <w:r>
              <w:fldChar w:fldCharType="begin"/>
            </w:r>
            <w:r>
              <w:instrText>PAGEREF _Toc275201 \h</w:instrText>
            </w:r>
            <w:r>
              <w:fldChar w:fldCharType="separate"/>
            </w:r>
            <w:r>
              <w:t xml:space="preserve">147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02">
            <w:r>
              <w:t>Приложени</w:t>
            </w:r>
            <w:r>
              <w:t>е А3.1 Нормативные документы и ресурсы, на основании которых разработаны клинические рекомендации</w:t>
            </w:r>
            <w:r>
              <w:tab/>
            </w:r>
            <w:r>
              <w:fldChar w:fldCharType="begin"/>
            </w:r>
            <w:r>
              <w:instrText>PAGEREF _Toc275202 \h</w:instrText>
            </w:r>
            <w:r>
              <w:fldChar w:fldCharType="separate"/>
            </w:r>
            <w:r>
              <w:t xml:space="preserve">147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03">
            <w:r>
              <w:t xml:space="preserve">Приложение А3.2. Низкие, средние и высокие дозы ИГКС (монопрепарат или в </w:t>
            </w:r>
            <w:r>
              <w:tab/>
            </w:r>
            <w:r>
              <w:fldChar w:fldCharType="begin"/>
            </w:r>
            <w:r>
              <w:instrText>PAGEREF _Toc275203 \h</w:instrText>
            </w:r>
            <w:r>
              <w:fldChar w:fldCharType="end"/>
            </w:r>
          </w:hyperlink>
        </w:p>
        <w:p w:rsidR="00F15F71" w:rsidRDefault="00F974CD">
          <w:pPr>
            <w:pStyle w:val="TOC3"/>
            <w:tabs>
              <w:tab w:val="right" w:leader="dot" w:pos="9362"/>
            </w:tabs>
          </w:pPr>
          <w:hyperlink w:anchor="_Toc275204">
            <w:r>
              <w:t>комбинации с ДДБА) для подростков от 12 лет и взрослых</w:t>
            </w:r>
            <w:r>
              <w:tab/>
            </w:r>
            <w:r>
              <w:fldChar w:fldCharType="begin"/>
            </w:r>
            <w:r>
              <w:instrText xml:space="preserve">PAGEREF </w:instrText>
            </w:r>
            <w:r>
              <w:instrText>_Toc275204 \h</w:instrText>
            </w:r>
            <w:r>
              <w:fldChar w:fldCharType="separate"/>
            </w:r>
            <w:r>
              <w:t xml:space="preserve">149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05">
            <w:r>
              <w:t>Приложение А3.3. Низкие, средние и высокие дозы ИГКС (монопрепарат или в комбинации с ДДБА) для детей от 6 до 11 лет</w:t>
            </w:r>
            <w:r>
              <w:tab/>
            </w:r>
            <w:r>
              <w:fldChar w:fldCharType="begin"/>
            </w:r>
            <w:r>
              <w:instrText>PAGEREF _Toc275205 \h</w:instrText>
            </w:r>
            <w:r>
              <w:fldChar w:fldCharType="separate"/>
            </w:r>
            <w:r>
              <w:t>150</w:t>
            </w:r>
            <w:r>
              <w:t xml:space="preserve">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06">
            <w:r>
              <w:t>Приложение А3.4. Низкие дозы для ежедневного применения у детей младше 5 лет</w:t>
            </w:r>
            <w:r>
              <w:tab/>
            </w:r>
            <w:r>
              <w:fldChar w:fldCharType="begin"/>
            </w:r>
            <w:r>
              <w:instrText>PAGEREF _Toc275206 \h</w:instrText>
            </w:r>
            <w:r>
              <w:fldChar w:fldCharType="separate"/>
            </w:r>
            <w:r>
              <w:t xml:space="preserve">150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207">
            <w:r>
              <w:t>Приложение Б. Алгоритмы действий врача</w:t>
            </w:r>
            <w:r>
              <w:tab/>
            </w:r>
            <w:r>
              <w:fldChar w:fldCharType="begin"/>
            </w:r>
            <w:r>
              <w:instrText>PAGEREF _Toc275207 \h</w:instrText>
            </w:r>
            <w:r>
              <w:fldChar w:fldCharType="separate"/>
            </w:r>
            <w:r>
              <w:t>151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08">
            <w:r>
              <w:t>Приложение Б1. Алгоритм обследования пациента с под</w:t>
            </w:r>
            <w:r>
              <w:t>озрением на БА</w:t>
            </w:r>
            <w:r>
              <w:tab/>
            </w:r>
            <w:r>
              <w:fldChar w:fldCharType="begin"/>
            </w:r>
            <w:r>
              <w:instrText>PAGEREF _Toc275208 \h</w:instrText>
            </w:r>
            <w:r>
              <w:fldChar w:fldCharType="separate"/>
            </w:r>
            <w:r>
              <w:t>151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09">
            <w:r>
              <w:t xml:space="preserve">Приложение Б2. Подтверждение вариабельности дыхательных объемов у детей в </w:t>
            </w:r>
            <w:r>
              <w:tab/>
            </w:r>
            <w:r>
              <w:fldChar w:fldCharType="begin"/>
            </w:r>
            <w:r>
              <w:instrText>PAGEREF _Toc275209 \h</w:instrText>
            </w:r>
            <w:r>
              <w:fldChar w:fldCharType="end"/>
            </w:r>
          </w:hyperlink>
        </w:p>
        <w:p w:rsidR="00F15F71" w:rsidRDefault="00F974CD">
          <w:pPr>
            <w:pStyle w:val="TOC3"/>
            <w:tabs>
              <w:tab w:val="right" w:leader="dot" w:pos="9362"/>
            </w:tabs>
          </w:pPr>
          <w:hyperlink w:anchor="_Toc275210">
            <w:r>
              <w:t>возрасте старше 6 лет и взрослых</w:t>
            </w:r>
            <w:r>
              <w:tab/>
            </w:r>
            <w:r>
              <w:fldChar w:fldCharType="begin"/>
            </w:r>
            <w:r>
              <w:instrText>PAGEREF _Toc275210 \h</w:instrText>
            </w:r>
            <w:r>
              <w:fldChar w:fldCharType="separate"/>
            </w:r>
            <w:r>
              <w:t xml:space="preserve">152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11">
            <w:r>
              <w:t>Приложение Б3. Клинически</w:t>
            </w:r>
            <w:r>
              <w:t>е признаки, повышающие вероятность БА у детей младше 5 лет</w:t>
            </w:r>
            <w:r>
              <w:tab/>
            </w:r>
            <w:r>
              <w:fldChar w:fldCharType="begin"/>
            </w:r>
            <w:r>
              <w:instrText>PAGEREF _Toc275211 \h</w:instrText>
            </w:r>
            <w:r>
              <w:fldChar w:fldCharType="separate"/>
            </w:r>
            <w:r>
              <w:t xml:space="preserve">154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12">
            <w:r>
              <w:t xml:space="preserve">Приложение Б4. </w:t>
            </w:r>
            <w:r>
              <w:t>Клинические признаки, свидетельствующие о высокой вероятности БА у взрослых</w:t>
            </w:r>
            <w:r>
              <w:tab/>
            </w:r>
            <w:r>
              <w:fldChar w:fldCharType="begin"/>
            </w:r>
            <w:r>
              <w:instrText>PAGEREF _Toc275212 \h</w:instrText>
            </w:r>
            <w:r>
              <w:fldChar w:fldCharType="separate"/>
            </w:r>
            <w:r>
              <w:t xml:space="preserve">155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13">
            <w:r>
              <w:t>Приложение Б5. Алгоритм подтверждения БА у пациентов, пол</w:t>
            </w:r>
            <w:r>
              <w:t>учающих пробную терапию ИГКС (дети старше 6 лет и взрослые)</w:t>
            </w:r>
            <w:r>
              <w:tab/>
            </w:r>
            <w:r>
              <w:fldChar w:fldCharType="begin"/>
            </w:r>
            <w:r>
              <w:instrText>PAGEREF _Toc275213 \h</w:instrText>
            </w:r>
            <w:r>
              <w:fldChar w:fldCharType="separate"/>
            </w:r>
            <w:r>
              <w:t xml:space="preserve">156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14">
            <w:r>
              <w:t>Приложение Б6. Алгоритм снижения дозы ИГКС / отмены терапии при подтвержд</w:t>
            </w:r>
            <w:r>
              <w:t>ении диагноза БА</w:t>
            </w:r>
            <w:r>
              <w:tab/>
            </w:r>
            <w:r>
              <w:fldChar w:fldCharType="begin"/>
            </w:r>
            <w:r>
              <w:instrText>PAGEREF _Toc275214 \h</w:instrText>
            </w:r>
            <w:r>
              <w:fldChar w:fldCharType="separate"/>
            </w:r>
            <w:r>
              <w:t xml:space="preserve">158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15">
            <w:r>
              <w:t>Приложение Б7. Алгоритм диагностики профессиональной астмы</w:t>
            </w:r>
            <w:r>
              <w:tab/>
            </w:r>
            <w:r>
              <w:fldChar w:fldCharType="begin"/>
            </w:r>
            <w:r>
              <w:instrText>PAGEREF _Toc275215 \h</w:instrText>
            </w:r>
            <w:r>
              <w:fldChar w:fldCharType="separate"/>
            </w:r>
            <w:r>
              <w:t xml:space="preserve">159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16">
            <w:r>
              <w:t>Приложение Б8. Примеры формулировки клинического диагноза БА</w:t>
            </w:r>
            <w:r>
              <w:tab/>
            </w:r>
            <w:r>
              <w:fldChar w:fldCharType="begin"/>
            </w:r>
            <w:r>
              <w:instrText>PAGEREF _Toc275216 \h</w:instrText>
            </w:r>
            <w:r>
              <w:fldChar w:fldCharType="separate"/>
            </w:r>
            <w:r>
              <w:t xml:space="preserve">159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17">
            <w:r>
              <w:t>Прило</w:t>
            </w:r>
            <w:r>
              <w:t>жение Б9. Дифференциальный диагноз астмы у взрослых, подростков и детей 611 лет</w:t>
            </w:r>
            <w:r>
              <w:tab/>
            </w:r>
            <w:r>
              <w:fldChar w:fldCharType="begin"/>
            </w:r>
            <w:r>
              <w:instrText>PAGEREF _Toc275217 \h</w:instrText>
            </w:r>
            <w:r>
              <w:fldChar w:fldCharType="separate"/>
            </w:r>
            <w:r>
              <w:t xml:space="preserve">161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18">
            <w:r>
              <w:t>Приложение Б10. Дифференциальный диагноз астмы у дете</w:t>
            </w:r>
            <w:r>
              <w:t>й 5 лет и младше</w:t>
            </w:r>
            <w:r>
              <w:tab/>
            </w:r>
            <w:r>
              <w:fldChar w:fldCharType="begin"/>
            </w:r>
            <w:r>
              <w:instrText>PAGEREF _Toc275218 \h</w:instrText>
            </w:r>
            <w:r>
              <w:fldChar w:fldCharType="separate"/>
            </w:r>
            <w:r>
              <w:t xml:space="preserve">163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19">
            <w:r>
              <w:t>Приложение Б11. Алгоритм лечения обострения БА на амбулаторном этапе у взрослых, подростков и детей от 6 до 11 лет</w:t>
            </w:r>
            <w:r>
              <w:tab/>
            </w:r>
            <w:r>
              <w:fldChar w:fldCharType="begin"/>
            </w:r>
            <w:r>
              <w:instrText>PAGEREF _Toc275219 \h</w:instrText>
            </w:r>
            <w:r>
              <w:fldChar w:fldCharType="separate"/>
            </w:r>
            <w:r>
              <w:t xml:space="preserve">164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20">
            <w:r>
              <w:t xml:space="preserve">Приложение Б12. Алгоритм ведения пациентов с обострением БА на госпитальном </w:t>
            </w:r>
            <w:r>
              <w:tab/>
            </w:r>
            <w:r>
              <w:fldChar w:fldCharType="begin"/>
            </w:r>
            <w:r>
              <w:instrText>PAGEREF _Toc275220 \h</w:instrText>
            </w:r>
            <w:r>
              <w:fldChar w:fldCharType="end"/>
            </w:r>
          </w:hyperlink>
        </w:p>
        <w:p w:rsidR="00F15F71" w:rsidRDefault="00F974CD">
          <w:pPr>
            <w:pStyle w:val="TOC3"/>
            <w:tabs>
              <w:tab w:val="right" w:leader="dot" w:pos="9362"/>
            </w:tabs>
          </w:pPr>
          <w:hyperlink w:anchor="_Toc275221">
            <w:r>
              <w:t>этапе</w:t>
            </w:r>
            <w:r>
              <w:tab/>
            </w:r>
            <w:r>
              <w:fldChar w:fldCharType="begin"/>
            </w:r>
            <w:r>
              <w:instrText>PAGEREF _Toc275221 \h</w:instrText>
            </w:r>
            <w:r>
              <w:fldChar w:fldCharType="separate"/>
            </w:r>
            <w:r>
              <w:t xml:space="preserve">165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22">
            <w:r>
              <w:t>Приложение Б13. План действий п</w:t>
            </w:r>
            <w:r>
              <w:t>ри обострении БА для взрослых и подростков</w:t>
            </w:r>
            <w:r>
              <w:tab/>
            </w:r>
            <w:r>
              <w:fldChar w:fldCharType="begin"/>
            </w:r>
            <w:r>
              <w:instrText>PAGEREF _Toc275222 \h</w:instrText>
            </w:r>
            <w:r>
              <w:fldChar w:fldCharType="separate"/>
            </w:r>
            <w:r>
              <w:t xml:space="preserve">166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23">
            <w:r>
              <w:t>Приложение Б14. План действий при обострении БА для детей младше 5 лет</w:t>
            </w:r>
            <w:r>
              <w:tab/>
            </w:r>
            <w:r>
              <w:fldChar w:fldCharType="begin"/>
            </w:r>
            <w:r>
              <w:instrText>PAGEREF _Toc275223</w:instrText>
            </w:r>
            <w:r>
              <w:instrText xml:space="preserve"> \h</w:instrText>
            </w:r>
            <w:r>
              <w:fldChar w:fldCharType="separate"/>
            </w:r>
            <w:r>
              <w:t xml:space="preserve">167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24">
            <w:r>
              <w:t>Приложение Б15. Выбор средства доставки лекарственного препарата</w:t>
            </w:r>
            <w:r>
              <w:tab/>
            </w:r>
            <w:r>
              <w:fldChar w:fldCharType="begin"/>
            </w:r>
            <w:r>
              <w:instrText>PAGEREF _Toc275224 \h</w:instrText>
            </w:r>
            <w:r>
              <w:fldChar w:fldCharType="separate"/>
            </w:r>
            <w:r>
              <w:t xml:space="preserve">168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25">
            <w:r>
              <w:t xml:space="preserve">Приложение Б16. Алгоритм перехода на нижнюю ступень лечения у взрослых и </w:t>
            </w:r>
            <w:r>
              <w:tab/>
            </w:r>
            <w:r>
              <w:fldChar w:fldCharType="begin"/>
            </w:r>
            <w:r>
              <w:instrText>PAGEREF _Toc275225 \h</w:instrText>
            </w:r>
            <w:r>
              <w:fldChar w:fldCharType="end"/>
            </w:r>
          </w:hyperlink>
        </w:p>
        <w:p w:rsidR="00F15F71" w:rsidRDefault="00F974CD">
          <w:pPr>
            <w:pStyle w:val="TOC3"/>
            <w:tabs>
              <w:tab w:val="right" w:leader="dot" w:pos="9362"/>
            </w:tabs>
          </w:pPr>
          <w:hyperlink w:anchor="_Toc275226">
            <w:r>
              <w:t>подростков с хорошо контролируемой астмой</w:t>
            </w:r>
            <w:r>
              <w:tab/>
            </w:r>
            <w:r>
              <w:fldChar w:fldCharType="begin"/>
            </w:r>
            <w:r>
              <w:instrText>PAGEREF _Toc275226 \h</w:instrText>
            </w:r>
            <w:r>
              <w:fldChar w:fldCharType="separate"/>
            </w:r>
            <w:r>
              <w:t xml:space="preserve">170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27">
            <w:r>
              <w:t>Приложение Б17. Вторичная профилактика БА (взрослые, подрос</w:t>
            </w:r>
            <w:r>
              <w:t>тки, дети)</w:t>
            </w:r>
            <w:r>
              <w:tab/>
            </w:r>
            <w:r>
              <w:fldChar w:fldCharType="begin"/>
            </w:r>
            <w:r>
              <w:instrText>PAGEREF _Toc275227 \h</w:instrText>
            </w:r>
            <w:r>
              <w:fldChar w:fldCharType="separate"/>
            </w:r>
            <w:r>
              <w:t xml:space="preserve">172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228">
            <w:r>
              <w:t>Приложение В. Информация для пациента</w:t>
            </w:r>
            <w:r>
              <w:tab/>
            </w:r>
            <w:r>
              <w:fldChar w:fldCharType="begin"/>
            </w:r>
            <w:r>
              <w:instrText>PAGEREF _Toc275228 \h</w:instrText>
            </w:r>
            <w:r>
              <w:fldChar w:fldCharType="separate"/>
            </w:r>
            <w:r>
              <w:t xml:space="preserve">175 </w:t>
            </w:r>
            <w:r>
              <w:fldChar w:fldCharType="end"/>
            </w:r>
          </w:hyperlink>
        </w:p>
        <w:p w:rsidR="00F15F71" w:rsidRDefault="00F974CD">
          <w:pPr>
            <w:pStyle w:val="TOC1"/>
            <w:tabs>
              <w:tab w:val="right" w:leader="dot" w:pos="9362"/>
            </w:tabs>
          </w:pPr>
          <w:hyperlink w:anchor="_Toc275229">
            <w:r>
              <w:t>Приложение Г. Шкалы оценки, вопросники и другие оценочные инструменты состояния пациента, приведенные в клинических рекомендациях</w:t>
            </w:r>
            <w:r>
              <w:tab/>
            </w:r>
            <w:r>
              <w:fldChar w:fldCharType="begin"/>
            </w:r>
            <w:r>
              <w:instrText>PAGEREF _Toc275229 \h</w:instrText>
            </w:r>
            <w:r>
              <w:fldChar w:fldCharType="separate"/>
            </w:r>
            <w:r>
              <w:t xml:space="preserve">178 </w:t>
            </w:r>
            <w:r>
              <w:fldChar w:fldCharType="end"/>
            </w:r>
          </w:hyperlink>
        </w:p>
        <w:p w:rsidR="00F15F71" w:rsidRDefault="00F974CD">
          <w:pPr>
            <w:pStyle w:val="TOC4"/>
            <w:tabs>
              <w:tab w:val="right" w:leader="dot" w:pos="9362"/>
            </w:tabs>
          </w:pPr>
          <w:hyperlink w:anchor="_Toc275230">
            <w:r>
              <w:t>Приложение Г1. Тест по контролю над астмой (АСТ)</w:t>
            </w:r>
            <w:r>
              <w:tab/>
            </w:r>
            <w:r>
              <w:fldChar w:fldCharType="begin"/>
            </w:r>
            <w:r>
              <w:instrText>PAGEREF _Toc275230 \h</w:instrText>
            </w:r>
            <w:r>
              <w:fldChar w:fldCharType="separate"/>
            </w:r>
            <w:r>
              <w:t xml:space="preserve">178 </w:t>
            </w:r>
            <w:r>
              <w:fldChar w:fldCharType="end"/>
            </w:r>
          </w:hyperlink>
        </w:p>
        <w:p w:rsidR="00F15F71" w:rsidRDefault="00F974CD">
          <w:pPr>
            <w:pStyle w:val="TOC2"/>
            <w:tabs>
              <w:tab w:val="right" w:leader="dot" w:pos="9362"/>
            </w:tabs>
          </w:pPr>
          <w:hyperlink w:anchor="_Toc275231">
            <w:r>
              <w:t>Приложение Г2. Тест по контролю над астмой у детей (с-АСТ)</w:t>
            </w:r>
            <w:r>
              <w:tab/>
            </w:r>
            <w:r>
              <w:fldChar w:fldCharType="begin"/>
            </w:r>
            <w:r>
              <w:instrText>PAGEREF _Toc275231 \h</w:instrText>
            </w:r>
            <w:r>
              <w:fldChar w:fldCharType="separate"/>
            </w:r>
            <w:r>
              <w:t>180</w:t>
            </w:r>
            <w:r>
              <w:fldChar w:fldCharType="end"/>
            </w:r>
          </w:hyperlink>
        </w:p>
        <w:p w:rsidR="00F15F71" w:rsidRDefault="00F974CD">
          <w:pPr>
            <w:pStyle w:val="TOC2"/>
            <w:tabs>
              <w:tab w:val="right" w:leader="dot" w:pos="9362"/>
            </w:tabs>
          </w:pPr>
          <w:hyperlink w:anchor="_Toc275232">
            <w:r>
              <w:t>Приложение Г3. Опросник по контролю симптомов астмы (ACQ-5)</w:t>
            </w:r>
            <w:r>
              <w:tab/>
            </w:r>
            <w:r>
              <w:fldChar w:fldCharType="begin"/>
            </w:r>
            <w:r>
              <w:instrText>PAGER</w:instrText>
            </w:r>
            <w:r>
              <w:instrText>EF _Toc275232 \h</w:instrText>
            </w:r>
            <w:r>
              <w:fldChar w:fldCharType="separate"/>
            </w:r>
            <w:r>
              <w:t>182</w:t>
            </w:r>
            <w:r>
              <w:fldChar w:fldCharType="end"/>
            </w:r>
          </w:hyperlink>
        </w:p>
        <w:p w:rsidR="00F15F71" w:rsidRDefault="00F974CD">
          <w:pPr>
            <w:pStyle w:val="TOC2"/>
            <w:tabs>
              <w:tab w:val="right" w:leader="dot" w:pos="9362"/>
            </w:tabs>
          </w:pPr>
          <w:hyperlink w:anchor="_Toc275233">
            <w:r>
              <w:t>Приложение Г4. Опросник по контролю над БА у детей от 5 лет и младше (TRACK)</w:t>
            </w:r>
            <w:r>
              <w:tab/>
            </w:r>
            <w:r>
              <w:fldChar w:fldCharType="begin"/>
            </w:r>
            <w:r>
              <w:instrText>PAGEREF _Toc275233 \h</w:instrText>
            </w:r>
            <w:r>
              <w:fldChar w:fldCharType="separate"/>
            </w:r>
            <w:r>
              <w:t xml:space="preserve">184 </w:t>
            </w:r>
            <w:r>
              <w:fldChar w:fldCharType="end"/>
            </w:r>
          </w:hyperlink>
        </w:p>
        <w:p w:rsidR="00F15F71" w:rsidRDefault="00F974CD">
          <w:pPr>
            <w:pStyle w:val="TOC2"/>
            <w:tabs>
              <w:tab w:val="right" w:leader="dot" w:pos="9362"/>
            </w:tabs>
          </w:pPr>
          <w:hyperlink w:anchor="_Toc275234">
            <w:r>
              <w:t>Приложение Г5. Опросник по оценке уровня контроля симптомов бронхиальной астмы у взрослых, подростков и детей от 6 до 11 лет</w:t>
            </w:r>
            <w:r>
              <w:tab/>
            </w:r>
            <w:r>
              <w:fldChar w:fldCharType="begin"/>
            </w:r>
            <w:r>
              <w:instrText>PAGEREF _Toc275234 \h</w:instrText>
            </w:r>
            <w:r>
              <w:fldChar w:fldCharType="separate"/>
            </w:r>
            <w:r>
              <w:t xml:space="preserve">186 </w:t>
            </w:r>
            <w:r>
              <w:fldChar w:fldCharType="end"/>
            </w:r>
          </w:hyperlink>
        </w:p>
        <w:p w:rsidR="00F15F71" w:rsidRDefault="00F974CD">
          <w:pPr>
            <w:pStyle w:val="TOC2"/>
            <w:tabs>
              <w:tab w:val="right" w:leader="dot" w:pos="9362"/>
            </w:tabs>
          </w:pPr>
          <w:hyperlink w:anchor="_Toc275235">
            <w:r>
              <w:t>Приложение Г6. Дополнительный опросник по оценке уровня контроля симптомов бронхиальной астмы у детей от 6 до 11 лет</w:t>
            </w:r>
            <w:r>
              <w:tab/>
            </w:r>
            <w:r>
              <w:fldChar w:fldCharType="begin"/>
            </w:r>
            <w:r>
              <w:instrText>PAGEREF _Toc275235 \h</w:instrText>
            </w:r>
            <w:r>
              <w:fldChar w:fldCharType="separate"/>
            </w:r>
            <w:r>
              <w:t xml:space="preserve">189 </w:t>
            </w:r>
            <w:r>
              <w:fldChar w:fldCharType="end"/>
            </w:r>
          </w:hyperlink>
        </w:p>
        <w:p w:rsidR="00F15F71" w:rsidRDefault="00F974CD">
          <w:pPr>
            <w:pStyle w:val="TOC2"/>
            <w:tabs>
              <w:tab w:val="right" w:leader="dot" w:pos="9362"/>
            </w:tabs>
          </w:pPr>
          <w:hyperlink w:anchor="_Toc275236">
            <w:r>
              <w:t>Приложение Г7. Дополнительный опросник по оценке уровня контроля симптомов бронхиальной астмы у детей младше 5 лет</w:t>
            </w:r>
            <w:r>
              <w:tab/>
            </w:r>
            <w:r>
              <w:fldChar w:fldCharType="begin"/>
            </w:r>
            <w:r>
              <w:instrText>PAGEREF _Toc275236 \h</w:instrText>
            </w:r>
            <w:r>
              <w:fldChar w:fldCharType="separate"/>
            </w:r>
            <w:r>
              <w:t xml:space="preserve">192 </w:t>
            </w:r>
            <w:r>
              <w:fldChar w:fldCharType="end"/>
            </w:r>
          </w:hyperlink>
        </w:p>
        <w:p w:rsidR="00F15F71" w:rsidRDefault="00F974CD">
          <w:pPr>
            <w:pStyle w:val="TOC2"/>
            <w:tabs>
              <w:tab w:val="right" w:leader="dot" w:pos="9362"/>
            </w:tabs>
          </w:pPr>
          <w:hyperlink w:anchor="_Toc275237">
            <w:r>
              <w:t>Приложение Г8. Вопросы, которые могут помочь диагностировать БА у ребенка младше 5 лет</w:t>
            </w:r>
            <w:r>
              <w:tab/>
            </w:r>
            <w:r>
              <w:fldChar w:fldCharType="begin"/>
            </w:r>
            <w:r>
              <w:instrText>PAGEREF _Toc275237 \h</w:instrText>
            </w:r>
            <w:r>
              <w:fldChar w:fldCharType="separate"/>
            </w:r>
            <w:r>
              <w:t xml:space="preserve">193 </w:t>
            </w:r>
            <w:r>
              <w:fldChar w:fldCharType="end"/>
            </w:r>
          </w:hyperlink>
        </w:p>
        <w:p w:rsidR="00F15F71" w:rsidRDefault="00F974CD">
          <w:r>
            <w:fldChar w:fldCharType="end"/>
          </w:r>
        </w:p>
      </w:sdtContent>
    </w:sdt>
    <w:p w:rsidR="00F15F71" w:rsidRDefault="00F974CD">
      <w:pPr>
        <w:spacing w:after="0" w:line="259" w:lineRule="auto"/>
        <w:ind w:left="708" w:firstLine="0"/>
        <w:jc w:val="left"/>
      </w:pPr>
      <w:r>
        <w:rPr>
          <w:sz w:val="28"/>
        </w:rPr>
        <w:t xml:space="preserve"> </w:t>
      </w:r>
      <w:r>
        <w:br w:type="page"/>
      </w:r>
    </w:p>
    <w:p w:rsidR="00F15F71" w:rsidRDefault="00F974CD">
      <w:pPr>
        <w:pStyle w:val="Heading1"/>
      </w:pPr>
      <w:bookmarkStart w:id="2" w:name="_Toc275159"/>
      <w:r>
        <w:t xml:space="preserve">Список сокращений </w:t>
      </w:r>
      <w:bookmarkEnd w:id="2"/>
    </w:p>
    <w:p w:rsidR="00F15F71" w:rsidRDefault="00F974CD">
      <w:pPr>
        <w:spacing w:after="138" w:line="259" w:lineRule="auto"/>
        <w:ind w:left="718" w:right="841"/>
      </w:pPr>
      <w:r>
        <w:t xml:space="preserve">АСТ – Asthma Control Test - Тест по контролю над астмой </w:t>
      </w:r>
    </w:p>
    <w:p w:rsidR="00F15F71" w:rsidRDefault="00F974CD">
      <w:pPr>
        <w:spacing w:after="138" w:line="259" w:lineRule="auto"/>
        <w:ind w:left="718"/>
      </w:pPr>
      <w:r>
        <w:t xml:space="preserve">c-АСТ – Childhood Asthma Control Test - тест по контролю над астмой у детей </w:t>
      </w:r>
    </w:p>
    <w:p w:rsidR="00F15F71" w:rsidRDefault="00F974CD">
      <w:pPr>
        <w:spacing w:after="28"/>
        <w:ind w:left="0" w:firstLine="708"/>
      </w:pPr>
      <w:r>
        <w:t>ACQ-5 – Asthma Control Questionnaire -5 - опросник по контролю симптомов астмы</w:t>
      </w:r>
      <w:r>
        <w:t xml:space="preserve"> из 5 вопросов </w:t>
      </w:r>
    </w:p>
    <w:p w:rsidR="00F15F71" w:rsidRDefault="00F974CD">
      <w:pPr>
        <w:spacing w:after="28"/>
        <w:ind w:left="0" w:firstLine="708"/>
      </w:pPr>
      <w:r>
        <w:t xml:space="preserve">ARIA - Allergic Rhinitis and its Impact on Asthma - Аллергический ринит и его влияние на астму </w:t>
      </w:r>
    </w:p>
    <w:p w:rsidR="00F15F71" w:rsidRDefault="00F974CD">
      <w:pPr>
        <w:spacing w:after="30"/>
        <w:ind w:left="0" w:firstLine="708"/>
      </w:pPr>
      <w:r>
        <w:t xml:space="preserve">EAACI – European Academy of Allergy and Clinical Immunology – европейская академия аллергологии и клинической иммунологии </w:t>
      </w:r>
    </w:p>
    <w:p w:rsidR="00F15F71" w:rsidRDefault="00F974CD">
      <w:pPr>
        <w:spacing w:after="136" w:line="259" w:lineRule="auto"/>
        <w:ind w:left="718" w:right="841"/>
      </w:pPr>
      <w:r>
        <w:t>FcεRI - высокоаффинны</w:t>
      </w:r>
      <w:r>
        <w:t xml:space="preserve">й Fc-рецептор иммуноглобулина Ig Е  </w:t>
      </w:r>
    </w:p>
    <w:p w:rsidR="00F15F71" w:rsidRDefault="00F974CD">
      <w:pPr>
        <w:spacing w:after="30"/>
        <w:ind w:left="0" w:firstLine="708"/>
      </w:pPr>
      <w:r>
        <w:t xml:space="preserve">FDA – Food and Drug Administration – Агентство по контролю качества лекарственных средств и продуктов США  </w:t>
      </w:r>
    </w:p>
    <w:p w:rsidR="00F15F71" w:rsidRDefault="00F974CD">
      <w:pPr>
        <w:spacing w:after="157" w:line="259" w:lineRule="auto"/>
        <w:ind w:left="718" w:right="841"/>
      </w:pPr>
      <w:r>
        <w:t xml:space="preserve">FeNO – фракция оксида азота в выдыхаемом воздухе </w:t>
      </w:r>
    </w:p>
    <w:p w:rsidR="00F15F71" w:rsidRDefault="00F974CD">
      <w:pPr>
        <w:spacing w:after="112" w:line="259" w:lineRule="auto"/>
        <w:ind w:left="718" w:right="841"/>
      </w:pPr>
      <w:r>
        <w:t xml:space="preserve">FiO2 – фракция кислорода во вдыхаемой газовой смеси </w:t>
      </w:r>
    </w:p>
    <w:p w:rsidR="00F15F71" w:rsidRDefault="00F974CD">
      <w:pPr>
        <w:spacing w:after="162" w:line="259" w:lineRule="auto"/>
        <w:ind w:left="718"/>
      </w:pPr>
      <w:r>
        <w:t>GINA - G</w:t>
      </w:r>
      <w:r>
        <w:t xml:space="preserve">lobal Strategy for Asthma Management and Prevention Innitiative of Asthma - </w:t>
      </w:r>
    </w:p>
    <w:p w:rsidR="00F15F71" w:rsidRDefault="00F974CD">
      <w:pPr>
        <w:spacing w:after="152" w:line="259" w:lineRule="auto"/>
        <w:ind w:left="10" w:right="841"/>
      </w:pPr>
      <w:r>
        <w:t xml:space="preserve">Глобальная стратегия лечения и профилактики бронхиальной астмы </w:t>
      </w:r>
    </w:p>
    <w:p w:rsidR="00F15F71" w:rsidRDefault="00F974CD">
      <w:pPr>
        <w:spacing w:after="155" w:line="259" w:lineRule="auto"/>
        <w:ind w:left="718" w:right="841"/>
      </w:pPr>
      <w:r>
        <w:t xml:space="preserve">IgE - иммуноглобулины класса Е </w:t>
      </w:r>
    </w:p>
    <w:p w:rsidR="00F15F71" w:rsidRDefault="00F974CD">
      <w:pPr>
        <w:spacing w:after="162" w:line="259" w:lineRule="auto"/>
        <w:ind w:left="718" w:right="841"/>
      </w:pPr>
      <w:r>
        <w:t xml:space="preserve">PaO2 – парциальное напряжение кислорода в артериальной крови </w:t>
      </w:r>
    </w:p>
    <w:p w:rsidR="00F15F71" w:rsidRDefault="00F974CD">
      <w:pPr>
        <w:spacing w:after="159" w:line="259" w:lineRule="auto"/>
        <w:ind w:left="718" w:right="841"/>
      </w:pPr>
      <w:r>
        <w:t>PaСO2 – парциальное н</w:t>
      </w:r>
      <w:r>
        <w:t xml:space="preserve">апряжение углекислого газа в артериальной крови </w:t>
      </w:r>
    </w:p>
    <w:p w:rsidR="00F15F71" w:rsidRDefault="00F974CD">
      <w:pPr>
        <w:spacing w:after="160" w:line="259" w:lineRule="auto"/>
        <w:ind w:left="718" w:right="841"/>
      </w:pPr>
      <w:r>
        <w:t xml:space="preserve">SрO2 – насыщение гемоглобина кислородом </w:t>
      </w:r>
    </w:p>
    <w:p w:rsidR="00F15F71" w:rsidRDefault="00F974CD">
      <w:pPr>
        <w:spacing w:after="125" w:line="259" w:lineRule="auto"/>
        <w:ind w:left="718" w:right="841"/>
      </w:pPr>
      <w:r>
        <w:t xml:space="preserve">Тh2 - Т лимфоциты хелперы 2 типа </w:t>
      </w:r>
    </w:p>
    <w:p w:rsidR="00F15F71" w:rsidRDefault="00F974CD">
      <w:pPr>
        <w:spacing w:after="31"/>
        <w:ind w:left="0" w:firstLine="708"/>
      </w:pPr>
      <w:r>
        <w:t xml:space="preserve">TRACK - Test for Respiratory and Asthma Control in Kids - опросник по шкале симптомов БА у детей в возрасте до 5 лет </w:t>
      </w:r>
    </w:p>
    <w:p w:rsidR="00F15F71" w:rsidRDefault="00F974CD">
      <w:pPr>
        <w:spacing w:after="159" w:line="259" w:lineRule="auto"/>
        <w:ind w:left="718" w:right="841"/>
      </w:pPr>
      <w:r>
        <w:t xml:space="preserve">АБЛА - </w:t>
      </w:r>
      <w:r>
        <w:t xml:space="preserve">аллергический бронхолегочный аспергилез </w:t>
      </w:r>
    </w:p>
    <w:p w:rsidR="00F15F71" w:rsidRDefault="00F974CD">
      <w:pPr>
        <w:spacing w:after="157" w:line="259" w:lineRule="auto"/>
        <w:ind w:left="718" w:right="841"/>
      </w:pPr>
      <w:r>
        <w:t xml:space="preserve">АГ - антигистаминные средства  </w:t>
      </w:r>
    </w:p>
    <w:p w:rsidR="00F15F71" w:rsidRDefault="00F974CD">
      <w:pPr>
        <w:spacing w:after="159" w:line="259" w:lineRule="auto"/>
        <w:ind w:left="718" w:right="841"/>
      </w:pPr>
      <w:r>
        <w:t xml:space="preserve">АД - артериальное давление </w:t>
      </w:r>
    </w:p>
    <w:p w:rsidR="00F15F71" w:rsidRDefault="00F974CD">
      <w:pPr>
        <w:spacing w:after="157" w:line="259" w:lineRule="auto"/>
        <w:ind w:left="718" w:right="841"/>
      </w:pPr>
      <w:r>
        <w:t xml:space="preserve">АЗ - аллергические заболевания </w:t>
      </w:r>
    </w:p>
    <w:p w:rsidR="00F15F71" w:rsidRDefault="00F974CD">
      <w:pPr>
        <w:spacing w:after="160" w:line="259" w:lineRule="auto"/>
        <w:ind w:left="718" w:right="841"/>
      </w:pPr>
      <w:r>
        <w:t xml:space="preserve">АК - аллергический конъюнктивит </w:t>
      </w:r>
    </w:p>
    <w:p w:rsidR="00F15F71" w:rsidRDefault="00F974CD">
      <w:pPr>
        <w:spacing w:after="158" w:line="259" w:lineRule="auto"/>
        <w:ind w:left="718" w:right="841"/>
      </w:pPr>
      <w:r>
        <w:t xml:space="preserve">АЛР - антагонисты лейкотриеновых рецепторов; </w:t>
      </w:r>
    </w:p>
    <w:p w:rsidR="00F15F71" w:rsidRDefault="00F974CD">
      <w:pPr>
        <w:spacing w:after="28"/>
        <w:ind w:left="718" w:right="3616"/>
      </w:pPr>
      <w:r>
        <w:t xml:space="preserve">АПФ – ангиотензин-превращающий фермент АР - </w:t>
      </w:r>
      <w:r>
        <w:t xml:space="preserve">аллергический ринит </w:t>
      </w:r>
    </w:p>
    <w:p w:rsidR="00F15F71" w:rsidRDefault="00F974CD">
      <w:pPr>
        <w:spacing w:after="161" w:line="259" w:lineRule="auto"/>
        <w:ind w:left="718" w:right="841"/>
      </w:pPr>
      <w:r>
        <w:t xml:space="preserve">АСИТ - аллерген-специфическая иммунотерапия </w:t>
      </w:r>
    </w:p>
    <w:p w:rsidR="00F15F71" w:rsidRDefault="00F974CD">
      <w:pPr>
        <w:spacing w:after="34"/>
        <w:ind w:left="0" w:firstLine="708"/>
      </w:pPr>
      <w:r>
        <w:t xml:space="preserve">АТХ </w:t>
      </w:r>
      <w:r>
        <w:tab/>
        <w:t xml:space="preserve">- </w:t>
      </w:r>
      <w:r>
        <w:tab/>
        <w:t xml:space="preserve">анатомо-терапевтическо-химическая </w:t>
      </w:r>
      <w:r>
        <w:tab/>
        <w:t xml:space="preserve">классификация, </w:t>
      </w:r>
      <w:r>
        <w:tab/>
        <w:t xml:space="preserve">международная система классификации лекарственных средств </w:t>
      </w:r>
    </w:p>
    <w:p w:rsidR="00F15F71" w:rsidRDefault="00F974CD">
      <w:pPr>
        <w:spacing w:after="161" w:line="259" w:lineRule="auto"/>
        <w:ind w:left="718" w:right="841"/>
      </w:pPr>
      <w:r>
        <w:t xml:space="preserve">БА - бронхиальная астма </w:t>
      </w:r>
    </w:p>
    <w:p w:rsidR="00F15F71" w:rsidRDefault="00F974CD">
      <w:pPr>
        <w:spacing w:after="158" w:line="259" w:lineRule="auto"/>
        <w:ind w:left="718" w:right="841"/>
      </w:pPr>
      <w:r>
        <w:t xml:space="preserve">БГР – бронхиальная гиперреактивность  </w:t>
      </w:r>
    </w:p>
    <w:p w:rsidR="00F15F71" w:rsidRDefault="00F974CD">
      <w:pPr>
        <w:spacing w:after="161" w:line="259" w:lineRule="auto"/>
        <w:ind w:left="718" w:right="841"/>
      </w:pPr>
      <w:r>
        <w:t xml:space="preserve">БТ – </w:t>
      </w:r>
      <w:r>
        <w:t xml:space="preserve">бронхиальная термопластика </w:t>
      </w:r>
    </w:p>
    <w:p w:rsidR="00F15F71" w:rsidRDefault="00F974CD">
      <w:pPr>
        <w:spacing w:after="159" w:line="259" w:lineRule="auto"/>
        <w:ind w:left="718" w:right="841"/>
      </w:pPr>
      <w:r>
        <w:t xml:space="preserve">ВЛК2 – врожденные лимфоидные клетки 2 типа </w:t>
      </w:r>
    </w:p>
    <w:p w:rsidR="00F15F71" w:rsidRDefault="00F974CD">
      <w:pPr>
        <w:spacing w:after="161" w:line="259" w:lineRule="auto"/>
        <w:ind w:left="718" w:right="841"/>
      </w:pPr>
      <w:r>
        <w:t xml:space="preserve">ДАИ – дозированный аэрозольный ингалятор </w:t>
      </w:r>
    </w:p>
    <w:p w:rsidR="00F15F71" w:rsidRDefault="00F974CD">
      <w:pPr>
        <w:tabs>
          <w:tab w:val="center" w:pos="1044"/>
          <w:tab w:val="center" w:pos="1896"/>
          <w:tab w:val="center" w:pos="2945"/>
          <w:tab w:val="center" w:pos="4635"/>
          <w:tab w:val="center" w:pos="6902"/>
          <w:tab w:val="right" w:pos="9362"/>
        </w:tabs>
        <w:spacing w:after="165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ДДАХ </w:t>
      </w:r>
      <w:r>
        <w:tab/>
        <w:t xml:space="preserve">– </w:t>
      </w:r>
      <w:r>
        <w:tab/>
        <w:t xml:space="preserve">длительно </w:t>
      </w:r>
      <w:r>
        <w:tab/>
        <w:t xml:space="preserve">действующие </w:t>
      </w:r>
      <w:r>
        <w:tab/>
        <w:t xml:space="preserve">антихолинергические </w:t>
      </w:r>
      <w:r>
        <w:tab/>
        <w:t xml:space="preserve">средства </w:t>
      </w:r>
    </w:p>
    <w:p w:rsidR="00F15F71" w:rsidRDefault="00F974CD">
      <w:pPr>
        <w:spacing w:after="160" w:line="259" w:lineRule="auto"/>
        <w:ind w:left="10" w:right="841"/>
      </w:pPr>
      <w:r>
        <w:t xml:space="preserve">(антихолинэргические средства) </w:t>
      </w:r>
    </w:p>
    <w:p w:rsidR="00F15F71" w:rsidRDefault="00F974CD">
      <w:pPr>
        <w:tabs>
          <w:tab w:val="center" w:pos="1026"/>
          <w:tab w:val="center" w:pos="1740"/>
          <w:tab w:val="center" w:pos="2667"/>
          <w:tab w:val="center" w:pos="4234"/>
          <w:tab w:val="center" w:pos="5928"/>
          <w:tab w:val="center" w:pos="7611"/>
          <w:tab w:val="right" w:pos="9362"/>
        </w:tabs>
        <w:spacing w:after="165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ДДБА </w:t>
      </w:r>
      <w:r>
        <w:tab/>
        <w:t xml:space="preserve">– </w:t>
      </w:r>
      <w:r>
        <w:tab/>
        <w:t xml:space="preserve">длительно </w:t>
      </w:r>
      <w:r>
        <w:tab/>
        <w:t xml:space="preserve">действующие </w:t>
      </w:r>
      <w:r>
        <w:tab/>
        <w:t>β2–агонисты</w:t>
      </w:r>
      <w:r>
        <w:t xml:space="preserve"> </w:t>
      </w:r>
      <w:r>
        <w:tab/>
        <w:t xml:space="preserve">(селективные </w:t>
      </w:r>
      <w:r>
        <w:tab/>
        <w:t>бета-2-</w:t>
      </w:r>
    </w:p>
    <w:p w:rsidR="00F15F71" w:rsidRDefault="00F974CD">
      <w:pPr>
        <w:spacing w:after="161" w:line="259" w:lineRule="auto"/>
        <w:ind w:left="10" w:right="841"/>
      </w:pPr>
      <w:r>
        <w:t xml:space="preserve">адреномиметики) </w:t>
      </w:r>
    </w:p>
    <w:p w:rsidR="00F15F71" w:rsidRDefault="00F974CD">
      <w:pPr>
        <w:spacing w:after="159" w:line="259" w:lineRule="auto"/>
        <w:ind w:left="718" w:right="841"/>
      </w:pPr>
      <w:r>
        <w:t xml:space="preserve">ДН – дыхательная недостаточность </w:t>
      </w:r>
    </w:p>
    <w:p w:rsidR="00F15F71" w:rsidRDefault="00F974CD">
      <w:pPr>
        <w:spacing w:after="161" w:line="259" w:lineRule="auto"/>
        <w:ind w:left="718" w:right="841"/>
      </w:pPr>
      <w:r>
        <w:t xml:space="preserve">ДПИ – дозированный порошковый ингалятор </w:t>
      </w:r>
    </w:p>
    <w:p w:rsidR="00F15F71" w:rsidRDefault="00F974CD">
      <w:pPr>
        <w:spacing w:after="159" w:line="259" w:lineRule="auto"/>
        <w:ind w:left="718" w:right="841"/>
      </w:pPr>
      <w:r>
        <w:t xml:space="preserve">ИВЛ – искусственная вентиляция легких </w:t>
      </w:r>
    </w:p>
    <w:p w:rsidR="00F15F71" w:rsidRDefault="00F974CD">
      <w:pPr>
        <w:spacing w:after="155" w:line="259" w:lineRule="auto"/>
        <w:ind w:left="718"/>
      </w:pPr>
      <w:r>
        <w:t xml:space="preserve">ИГКС – ингаляционные глюкокортикостероиды (группа АТХ – кортикостероиды) </w:t>
      </w:r>
    </w:p>
    <w:p w:rsidR="00F15F71" w:rsidRDefault="00F974CD">
      <w:pPr>
        <w:spacing w:after="155" w:line="259" w:lineRule="auto"/>
        <w:ind w:left="718" w:right="841"/>
      </w:pPr>
      <w:r>
        <w:t xml:space="preserve">ИЛ-4 – интерлейкин 4 </w:t>
      </w:r>
    </w:p>
    <w:p w:rsidR="00F15F71" w:rsidRDefault="00F974CD">
      <w:pPr>
        <w:spacing w:after="155" w:line="259" w:lineRule="auto"/>
        <w:ind w:left="718" w:right="841"/>
      </w:pPr>
      <w:r>
        <w:t>ИЛ-</w:t>
      </w:r>
      <w:r>
        <w:t xml:space="preserve">4Рα – альфа-субъединица рецептора ИЛ-4 </w:t>
      </w:r>
    </w:p>
    <w:p w:rsidR="00F15F71" w:rsidRDefault="00F974CD">
      <w:pPr>
        <w:spacing w:after="158" w:line="259" w:lineRule="auto"/>
        <w:ind w:left="718" w:right="841"/>
      </w:pPr>
      <w:r>
        <w:t xml:space="preserve">ИЛ-5 – интерлейкин 5 </w:t>
      </w:r>
    </w:p>
    <w:p w:rsidR="00F15F71" w:rsidRDefault="00F974CD">
      <w:pPr>
        <w:spacing w:after="153" w:line="259" w:lineRule="auto"/>
        <w:ind w:left="718" w:right="841"/>
      </w:pPr>
      <w:r>
        <w:t xml:space="preserve">ИЛ-5Р – рецептор интерлейкина 5 </w:t>
      </w:r>
    </w:p>
    <w:p w:rsidR="00F15F71" w:rsidRDefault="00F974CD">
      <w:pPr>
        <w:spacing w:after="157" w:line="259" w:lineRule="auto"/>
        <w:ind w:left="718" w:right="841"/>
      </w:pPr>
      <w:r>
        <w:t xml:space="preserve">ИЛ-13 – интерлейкин 13 </w:t>
      </w:r>
    </w:p>
    <w:p w:rsidR="00F15F71" w:rsidRDefault="00F974CD">
      <w:pPr>
        <w:spacing w:after="30"/>
        <w:ind w:left="0" w:firstLine="708"/>
      </w:pPr>
      <w:r>
        <w:t xml:space="preserve">КДБА – короткодействующие β2–агонисты (группа АТХ - селективные бета-2адреномиметики) </w:t>
      </w:r>
    </w:p>
    <w:p w:rsidR="00F15F71" w:rsidRDefault="00F974CD">
      <w:pPr>
        <w:spacing w:after="159" w:line="259" w:lineRule="auto"/>
        <w:ind w:left="718" w:right="841"/>
      </w:pPr>
      <w:r>
        <w:t xml:space="preserve">КР - клинические рекомендации </w:t>
      </w:r>
    </w:p>
    <w:p w:rsidR="00F15F71" w:rsidRDefault="00F974CD">
      <w:pPr>
        <w:spacing w:after="158" w:line="259" w:lineRule="auto"/>
        <w:ind w:left="718" w:right="841"/>
      </w:pPr>
      <w:r>
        <w:t>КТ - компьютерная т</w:t>
      </w:r>
      <w:r>
        <w:t xml:space="preserve">омография </w:t>
      </w:r>
    </w:p>
    <w:p w:rsidR="00F15F71" w:rsidRDefault="00F974CD">
      <w:pPr>
        <w:spacing w:after="159" w:line="259" w:lineRule="auto"/>
        <w:ind w:left="718" w:right="841"/>
      </w:pPr>
      <w:r>
        <w:t xml:space="preserve">КЩС – кислотно-щелочное состояние крови </w:t>
      </w:r>
    </w:p>
    <w:p w:rsidR="00F15F71" w:rsidRDefault="00F974CD">
      <w:pPr>
        <w:spacing w:after="30"/>
        <w:ind w:left="0" w:right="7" w:firstLine="708"/>
      </w:pPr>
      <w:r>
        <w:t xml:space="preserve">МКБ-10 - Международная статистическая классификация болезней и проблем, связанных со здоровьем 1-го пересмотра, принятая 43 Всемирной ассамблеей здравоохранения </w:t>
      </w:r>
    </w:p>
    <w:p w:rsidR="00F15F71" w:rsidRDefault="00F974CD">
      <w:pPr>
        <w:spacing w:after="161" w:line="259" w:lineRule="auto"/>
        <w:ind w:left="718" w:right="841"/>
      </w:pPr>
      <w:r>
        <w:t xml:space="preserve">НВЛ – неинвазивная вентиляция легких </w:t>
      </w:r>
    </w:p>
    <w:p w:rsidR="00F15F71" w:rsidRDefault="00F974CD">
      <w:pPr>
        <w:spacing w:after="30"/>
        <w:ind w:left="0" w:firstLine="708"/>
      </w:pPr>
      <w:r>
        <w:t>НПВП</w:t>
      </w:r>
      <w:r>
        <w:t xml:space="preserve"> – нестероидные противовоспалительные препараты (группа АТХ - нестероидные противовоспалительные и противоревматические препараты) </w:t>
      </w:r>
    </w:p>
    <w:p w:rsidR="00F15F71" w:rsidRDefault="00F974CD">
      <w:pPr>
        <w:spacing w:after="159" w:line="259" w:lineRule="auto"/>
        <w:ind w:left="718" w:right="841"/>
      </w:pPr>
      <w:r>
        <w:t xml:space="preserve">НЯ – нежелательные явления </w:t>
      </w:r>
    </w:p>
    <w:p w:rsidR="00F15F71" w:rsidRDefault="00F974CD">
      <w:pPr>
        <w:spacing w:after="160" w:line="259" w:lineRule="auto"/>
        <w:ind w:left="718" w:right="841"/>
      </w:pPr>
      <w:r>
        <w:t xml:space="preserve">ОДН – острая дыхательная недостаточность </w:t>
      </w:r>
    </w:p>
    <w:p w:rsidR="00F15F71" w:rsidRDefault="00F974CD">
      <w:pPr>
        <w:spacing w:after="159" w:line="259" w:lineRule="auto"/>
        <w:ind w:left="718" w:right="841"/>
      </w:pPr>
      <w:r>
        <w:t xml:space="preserve">ОРИ - острая респираторная инфекция </w:t>
      </w:r>
    </w:p>
    <w:p w:rsidR="00F15F71" w:rsidRDefault="00F974CD">
      <w:pPr>
        <w:spacing w:after="161" w:line="395" w:lineRule="auto"/>
        <w:ind w:left="718" w:right="2294"/>
        <w:jc w:val="left"/>
      </w:pPr>
      <w:r>
        <w:t xml:space="preserve">ОРИТ – </w:t>
      </w:r>
      <w:r>
        <w:t xml:space="preserve">отделение реанимации и интенсивной терапии ОФВ1 - объем форсированного выдоха за 1-ю секунду ПИ – пневмококковая инфекция </w:t>
      </w:r>
    </w:p>
    <w:p w:rsidR="00F15F71" w:rsidRDefault="00F974CD">
      <w:pPr>
        <w:spacing w:after="158" w:line="259" w:lineRule="auto"/>
        <w:ind w:left="718" w:right="841"/>
      </w:pPr>
      <w:r>
        <w:t xml:space="preserve">ПКИТ – подкожная иммунотерапия </w:t>
      </w:r>
    </w:p>
    <w:p w:rsidR="00F15F71" w:rsidRDefault="00F974CD">
      <w:pPr>
        <w:spacing w:after="161" w:line="259" w:lineRule="auto"/>
        <w:ind w:left="718" w:right="841"/>
      </w:pPr>
      <w:r>
        <w:t xml:space="preserve">ПРС – полипозный риносинусит </w:t>
      </w:r>
    </w:p>
    <w:p w:rsidR="00F15F71" w:rsidRDefault="00F974CD">
      <w:pPr>
        <w:spacing w:after="159" w:line="259" w:lineRule="auto"/>
        <w:ind w:left="718" w:right="841"/>
      </w:pPr>
      <w:r>
        <w:t xml:space="preserve">ПСВ – пиковая скорость выдоха </w:t>
      </w:r>
    </w:p>
    <w:p w:rsidR="00F15F71" w:rsidRDefault="00F974CD">
      <w:pPr>
        <w:spacing w:after="161" w:line="259" w:lineRule="auto"/>
        <w:ind w:left="718"/>
      </w:pPr>
      <w:r>
        <w:t>РААКИ - Российская Ассоциация Аллерголог</w:t>
      </w:r>
      <w:r>
        <w:t xml:space="preserve">ов и Клинических Иммунологов </w:t>
      </w:r>
    </w:p>
    <w:p w:rsidR="00F15F71" w:rsidRDefault="00F974CD">
      <w:pPr>
        <w:spacing w:after="159" w:line="259" w:lineRule="auto"/>
        <w:ind w:left="718" w:right="841"/>
      </w:pPr>
      <w:r>
        <w:t xml:space="preserve">РКИ - рандомизированные клинические исследования </w:t>
      </w:r>
    </w:p>
    <w:p w:rsidR="00F15F71" w:rsidRDefault="00F974CD">
      <w:pPr>
        <w:spacing w:after="161" w:line="259" w:lineRule="auto"/>
        <w:ind w:left="718" w:right="841"/>
      </w:pPr>
      <w:r>
        <w:t xml:space="preserve">РРО – Российское Респираторное Общество </w:t>
      </w:r>
    </w:p>
    <w:p w:rsidR="00F15F71" w:rsidRDefault="00F974CD">
      <w:pPr>
        <w:spacing w:after="159" w:line="259" w:lineRule="auto"/>
        <w:ind w:left="718" w:right="841"/>
      </w:pPr>
      <w:r>
        <w:t xml:space="preserve">СБПТ – специфический бронхопровокационный тест </w:t>
      </w:r>
    </w:p>
    <w:p w:rsidR="00F15F71" w:rsidRDefault="00F974CD">
      <w:pPr>
        <w:spacing w:after="161" w:line="259" w:lineRule="auto"/>
        <w:ind w:left="718" w:right="841"/>
      </w:pPr>
      <w:r>
        <w:t xml:space="preserve">СЛИТ – сублингвальная иммунотерапия </w:t>
      </w:r>
    </w:p>
    <w:p w:rsidR="00F15F71" w:rsidRDefault="00F974CD">
      <w:pPr>
        <w:spacing w:after="158" w:line="259" w:lineRule="auto"/>
        <w:ind w:left="718"/>
      </w:pPr>
      <w:r>
        <w:t xml:space="preserve">СГКС – системные глюкокортикостероиды (группа АТХ </w:t>
      </w:r>
      <w:r>
        <w:t xml:space="preserve">– глюкокортикоиды) </w:t>
      </w:r>
    </w:p>
    <w:p w:rsidR="00F15F71" w:rsidRDefault="00F974CD">
      <w:pPr>
        <w:spacing w:after="158" w:line="259" w:lineRule="auto"/>
        <w:ind w:left="718" w:right="841"/>
      </w:pPr>
      <w:r>
        <w:t xml:space="preserve">СПР – Союз Педиатров России </w:t>
      </w:r>
    </w:p>
    <w:p w:rsidR="00F15F71" w:rsidRDefault="00F974CD">
      <w:pPr>
        <w:spacing w:line="396" w:lineRule="auto"/>
        <w:ind w:left="-15" w:right="2" w:firstLine="708"/>
        <w:jc w:val="left"/>
      </w:pPr>
      <w:r>
        <w:t xml:space="preserve">Т2-воспаление – воспаление, обусловленное активностью клеток второго типа (Th2 и ВЛК2), характеризующееся гиперпродукцией ИЛ-4, ИЛ-5, ИЛ-13 и эозинофильным воспалением неТ2-воспаление </w:t>
      </w:r>
      <w:r>
        <w:tab/>
        <w:t xml:space="preserve">– </w:t>
      </w:r>
      <w:r>
        <w:tab/>
        <w:t xml:space="preserve">воспаление, </w:t>
      </w:r>
      <w:r>
        <w:tab/>
        <w:t xml:space="preserve">для </w:t>
      </w:r>
      <w:r>
        <w:tab/>
        <w:t>к</w:t>
      </w:r>
      <w:r>
        <w:t xml:space="preserve">оторого, </w:t>
      </w:r>
      <w:r>
        <w:tab/>
        <w:t xml:space="preserve">в </w:t>
      </w:r>
      <w:r>
        <w:tab/>
        <w:t xml:space="preserve">противоположность </w:t>
      </w:r>
      <w:r>
        <w:tab/>
        <w:t>Т2-</w:t>
      </w:r>
    </w:p>
    <w:p w:rsidR="00F15F71" w:rsidRDefault="00F974CD">
      <w:pPr>
        <w:spacing w:after="159" w:line="259" w:lineRule="auto"/>
        <w:ind w:left="10"/>
      </w:pPr>
      <w:r>
        <w:t xml:space="preserve">воспалению, не характерны признаки активности клеток второго типа и эозинофилия   </w:t>
      </w:r>
    </w:p>
    <w:p w:rsidR="00F15F71" w:rsidRDefault="00F974CD">
      <w:pPr>
        <w:spacing w:after="161" w:line="259" w:lineRule="auto"/>
        <w:ind w:left="718" w:right="841"/>
      </w:pPr>
      <w:r>
        <w:t xml:space="preserve">ТСЛП – тимусный стромальный лимфопоэтин </w:t>
      </w:r>
    </w:p>
    <w:p w:rsidR="00F15F71" w:rsidRDefault="00F974CD">
      <w:pPr>
        <w:spacing w:after="158" w:line="259" w:lineRule="auto"/>
        <w:ind w:left="718" w:right="841"/>
      </w:pPr>
      <w:r>
        <w:t xml:space="preserve">УДД - шкала оценки уровней достоверности доказательств </w:t>
      </w:r>
    </w:p>
    <w:p w:rsidR="00F15F71" w:rsidRDefault="00F974CD">
      <w:pPr>
        <w:spacing w:after="161" w:line="259" w:lineRule="auto"/>
        <w:ind w:left="718" w:right="841"/>
      </w:pPr>
      <w:r>
        <w:t>УУР - шкала оценки уровней убедительност</w:t>
      </w:r>
      <w:r>
        <w:t xml:space="preserve">и рекомендаций  </w:t>
      </w:r>
    </w:p>
    <w:p w:rsidR="00F15F71" w:rsidRDefault="00F974CD">
      <w:pPr>
        <w:spacing w:after="159" w:line="259" w:lineRule="auto"/>
        <w:ind w:left="718" w:right="841"/>
      </w:pPr>
      <w:r>
        <w:t xml:space="preserve">ФЖЕЛ – форсированная жизненная емкость легких </w:t>
      </w:r>
    </w:p>
    <w:p w:rsidR="00F15F71" w:rsidRDefault="00F974CD">
      <w:pPr>
        <w:spacing w:after="161" w:line="259" w:lineRule="auto"/>
        <w:ind w:left="718" w:right="841"/>
      </w:pPr>
      <w:r>
        <w:t xml:space="preserve">ЧДД – частота дыхательных движений </w:t>
      </w:r>
    </w:p>
    <w:p w:rsidR="00F15F71" w:rsidRDefault="00F974CD">
      <w:pPr>
        <w:spacing w:after="159" w:line="259" w:lineRule="auto"/>
        <w:ind w:left="718" w:right="841"/>
      </w:pPr>
      <w:r>
        <w:t xml:space="preserve">ЧСС – частота сердечных сокращений </w:t>
      </w:r>
    </w:p>
    <w:p w:rsidR="00F15F71" w:rsidRDefault="00F974CD">
      <w:pPr>
        <w:spacing w:after="30"/>
        <w:ind w:left="718" w:right="2733"/>
      </w:pPr>
      <w:r>
        <w:t xml:space="preserve">ХДН – Хроническая дыхательная недостаточность ХОБЛ – хроническая обструктивная болезнь легких  </w:t>
      </w:r>
    </w:p>
    <w:p w:rsidR="00F15F71" w:rsidRDefault="00F974CD">
      <w:pPr>
        <w:spacing w:line="259" w:lineRule="auto"/>
        <w:ind w:left="718" w:right="841"/>
      </w:pPr>
      <w:r>
        <w:t xml:space="preserve">ЭГПА - эозинофильный </w:t>
      </w:r>
      <w:r>
        <w:t xml:space="preserve">гранулематоз с полиангиитом </w:t>
      </w:r>
    </w:p>
    <w:p w:rsidR="00F15F71" w:rsidRDefault="00F974CD">
      <w:pPr>
        <w:pStyle w:val="Heading1"/>
        <w:ind w:right="5"/>
      </w:pPr>
      <w:bookmarkStart w:id="3" w:name="_Toc275160"/>
      <w:r>
        <w:t xml:space="preserve">Термины и определения </w:t>
      </w:r>
      <w:bookmarkEnd w:id="3"/>
    </w:p>
    <w:p w:rsidR="00F15F71" w:rsidRDefault="00F974CD">
      <w:pPr>
        <w:spacing w:after="33"/>
        <w:ind w:left="0" w:firstLine="708"/>
      </w:pPr>
      <w:r>
        <w:rPr>
          <w:b/>
        </w:rPr>
        <w:t xml:space="preserve">Астматический статус – </w:t>
      </w:r>
      <w:r>
        <w:t xml:space="preserve">эпизод острой дыхательной недостаточности вследствие обострения БА. </w:t>
      </w:r>
    </w:p>
    <w:p w:rsidR="00F15F71" w:rsidRDefault="00F974CD">
      <w:pPr>
        <w:ind w:left="0" w:right="5" w:firstLine="708"/>
      </w:pPr>
      <w:r>
        <w:rPr>
          <w:b/>
        </w:rPr>
        <w:t xml:space="preserve">Бронхиальная гиперреактивность – </w:t>
      </w:r>
      <w:r>
        <w:t>функциональное нарушение, проявляющееся эпизодами бронхиальной обструкции под в</w:t>
      </w:r>
      <w:r>
        <w:t xml:space="preserve">оздействием стимулов, безопасных для здорового человека. </w:t>
      </w:r>
    </w:p>
    <w:p w:rsidR="00F15F71" w:rsidRDefault="00F974CD">
      <w:pPr>
        <w:spacing w:after="37"/>
        <w:ind w:left="0" w:right="5" w:firstLine="708"/>
      </w:pPr>
      <w:r>
        <w:rPr>
          <w:b/>
        </w:rPr>
        <w:t xml:space="preserve">Бронхорасширяющие средства </w:t>
      </w:r>
      <w:r>
        <w:t>(синонимы: бронходилататоры, бронхолитические средства, бронхолитики)</w:t>
      </w:r>
      <w:r>
        <w:rPr>
          <w:b/>
        </w:rPr>
        <w:t xml:space="preserve"> – </w:t>
      </w:r>
      <w:r>
        <w:t>лекарственные средства разных фармакологических классов, объединяемые в одну группу по общей для ни</w:t>
      </w:r>
      <w:r>
        <w:t xml:space="preserve">х способности устранять бронхоспазм, действуя на тонус бронхиальных мышц и различные звенья его регуляции. АТХ: препараты для лечения обструктивных заболеваний дыхательных путей. </w:t>
      </w:r>
    </w:p>
    <w:p w:rsidR="00F15F71" w:rsidRDefault="00F974CD">
      <w:pPr>
        <w:spacing w:after="32"/>
        <w:ind w:left="0" w:firstLine="708"/>
      </w:pPr>
      <w:r>
        <w:rPr>
          <w:b/>
        </w:rPr>
        <w:t>Клинически значимая сенсибилизация (аллергия)</w:t>
      </w:r>
      <w:r>
        <w:t xml:space="preserve"> – это наличие клинических проя</w:t>
      </w:r>
      <w:r>
        <w:t xml:space="preserve">влений, соответствующих выявленной сенсибилизации. </w:t>
      </w:r>
    </w:p>
    <w:p w:rsidR="00F15F71" w:rsidRDefault="00F974CD">
      <w:pPr>
        <w:spacing w:after="33"/>
        <w:ind w:left="0" w:firstLine="708"/>
      </w:pPr>
      <w:r>
        <w:rPr>
          <w:b/>
        </w:rPr>
        <w:t>Латентная сенсибилизация</w:t>
      </w:r>
      <w:r>
        <w:t xml:space="preserve"> – это наличие сенсибилизации в отсутствии клинических проявлений. </w:t>
      </w:r>
    </w:p>
    <w:p w:rsidR="00F15F71" w:rsidRDefault="00F974CD">
      <w:pPr>
        <w:spacing w:after="36"/>
        <w:ind w:left="0" w:right="4" w:firstLine="708"/>
      </w:pPr>
      <w:r>
        <w:rPr>
          <w:b/>
        </w:rPr>
        <w:t>Обострение бронхиальной астмы</w:t>
      </w:r>
      <w:r>
        <w:t xml:space="preserve"> – эпизоды нарастающей одышки, кашля, свистящих хрипов, или заложенности в грудной </w:t>
      </w:r>
      <w:r>
        <w:t xml:space="preserve">клетке, требующие изменений обычного режима терапии.  </w:t>
      </w:r>
    </w:p>
    <w:p w:rsidR="00F15F71" w:rsidRDefault="00F974CD">
      <w:pPr>
        <w:spacing w:after="35"/>
        <w:ind w:left="0" w:right="9" w:firstLine="708"/>
      </w:pPr>
      <w:r>
        <w:rPr>
          <w:b/>
        </w:rPr>
        <w:t>Профессиональная астма</w:t>
      </w:r>
      <w:r>
        <w:t xml:space="preserve"> – </w:t>
      </w:r>
      <w:r>
        <w:t>это заболевание, характеризующееся гиперчувствительностью дыхательных путей и преходящим ограничением проходимости воздушного потока с развитием воспаления в ответ на экспозицию специфического агента (или комбинации факторов), присутствующего на рабочем ме</w:t>
      </w:r>
      <w:r>
        <w:t xml:space="preserve">сте, и никак не связанное с другими причинными факторами вне рабочего места. </w:t>
      </w:r>
    </w:p>
    <w:p w:rsidR="00F15F71" w:rsidRDefault="00F974CD">
      <w:pPr>
        <w:spacing w:after="34"/>
        <w:ind w:left="0" w:right="5" w:firstLine="708"/>
      </w:pPr>
      <w:r>
        <w:rPr>
          <w:b/>
        </w:rPr>
        <w:t>Сенсибилизация</w:t>
      </w:r>
      <w:r>
        <w:t xml:space="preserve"> – это повышенная чувствительность к определенному аллергену/виду аллергенов, определяется при кожном тестировании и/или повышенным уровнем специфических IgE, выдел</w:t>
      </w:r>
      <w:r>
        <w:t xml:space="preserve">яют клинически значимую и латентную сенсибилизацию. </w:t>
      </w:r>
    </w:p>
    <w:p w:rsidR="00F15F71" w:rsidRDefault="00F974CD">
      <w:pPr>
        <w:spacing w:after="31"/>
        <w:ind w:left="0" w:firstLine="708"/>
      </w:pPr>
      <w:r>
        <w:rPr>
          <w:b/>
        </w:rPr>
        <w:t xml:space="preserve">Фенотип – </w:t>
      </w:r>
      <w:r>
        <w:t xml:space="preserve">совокупность характеристик организма, развивающаяся в результате взаимодействия генетических факторов и окружающей среды. </w:t>
      </w:r>
    </w:p>
    <w:p w:rsidR="00F15F71" w:rsidRDefault="00F974CD">
      <w:pPr>
        <w:spacing w:after="30"/>
        <w:ind w:left="0" w:firstLine="708"/>
      </w:pPr>
      <w:r>
        <w:rPr>
          <w:b/>
        </w:rPr>
        <w:t>Эндотип –</w:t>
      </w:r>
      <w:r>
        <w:t xml:space="preserve"> субтип болезни, определяемый отличительным патобиологическим</w:t>
      </w:r>
      <w:r>
        <w:t xml:space="preserve"> механизмом.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pStyle w:val="Heading1"/>
        <w:spacing w:after="199" w:line="395" w:lineRule="auto"/>
        <w:ind w:right="0"/>
      </w:pPr>
      <w:bookmarkStart w:id="4" w:name="_Toc275161"/>
      <w:r>
        <w:t xml:space="preserve">1. Краткая информация по заболеванию или состоянию (группе заболеваний </w:t>
      </w:r>
      <w:bookmarkEnd w:id="4"/>
    </w:p>
    <w:p w:rsidR="00F15F71" w:rsidRDefault="00F974CD">
      <w:pPr>
        <w:pStyle w:val="Heading1"/>
        <w:spacing w:after="199" w:line="395" w:lineRule="auto"/>
        <w:ind w:right="0"/>
      </w:pPr>
      <w:bookmarkStart w:id="5" w:name="_Toc275162"/>
      <w:r>
        <w:t xml:space="preserve">или состояний) </w:t>
      </w:r>
      <w:bookmarkEnd w:id="5"/>
    </w:p>
    <w:p w:rsidR="00F15F71" w:rsidRDefault="00F974CD">
      <w:pPr>
        <w:pStyle w:val="Heading4"/>
        <w:spacing w:after="6" w:line="393" w:lineRule="auto"/>
        <w:ind w:left="-15" w:right="-7" w:firstLine="698"/>
      </w:pPr>
      <w:bookmarkStart w:id="6" w:name="_Toc275163"/>
      <w:r>
        <w:rPr>
          <w:u w:val="single" w:color="000000"/>
        </w:rPr>
        <w:t xml:space="preserve">1.1 Определение </w:t>
      </w:r>
      <w:r>
        <w:rPr>
          <w:color w:val="333333"/>
          <w:u w:val="single" w:color="333333"/>
        </w:rPr>
        <w:t>заболевания</w:t>
      </w:r>
      <w:r>
        <w:rPr>
          <w:u w:val="single" w:color="333333"/>
        </w:rPr>
        <w:t xml:space="preserve"> </w:t>
      </w:r>
      <w:r>
        <w:rPr>
          <w:color w:val="333333"/>
          <w:u w:val="single" w:color="333333"/>
        </w:rPr>
        <w:t>или состояния (группы заболеваний или</w:t>
      </w:r>
      <w:r>
        <w:rPr>
          <w:color w:val="333333"/>
        </w:rPr>
        <w:t xml:space="preserve"> </w:t>
      </w:r>
      <w:r>
        <w:rPr>
          <w:color w:val="333333"/>
          <w:u w:val="single" w:color="333333"/>
        </w:rPr>
        <w:t>состояний)</w:t>
      </w:r>
      <w:r>
        <w:t xml:space="preserve"> </w:t>
      </w:r>
      <w:bookmarkEnd w:id="6"/>
    </w:p>
    <w:p w:rsidR="00F15F71" w:rsidRDefault="00F974CD">
      <w:pPr>
        <w:ind w:left="0" w:right="7" w:firstLine="708"/>
      </w:pPr>
      <w:r>
        <w:t>Бронхиальная астма (БА) является гетерогенным заболеванием, характеризующи</w:t>
      </w:r>
      <w:r>
        <w:t>мся хроническим воспалением дыхательных путей, наличием респираторных симптомов, таких как приступы затруднения дыхания, удушья, свистящие хрипы, одышка, заложенность в груди и кашель, которые варьируют по времени и интенсивности, и проявляются вместе с ва</w:t>
      </w:r>
      <w:r>
        <w:t xml:space="preserve">риабельной обструкцией дыхательных путей. </w:t>
      </w:r>
    </w:p>
    <w:p w:rsidR="00F15F71" w:rsidRDefault="00F974CD">
      <w:pPr>
        <w:spacing w:after="278"/>
        <w:ind w:left="0" w:right="6" w:firstLine="708"/>
      </w:pPr>
      <w:r>
        <w:t xml:space="preserve">Гетерогенность БА проявляется различными фенотипами заболевания, многие из которых возможно выделить в обычной клинической практике (см. раздел «1.5 Классификация заболевания или состояния (группы заболеваний или </w:t>
      </w:r>
      <w:r>
        <w:t xml:space="preserve">состояний)»). </w:t>
      </w:r>
    </w:p>
    <w:p w:rsidR="00F15F71" w:rsidRDefault="00F974CD">
      <w:pPr>
        <w:pStyle w:val="Heading4"/>
        <w:spacing w:after="6" w:line="393" w:lineRule="auto"/>
        <w:ind w:left="-15" w:right="-7" w:firstLine="698"/>
      </w:pPr>
      <w:bookmarkStart w:id="7" w:name="_Toc275164"/>
      <w:r>
        <w:rPr>
          <w:u w:val="single" w:color="000000"/>
        </w:rPr>
        <w:t xml:space="preserve">1.2 Этиология и патогенез </w:t>
      </w:r>
      <w:r>
        <w:rPr>
          <w:color w:val="333333"/>
          <w:u w:val="single" w:color="333333"/>
        </w:rPr>
        <w:t>заболевания</w:t>
      </w:r>
      <w:r>
        <w:rPr>
          <w:u w:val="single" w:color="333333"/>
        </w:rPr>
        <w:t xml:space="preserve"> </w:t>
      </w:r>
      <w:r>
        <w:rPr>
          <w:color w:val="333333"/>
          <w:u w:val="single" w:color="333333"/>
        </w:rPr>
        <w:t>или состояния (группы заболеваний</w:t>
      </w:r>
      <w:r>
        <w:rPr>
          <w:color w:val="333333"/>
        </w:rPr>
        <w:t xml:space="preserve"> </w:t>
      </w:r>
      <w:r>
        <w:rPr>
          <w:color w:val="333333"/>
          <w:u w:val="single" w:color="333333"/>
        </w:rPr>
        <w:t>или состояний)</w:t>
      </w:r>
      <w:r>
        <w:t xml:space="preserve"> </w:t>
      </w:r>
      <w:bookmarkEnd w:id="7"/>
    </w:p>
    <w:p w:rsidR="00F15F71" w:rsidRDefault="00F974CD">
      <w:pPr>
        <w:spacing w:after="114" w:line="259" w:lineRule="auto"/>
        <w:ind w:left="10" w:right="100"/>
        <w:jc w:val="right"/>
      </w:pPr>
      <w:r>
        <w:t xml:space="preserve">Факторы, которые могут влиять на развитие и проявления БА, приведены в Табл. 1  </w:t>
      </w:r>
    </w:p>
    <w:p w:rsidR="00F15F71" w:rsidRDefault="00F974CD">
      <w:pPr>
        <w:spacing w:after="162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line="270" w:lineRule="auto"/>
        <w:ind w:left="718" w:right="10"/>
      </w:pPr>
      <w:r>
        <w:rPr>
          <w:b/>
        </w:rPr>
        <w:t>Таблица 1.</w:t>
      </w:r>
      <w:r>
        <w:t xml:space="preserve"> </w:t>
      </w:r>
      <w:r>
        <w:rPr>
          <w:b/>
        </w:rPr>
        <w:t xml:space="preserve">Факторы, влияющие на развитие и проявления БА [21] </w:t>
      </w:r>
    </w:p>
    <w:tbl>
      <w:tblPr>
        <w:tblStyle w:val="TableGrid"/>
        <w:tblW w:w="9345" w:type="dxa"/>
        <w:tblInd w:w="6" w:type="dxa"/>
        <w:tblCellMar>
          <w:top w:w="60" w:type="dxa"/>
          <w:left w:w="107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694"/>
        <w:gridCol w:w="7650"/>
      </w:tblGrid>
      <w:tr w:rsidR="00F15F71">
        <w:trPr>
          <w:trHeight w:val="559"/>
        </w:trPr>
        <w:tc>
          <w:tcPr>
            <w:tcW w:w="1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Факторы</w:t>
            </w:r>
            <w:r>
              <w:rPr>
                <w:b/>
              </w:rPr>
              <w:t xml:space="preserve"> </w:t>
            </w:r>
          </w:p>
        </w:tc>
        <w:tc>
          <w:tcPr>
            <w:tcW w:w="7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:rsidR="00F15F71" w:rsidRDefault="00F974CD">
            <w:pPr>
              <w:spacing w:after="0" w:line="259" w:lineRule="auto"/>
              <w:ind w:left="711" w:firstLine="0"/>
              <w:jc w:val="left"/>
            </w:pPr>
            <w:r>
              <w:rPr>
                <w:b/>
              </w:rPr>
              <w:t xml:space="preserve">Описание </w:t>
            </w:r>
          </w:p>
        </w:tc>
      </w:tr>
      <w:tr w:rsidR="00F15F71">
        <w:trPr>
          <w:trHeight w:val="1667"/>
        </w:trPr>
        <w:tc>
          <w:tcPr>
            <w:tcW w:w="1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395" w:lineRule="auto"/>
              <w:ind w:left="0" w:firstLine="0"/>
              <w:jc w:val="left"/>
            </w:pPr>
            <w:r>
              <w:t xml:space="preserve">Внутренние факторы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7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49"/>
              </w:numPr>
              <w:spacing w:after="25" w:line="259" w:lineRule="auto"/>
              <w:ind w:hanging="348"/>
              <w:jc w:val="left"/>
            </w:pPr>
            <w:r>
              <w:t xml:space="preserve">Генетическая предрасположенность к атопии </w:t>
            </w:r>
          </w:p>
          <w:p w:rsidR="00F15F71" w:rsidRDefault="00F974CD">
            <w:pPr>
              <w:numPr>
                <w:ilvl w:val="0"/>
                <w:numId w:val="49"/>
              </w:numPr>
              <w:spacing w:after="0" w:line="284" w:lineRule="auto"/>
              <w:ind w:hanging="348"/>
              <w:jc w:val="left"/>
            </w:pPr>
            <w:r>
              <w:t xml:space="preserve">Генетическая </w:t>
            </w:r>
            <w:r>
              <w:tab/>
              <w:t xml:space="preserve">предрасположенность </w:t>
            </w:r>
            <w:r>
              <w:tab/>
              <w:t xml:space="preserve">к </w:t>
            </w:r>
            <w:r>
              <w:tab/>
              <w:t xml:space="preserve">бронхиальной гиперреактивности  </w:t>
            </w:r>
          </w:p>
          <w:p w:rsidR="00F15F71" w:rsidRDefault="00F974CD">
            <w:pPr>
              <w:numPr>
                <w:ilvl w:val="0"/>
                <w:numId w:val="49"/>
              </w:numPr>
              <w:spacing w:after="0" w:line="278" w:lineRule="auto"/>
              <w:ind w:hanging="348"/>
              <w:jc w:val="left"/>
            </w:pPr>
            <w:r>
              <w:t xml:space="preserve">Пол (в детском возрасте БА чаще развивается у мальчиков; в подростковом и взрослом – у женщин) </w:t>
            </w:r>
          </w:p>
          <w:p w:rsidR="00F15F71" w:rsidRDefault="00F974CD">
            <w:pPr>
              <w:numPr>
                <w:ilvl w:val="0"/>
                <w:numId w:val="49"/>
              </w:numPr>
              <w:spacing w:after="0" w:line="259" w:lineRule="auto"/>
              <w:ind w:hanging="348"/>
              <w:jc w:val="left"/>
            </w:pPr>
            <w:r>
              <w:t xml:space="preserve">Ожирение </w:t>
            </w:r>
          </w:p>
        </w:tc>
      </w:tr>
      <w:tr w:rsidR="00F15F71">
        <w:trPr>
          <w:trHeight w:val="3598"/>
        </w:trPr>
        <w:tc>
          <w:tcPr>
            <w:tcW w:w="1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376" w:lineRule="auto"/>
              <w:ind w:left="0" w:firstLine="0"/>
              <w:jc w:val="left"/>
            </w:pPr>
            <w:r>
              <w:t xml:space="preserve">Факторы окружающей среды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7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50"/>
              </w:numPr>
              <w:spacing w:after="26" w:line="258" w:lineRule="auto"/>
              <w:ind w:hanging="283"/>
              <w:jc w:val="left"/>
            </w:pPr>
            <w:r>
              <w:t xml:space="preserve">Аллергены: клещи домашней пыли, аллергены домашних животных, аллергены тараканов, грибковые аллергены, пыльца растений, пищевые (например, молоко, арахис, рыба) </w:t>
            </w:r>
          </w:p>
          <w:p w:rsidR="00F15F71" w:rsidRDefault="00F974CD">
            <w:pPr>
              <w:numPr>
                <w:ilvl w:val="0"/>
                <w:numId w:val="50"/>
              </w:numPr>
              <w:spacing w:after="24" w:line="259" w:lineRule="auto"/>
              <w:ind w:hanging="283"/>
              <w:jc w:val="left"/>
            </w:pPr>
            <w:r>
              <w:t xml:space="preserve">Инфекционные агенты (преимущественно вирусные) </w:t>
            </w:r>
          </w:p>
          <w:p w:rsidR="00F15F71" w:rsidRDefault="00F974CD">
            <w:pPr>
              <w:numPr>
                <w:ilvl w:val="0"/>
                <w:numId w:val="50"/>
              </w:numPr>
              <w:spacing w:after="26" w:line="259" w:lineRule="auto"/>
              <w:ind w:hanging="283"/>
              <w:jc w:val="left"/>
            </w:pPr>
            <w:r>
              <w:t>Профессиональные ф</w:t>
            </w:r>
            <w:r>
              <w:t xml:space="preserve">акторы </w:t>
            </w:r>
          </w:p>
          <w:p w:rsidR="00F15F71" w:rsidRDefault="00F974CD">
            <w:pPr>
              <w:numPr>
                <w:ilvl w:val="0"/>
                <w:numId w:val="50"/>
              </w:numPr>
              <w:spacing w:after="27" w:line="258" w:lineRule="auto"/>
              <w:ind w:hanging="283"/>
              <w:jc w:val="left"/>
            </w:pPr>
            <w:r>
              <w:t xml:space="preserve">Аэрополлютанты: озон, диоксиды серы и азота, продукты сгорания дизельного топлива, табачный дым (активное и пассивное курение) </w:t>
            </w:r>
          </w:p>
          <w:p w:rsidR="00F15F71" w:rsidRDefault="00F974CD">
            <w:pPr>
              <w:numPr>
                <w:ilvl w:val="0"/>
                <w:numId w:val="50"/>
              </w:numPr>
              <w:spacing w:after="0" w:line="259" w:lineRule="auto"/>
              <w:ind w:hanging="283"/>
              <w:jc w:val="left"/>
            </w:pPr>
            <w:r>
              <w:t>Диета: повышенное потребление продуктов высокой степени обработки, увеличенное поступление омега-</w:t>
            </w:r>
            <w:r>
              <w:t xml:space="preserve">6 полиненасыщенной жирной кислоты и сниженное – антиоксидантов (в виде фруктов и овощей) и омега-3 полиненасыщенной жирной кислоты (в составе жирных сортов рыбы) </w:t>
            </w:r>
          </w:p>
        </w:tc>
      </w:tr>
    </w:tbl>
    <w:p w:rsidR="00F15F71" w:rsidRDefault="00F974CD">
      <w:pPr>
        <w:spacing w:after="0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257"/>
        <w:ind w:left="0" w:firstLine="708"/>
      </w:pPr>
      <w:r>
        <w:t>Мультифакториальность патогенеза БА обусловлена вкладом целого ряда факторов – как генетич</w:t>
      </w:r>
      <w:r>
        <w:t>еских – наследственности, так и эпигенетических – реализуемых при множественном экспосомальном воздействии. Патогенез БА представляет собой сложный и все еще до конца неизвестный механизм, включающий участие генетических факторов, клеток врожденного и адап</w:t>
      </w:r>
      <w:r>
        <w:t>тивного иммунитета, эпителиальных барьеров, цитокинов и хемокинов, нейромедиаторов и многих других клеточных и медиаторных элементов, формирующих разные фенотипы и эндотипы болезни. Сложное взаимодействие между иммунными ответами 1-го и 2-го типов способст</w:t>
      </w:r>
      <w:r>
        <w:t>вует возникновению различных биологических фенотипов астмы. Основные иммуно-воспалительные механизмы БА включают эндотипы с высоким Т2-воспалением (Т2-астма), низким Т2-воспалением (неТ2-астма) и смешанные, которые могут иметь общие генетические, эпигенети</w:t>
      </w:r>
      <w:r>
        <w:t>ческие, метаболические, нейрогенные и ремоделирующие характеристики [1]. В соответствии с этой концепцией, в основе аллергической БА, поздней эозинофильной БА, аспирининдуцированном респираторном заболевании, лежит преимущественно T2-эозинофильное воспален</w:t>
      </w:r>
      <w:r>
        <w:t>ие, тогда как воспалительную основу БА, ассоциированной с ожирением, БА курильщиков и БА с очень поздним дебютом составляет неТ2-воспаление. Это может быть нейтрофильное или малогранулоцитарное воспаление, в формировании которых роль цитокинов Т2-профиля (</w:t>
      </w:r>
      <w:r>
        <w:t>ИЛ-4, ИЛ-5, ИЛ-13) не столь значима. Доминирование T2иммунного ответа, развивающегося в нижних дыхательных путях, составляет основу иммунологических нарушений в абсолютном большинстве случаев БА. Повторное воздействие аллергенов у генетически предрасположе</w:t>
      </w:r>
      <w:r>
        <w:t xml:space="preserve">нных лиц индуцирует развитие Th2 клеток, которые продуцируют ИЛ-4, ИЛ-5 и ИЛ-13. Эти цитокины 2-го типа могут также продуцироваться альтернативными механизмами с участием клеток врожденной иммунной системы 2 типа (ВЛК2). Таким образом, название этого типа </w:t>
      </w:r>
      <w:r>
        <w:t>воспаления и эндотипа БА было изменено с Th2, что подразумевало продукцию этих цитокинов исключительно Th2-лимфоцитами, на воспаление 2-го типа (Т2-воспаление), которое, соответственно, лежит в основе Т2-астмы [2]. Патогены, включая бактерии, вирусы и гриб</w:t>
      </w:r>
      <w:r>
        <w:t>ки, а также аллергены и поллютанты, могут вызывать повреждение эпителия, приводя к повышенной экспрессии и высвобождению аларминов: ИЛ-33, ИЛ-25 и стромального лимфопоэтина тимуса (TSLP), которые стимулируют ВЛК2 к продукции ИЛ-5 и ИЛ-13, а также активирую</w:t>
      </w:r>
      <w:r>
        <w:t>т пролиферацию Тh2, приводя в конечном итоге к развитию эозинофильного воспаления в слизистой дыхательных путей. Значение эозинофильного воспаления при БА сложно переоценить. Повышение числа эозинофилов в дыхательных путях — характерный признак данного заб</w:t>
      </w:r>
      <w:r>
        <w:t xml:space="preserve">олевания, а инфильтрация бронхиальной стенки активированными эозинофилами опосредует повреждение эпителия дыхательных путей у больных БА.  </w:t>
      </w:r>
    </w:p>
    <w:p w:rsidR="00F15F71" w:rsidRDefault="00F974CD">
      <w:pPr>
        <w:pStyle w:val="Heading4"/>
        <w:spacing w:after="6" w:line="393" w:lineRule="auto"/>
        <w:ind w:left="-15" w:right="-7" w:firstLine="698"/>
      </w:pPr>
      <w:bookmarkStart w:id="8" w:name="_Toc275165"/>
      <w:r>
        <w:rPr>
          <w:u w:val="single" w:color="000000"/>
        </w:rPr>
        <w:t xml:space="preserve">1.3 Эпидемиология </w:t>
      </w:r>
      <w:r>
        <w:rPr>
          <w:color w:val="333333"/>
          <w:u w:val="single" w:color="333333"/>
        </w:rPr>
        <w:t>заболевания</w:t>
      </w:r>
      <w:r>
        <w:rPr>
          <w:u w:val="single" w:color="333333"/>
        </w:rPr>
        <w:t xml:space="preserve"> </w:t>
      </w:r>
      <w:r>
        <w:rPr>
          <w:color w:val="333333"/>
          <w:u w:val="single" w:color="333333"/>
        </w:rPr>
        <w:t>или состояния (группы заболеваний или</w:t>
      </w:r>
      <w:r>
        <w:rPr>
          <w:color w:val="333333"/>
        </w:rPr>
        <w:t xml:space="preserve"> </w:t>
      </w:r>
      <w:r>
        <w:rPr>
          <w:color w:val="333333"/>
          <w:u w:val="single" w:color="333333"/>
        </w:rPr>
        <w:t>состояний)</w:t>
      </w:r>
      <w:r>
        <w:t xml:space="preserve"> </w:t>
      </w:r>
      <w:bookmarkEnd w:id="8"/>
    </w:p>
    <w:p w:rsidR="00F15F71" w:rsidRDefault="00F974CD">
      <w:pPr>
        <w:spacing w:after="33"/>
        <w:ind w:left="0" w:right="2" w:firstLine="708"/>
      </w:pPr>
      <w:r>
        <w:t>По имеющимся оценкам, в 2019 г. обще</w:t>
      </w:r>
      <w:r>
        <w:t>е число больных астмой составило 262 млн человек, и было зарегистрировано 461 000 случаев смерти по причине БА [3]. По крайней мере, 348 млн. пациентов во всем мире страдают БА [4]. В РФ, по данным недавно проведенного эпидемиологического исследования, рас</w:t>
      </w:r>
      <w:r>
        <w:t>пространенность БА среди взрослых составляет 6,9% [5], а среди детей и подростков – около 10% [6]. По данным Центра по контролю и профилактике заболеваний (Centers for Disease Control and Prevention - CDC) на 2020 г. в США 25,25 млн. (7,8%) человек страдал</w:t>
      </w:r>
      <w:r>
        <w:t>и БА: из них 4,2 млн. (5,8%) – дети, при этом 2,0% – пациенты в возрасте от 0 до 4 лет; 6,6% – дети от 5 до 14 лет; 9,1% – от 15 до 17 лет. Согласно данному отчету, показатель смертности от астмы у детей составил 2,8 на 1 млн (204 пациента) [7]. Динамическ</w:t>
      </w:r>
      <w:r>
        <w:t>ие данные по 2021 г. отличаются незначительно: в 2021 г в США БА страдали 20,29 млн. взрослых (8%) и 4,68 млн. (6,5%): из них в возрасте от 0 до 4 лет – 1,9% детей, от 5 до 14 лет – 7,7%, и от 15 до 17 лет – 8,1%; показатель смертности от астмы среди детей</w:t>
      </w:r>
      <w:r>
        <w:t xml:space="preserve"> составил 2,0 % (145 пациентов) [7]. В России на 2022 г. по данным Департамента мониторинга, анализа и стратегического развития Минздрава России и ФГБУ «ЦНИИОЗ» Минздрава России с диагнозом БА числилось 1,591 млн. больных (1,569 млн. на 2021 г.), из них по</w:t>
      </w:r>
      <w:r>
        <w:t xml:space="preserve">дростков 1517 лет – 84 тыс. и детей от 0 до 14 лет – 229 тыс.[8,9]. </w:t>
      </w:r>
    </w:p>
    <w:p w:rsidR="00F15F71" w:rsidRDefault="00F974CD">
      <w:pPr>
        <w:spacing w:after="50"/>
        <w:ind w:left="10" w:right="7"/>
      </w:pPr>
      <w:r>
        <w:t xml:space="preserve"> Большинство пациентов, страдающих БА, хорошо отвечают на традиционную терапию. Однако, существенная часть пациентов (20–30%) имеет </w:t>
      </w:r>
      <w:r>
        <w:t xml:space="preserve">трудную для достижения контроля над симптомами БА, что может быть обусловлено: </w:t>
      </w:r>
    </w:p>
    <w:p w:rsidR="00F15F71" w:rsidRDefault="00F974CD">
      <w:pPr>
        <w:spacing w:after="138" w:line="259" w:lineRule="auto"/>
        <w:ind w:left="370" w:right="841"/>
      </w:pPr>
      <w:r>
        <w:rPr>
          <w:rFonts w:ascii="Segoe UI Symbol" w:eastAsia="Segoe UI Symbol" w:hAnsi="Segoe UI Symbol" w:cs="Segoe UI Symbol"/>
        </w:rPr>
        <w:t>−</w:t>
      </w:r>
      <w:r>
        <w:rPr>
          <w:rFonts w:ascii="Arial" w:eastAsia="Arial" w:hAnsi="Arial" w:cs="Arial"/>
        </w:rPr>
        <w:t xml:space="preserve"> </w:t>
      </w:r>
      <w:r>
        <w:t xml:space="preserve">присутствием триггеров (курением),  </w:t>
      </w:r>
    </w:p>
    <w:p w:rsidR="00F15F71" w:rsidRDefault="00F974CD">
      <w:pPr>
        <w:spacing w:after="53"/>
        <w:ind w:left="720" w:hanging="360"/>
      </w:pPr>
      <w:r>
        <w:rPr>
          <w:rFonts w:ascii="Segoe UI Symbol" w:eastAsia="Segoe UI Symbol" w:hAnsi="Segoe UI Symbol" w:cs="Segoe UI Symbol"/>
        </w:rPr>
        <w:t>−</w:t>
      </w:r>
      <w:r>
        <w:rPr>
          <w:rFonts w:ascii="Arial" w:eastAsia="Arial" w:hAnsi="Arial" w:cs="Arial"/>
        </w:rPr>
        <w:t xml:space="preserve"> </w:t>
      </w:r>
      <w:r>
        <w:t xml:space="preserve">наличием сопутствующего ожирения (что определяет метаболические особенности ответа на фармакотерапию),  </w:t>
      </w:r>
    </w:p>
    <w:p w:rsidR="00F15F71" w:rsidRDefault="00F974CD">
      <w:pPr>
        <w:spacing w:after="138" w:line="259" w:lineRule="auto"/>
        <w:ind w:left="370" w:right="841"/>
      </w:pPr>
      <w:r>
        <w:rPr>
          <w:rFonts w:ascii="Segoe UI Symbol" w:eastAsia="Segoe UI Symbol" w:hAnsi="Segoe UI Symbol" w:cs="Segoe UI Symbol"/>
        </w:rPr>
        <w:t>−</w:t>
      </w:r>
      <w:r>
        <w:rPr>
          <w:rFonts w:ascii="Arial" w:eastAsia="Arial" w:hAnsi="Arial" w:cs="Arial"/>
        </w:rPr>
        <w:t xml:space="preserve"> </w:t>
      </w:r>
      <w:r>
        <w:t>фенотипом (например, эозиноф</w:t>
      </w:r>
      <w:r>
        <w:t xml:space="preserve">ильная БА),  </w:t>
      </w:r>
    </w:p>
    <w:p w:rsidR="00F15F71" w:rsidRDefault="00F974CD">
      <w:pPr>
        <w:spacing w:after="112" w:line="259" w:lineRule="auto"/>
        <w:ind w:left="370"/>
      </w:pPr>
      <w:r>
        <w:rPr>
          <w:rFonts w:ascii="Segoe UI Symbol" w:eastAsia="Segoe UI Symbol" w:hAnsi="Segoe UI Symbol" w:cs="Segoe UI Symbol"/>
        </w:rPr>
        <w:t>−</w:t>
      </w:r>
      <w:r>
        <w:rPr>
          <w:rFonts w:ascii="Arial" w:eastAsia="Arial" w:hAnsi="Arial" w:cs="Arial"/>
        </w:rPr>
        <w:t xml:space="preserve"> </w:t>
      </w:r>
      <w:r>
        <w:t xml:space="preserve">выраженным ремоделированием дыхательных путей при среднетяжелой и тяжелой </w:t>
      </w:r>
    </w:p>
    <w:p w:rsidR="00F15F71" w:rsidRDefault="00F974CD">
      <w:pPr>
        <w:spacing w:after="183" w:line="259" w:lineRule="auto"/>
        <w:ind w:left="730" w:right="841"/>
      </w:pPr>
      <w:r>
        <w:t xml:space="preserve">БА (как следствие - фиксированной бронхиальной обструкцией),  </w:t>
      </w:r>
    </w:p>
    <w:p w:rsidR="00F15F71" w:rsidRDefault="00F974CD">
      <w:pPr>
        <w:spacing w:after="135" w:line="259" w:lineRule="auto"/>
        <w:ind w:left="370" w:right="841"/>
      </w:pPr>
      <w:r>
        <w:rPr>
          <w:rFonts w:ascii="Segoe UI Symbol" w:eastAsia="Segoe UI Symbol" w:hAnsi="Segoe UI Symbol" w:cs="Segoe UI Symbol"/>
        </w:rPr>
        <w:t>−</w:t>
      </w:r>
      <w:r>
        <w:rPr>
          <w:rFonts w:ascii="Arial" w:eastAsia="Arial" w:hAnsi="Arial" w:cs="Arial"/>
        </w:rPr>
        <w:t xml:space="preserve"> </w:t>
      </w:r>
      <w:r>
        <w:t xml:space="preserve">низкой приверженностью, </w:t>
      </w:r>
    </w:p>
    <w:p w:rsidR="00F15F71" w:rsidRDefault="00F974CD">
      <w:pPr>
        <w:spacing w:after="69" w:line="259" w:lineRule="auto"/>
        <w:ind w:left="370" w:right="841"/>
      </w:pPr>
      <w:r>
        <w:rPr>
          <w:rFonts w:ascii="Segoe UI Symbol" w:eastAsia="Segoe UI Symbol" w:hAnsi="Segoe UI Symbol" w:cs="Segoe UI Symbol"/>
        </w:rPr>
        <w:t>−</w:t>
      </w:r>
      <w:r>
        <w:rPr>
          <w:rFonts w:ascii="Arial" w:eastAsia="Arial" w:hAnsi="Arial" w:cs="Arial"/>
        </w:rPr>
        <w:t xml:space="preserve"> </w:t>
      </w:r>
      <w:r>
        <w:t xml:space="preserve">неправильной техникой ингаляции.  </w:t>
      </w:r>
    </w:p>
    <w:p w:rsidR="00F15F71" w:rsidRDefault="00F974CD">
      <w:pPr>
        <w:spacing w:after="26"/>
        <w:ind w:left="0" w:firstLine="708"/>
      </w:pPr>
      <w:r>
        <w:t>У них отмечается высокая частота обост</w:t>
      </w:r>
      <w:r>
        <w:t xml:space="preserve">рений и обращений за неотложной медицинской помощью [4]. </w:t>
      </w:r>
    </w:p>
    <w:p w:rsidR="00F15F71" w:rsidRDefault="00F974CD">
      <w:pPr>
        <w:spacing w:after="276"/>
        <w:ind w:left="0" w:right="3" w:firstLine="708"/>
      </w:pPr>
      <w:r>
        <w:t>В приемных отделениях и отделениях неотложной помощи стационаров развитых стран на долю пациентов с обострением БА приходится до 12% всех обращений, из них 20–30% нуждаются в госпитализации в специа</w:t>
      </w:r>
      <w:r>
        <w:t>лизированные отделения, и около 4-7% – в отделения реанимации и интенсивной терапии (ОРИТ) [10–13]. Около 5% всех пациентов с обострением БА требуют проведения интубации трахеи и искусственной вентиляции легких (ИВЛ), при этом в случае проведения ИВЛ летал</w:t>
      </w:r>
      <w:r>
        <w:t xml:space="preserve">ьность среди пациентов с БА достигает почти 7% [14]. </w:t>
      </w:r>
    </w:p>
    <w:p w:rsidR="00F15F71" w:rsidRDefault="00F974CD">
      <w:pPr>
        <w:pStyle w:val="Heading4"/>
        <w:spacing w:after="6" w:line="393" w:lineRule="auto"/>
        <w:ind w:left="-15" w:right="-7" w:firstLine="698"/>
      </w:pPr>
      <w:bookmarkStart w:id="9" w:name="_Toc275166"/>
      <w:r>
        <w:rPr>
          <w:u w:val="single" w:color="333333"/>
        </w:rPr>
        <w:t xml:space="preserve">1.4 </w:t>
      </w:r>
      <w:r>
        <w:rPr>
          <w:color w:val="333333"/>
          <w:u w:val="single" w:color="333333"/>
        </w:rPr>
        <w:t>Особенности кодирования заболевания или состояния (группы</w:t>
      </w:r>
      <w:r>
        <w:rPr>
          <w:color w:val="333333"/>
        </w:rPr>
        <w:t xml:space="preserve"> </w:t>
      </w:r>
      <w:r>
        <w:rPr>
          <w:color w:val="333333"/>
          <w:u w:val="single" w:color="333333"/>
        </w:rPr>
        <w:t>заболеваний или состояний) по Международной статистической классификации</w:t>
      </w:r>
      <w:r>
        <w:rPr>
          <w:color w:val="333333"/>
        </w:rPr>
        <w:t xml:space="preserve"> </w:t>
      </w:r>
      <w:r>
        <w:rPr>
          <w:color w:val="333333"/>
          <w:u w:val="single" w:color="333333"/>
        </w:rPr>
        <w:t>болезней и проблем, связанных со здоровьем</w:t>
      </w:r>
      <w:r>
        <w:t xml:space="preserve"> </w:t>
      </w:r>
      <w:bookmarkEnd w:id="9"/>
    </w:p>
    <w:p w:rsidR="00F15F71" w:rsidRDefault="00F974CD">
      <w:pPr>
        <w:spacing w:after="6" w:line="393" w:lineRule="auto"/>
        <w:ind w:left="-15" w:right="-7" w:firstLine="698"/>
      </w:pPr>
      <w:r>
        <w:t xml:space="preserve">Бронхиальная астма (J45): </w:t>
      </w:r>
    </w:p>
    <w:p w:rsidR="00F15F71" w:rsidRDefault="00F974CD">
      <w:pPr>
        <w:spacing w:after="153" w:line="259" w:lineRule="auto"/>
        <w:ind w:left="718" w:right="841"/>
      </w:pPr>
      <w:r>
        <w:t xml:space="preserve">J45.0 – Бронхиальная астма с преобладанием аллергического компонента </w:t>
      </w:r>
    </w:p>
    <w:p w:rsidR="00F15F71" w:rsidRDefault="00F974CD">
      <w:pPr>
        <w:spacing w:after="154" w:line="259" w:lineRule="auto"/>
        <w:ind w:left="718" w:right="841"/>
      </w:pPr>
      <w:r>
        <w:t xml:space="preserve">J45.1 – Неаллергическая бронхиальная астма </w:t>
      </w:r>
    </w:p>
    <w:p w:rsidR="00F15F71" w:rsidRDefault="00F974CD">
      <w:pPr>
        <w:spacing w:after="250" w:line="391" w:lineRule="auto"/>
        <w:ind w:left="718" w:right="4026"/>
        <w:jc w:val="left"/>
      </w:pPr>
      <w:r>
        <w:t xml:space="preserve">J45.8 – Смешанная бронхиальная астма J45.9 – Бронхиальная астма неуточненная Астматический статус (J46). </w:t>
      </w:r>
    </w:p>
    <w:p w:rsidR="00F15F71" w:rsidRDefault="00F974CD">
      <w:pPr>
        <w:pStyle w:val="Heading4"/>
        <w:spacing w:after="6" w:line="393" w:lineRule="auto"/>
        <w:ind w:left="-15" w:right="-7" w:firstLine="698"/>
      </w:pPr>
      <w:bookmarkStart w:id="10" w:name="_Toc275167"/>
      <w:r>
        <w:rPr>
          <w:u w:val="single" w:color="000000"/>
        </w:rPr>
        <w:t>1.5 Класс</w:t>
      </w:r>
      <w:r>
        <w:rPr>
          <w:u w:val="single" w:color="000000"/>
        </w:rPr>
        <w:t xml:space="preserve">ификация </w:t>
      </w:r>
      <w:r>
        <w:rPr>
          <w:color w:val="333333"/>
          <w:u w:val="single" w:color="333333"/>
        </w:rPr>
        <w:t>заболевания</w:t>
      </w:r>
      <w:r>
        <w:rPr>
          <w:u w:val="single" w:color="333333"/>
        </w:rPr>
        <w:t xml:space="preserve"> </w:t>
      </w:r>
      <w:r>
        <w:rPr>
          <w:color w:val="333333"/>
          <w:u w:val="single" w:color="333333"/>
        </w:rPr>
        <w:t>или состояния (группы заболеваний или</w:t>
      </w:r>
      <w:r>
        <w:rPr>
          <w:color w:val="333333"/>
        </w:rPr>
        <w:t xml:space="preserve"> </w:t>
      </w:r>
      <w:r>
        <w:rPr>
          <w:color w:val="333333"/>
          <w:u w:val="single" w:color="333333"/>
        </w:rPr>
        <w:t>состояний)</w:t>
      </w:r>
      <w:r>
        <w:t xml:space="preserve"> </w:t>
      </w:r>
      <w:bookmarkEnd w:id="10"/>
    </w:p>
    <w:p w:rsidR="00F15F71" w:rsidRDefault="00F974CD">
      <w:pPr>
        <w:spacing w:after="104" w:line="270" w:lineRule="auto"/>
        <w:ind w:left="718" w:right="10"/>
      </w:pPr>
      <w:r>
        <w:rPr>
          <w:b/>
        </w:rPr>
        <w:t xml:space="preserve">Классификация БА по фенотипам </w:t>
      </w:r>
    </w:p>
    <w:p w:rsidR="00F15F71" w:rsidRDefault="00F974CD">
      <w:pPr>
        <w:ind w:left="0" w:right="4" w:firstLine="708"/>
      </w:pPr>
      <w:r>
        <w:t>Определение фенотипических особенностей заболевания является требованием времени, так как персонализированная медицина на основании отбора пациентов (выделение субпопуляций/кластеров/фенотипов БА) предусматривает использование ряда диагностических тестов и</w:t>
      </w:r>
      <w:r>
        <w:t xml:space="preserve"> при подтверждении предполагаемого фенотипа – таргетную терапию, и персонифицированные методы профилактики [15–17] </w:t>
      </w:r>
    </w:p>
    <w:p w:rsidR="00F15F71" w:rsidRDefault="00F974CD">
      <w:pPr>
        <w:spacing w:after="36"/>
        <w:ind w:left="0" w:right="4" w:firstLine="708"/>
      </w:pPr>
      <w:r>
        <w:rPr>
          <w:b/>
          <w:i/>
        </w:rPr>
        <w:t>Аллергическая (атопическая) БА</w:t>
      </w:r>
      <w:r>
        <w:t>: наиболее легко распознаваемый фенотип, при котором БА обычно начинается в детстве, связана с наличием других</w:t>
      </w:r>
      <w:r>
        <w:t xml:space="preserve"> аллергических болезней (атопический дерматит, аллергический ринит, пищевая аллергия) у пациента или родственников. Для этого фенотипа характерно эозинофильное воспаление дыхательных путей и хороший ответ на терапию ингаляционными глюкокортикостероидами (И</w:t>
      </w:r>
      <w:r>
        <w:t xml:space="preserve">ГКС). </w:t>
      </w:r>
    </w:p>
    <w:p w:rsidR="00F15F71" w:rsidRDefault="00F974CD">
      <w:pPr>
        <w:spacing w:after="162" w:line="259" w:lineRule="auto"/>
        <w:ind w:left="10" w:right="841"/>
      </w:pPr>
      <w:r>
        <w:t xml:space="preserve">Атопическая БА является показанием для проведения АСИТ. </w:t>
      </w:r>
    </w:p>
    <w:p w:rsidR="00F15F71" w:rsidRDefault="00F974CD">
      <w:pPr>
        <w:ind w:left="0" w:right="6" w:firstLine="708"/>
      </w:pPr>
      <w:r>
        <w:rPr>
          <w:b/>
          <w:i/>
        </w:rPr>
        <w:t>Неаллергическая БА (в том числе аспирин-чувствительная)</w:t>
      </w:r>
      <w:r>
        <w:rPr>
          <w:b/>
        </w:rPr>
        <w:t>:</w:t>
      </w:r>
      <w:r>
        <w:t xml:space="preserve"> встречается преимущественно у взрослых, не связана с аллергией. Профиль воспаления дыхательных путей у пациентов с данным фенотипом мож</w:t>
      </w:r>
      <w:r>
        <w:t xml:space="preserve">ет быть эозинофильным, нейтрофильным, смешанным или малогранулоцитарным. В зависимости от характера воспаления ответ на ИГКС у пациентов с неаллергической астмой может быть недостаточным. </w:t>
      </w:r>
    </w:p>
    <w:p w:rsidR="00F15F71" w:rsidRDefault="00F974CD">
      <w:pPr>
        <w:spacing w:after="36"/>
        <w:ind w:left="0" w:right="3" w:firstLine="708"/>
      </w:pPr>
      <w:r>
        <w:rPr>
          <w:b/>
          <w:i/>
        </w:rPr>
        <w:t>БА с поздним дебютом</w:t>
      </w:r>
      <w:r>
        <w:rPr>
          <w:b/>
        </w:rPr>
        <w:t>:</w:t>
      </w:r>
      <w:r>
        <w:t xml:space="preserve"> </w:t>
      </w:r>
      <w:r>
        <w:t xml:space="preserve">у некоторых пациентов, особенно женщин, астма дебютирует во взрослом возрасте. Эти пациенты чаще не имеют аллергии и, как правило, являются относительно рефрактерными к терапии СГКС или им требуются более высокие дозы ИГКС. </w:t>
      </w:r>
    </w:p>
    <w:p w:rsidR="00F15F71" w:rsidRDefault="00F974CD">
      <w:pPr>
        <w:spacing w:after="32"/>
        <w:ind w:left="0" w:right="8" w:firstLine="708"/>
      </w:pPr>
      <w:r>
        <w:rPr>
          <w:b/>
          <w:i/>
        </w:rPr>
        <w:t xml:space="preserve">БА с фиксированной обструкцией </w:t>
      </w:r>
      <w:r>
        <w:rPr>
          <w:b/>
          <w:i/>
        </w:rPr>
        <w:t>дыхательных путей</w:t>
      </w:r>
      <w:r>
        <w:t xml:space="preserve">: у некоторых пациентов с длительным анамнезом БА, по-видимому, вследствие ремоделирования бронхиальной стенки развивается фиксированная обструкция дыхательных путей. </w:t>
      </w:r>
    </w:p>
    <w:p w:rsidR="00F15F71" w:rsidRDefault="00F974CD">
      <w:pPr>
        <w:spacing w:after="31"/>
        <w:ind w:left="0" w:firstLine="708"/>
      </w:pPr>
      <w:r>
        <w:rPr>
          <w:b/>
          <w:i/>
        </w:rPr>
        <w:t>БА у пациентов с ожирением</w:t>
      </w:r>
      <w:r>
        <w:rPr>
          <w:b/>
        </w:rPr>
        <w:t>:</w:t>
      </w:r>
      <w:r>
        <w:t xml:space="preserve"> пациенты с ожирением и БА часто имеют выраж</w:t>
      </w:r>
      <w:r>
        <w:t xml:space="preserve">енные респираторные симптомы, не связанные с эозинофильным воспалением. </w:t>
      </w:r>
    </w:p>
    <w:p w:rsidR="00F15F71" w:rsidRDefault="00F974CD">
      <w:pPr>
        <w:spacing w:after="35"/>
        <w:ind w:left="0" w:firstLine="708"/>
      </w:pPr>
      <w:r>
        <w:t xml:space="preserve"> У индивидуума, страдающего астмой, может присутствовать несколько фенотипов БА одновременно, более того, один фенотип может трансформироваться в другой. </w:t>
      </w:r>
    </w:p>
    <w:p w:rsidR="00F15F71" w:rsidRDefault="00F974CD">
      <w:pPr>
        <w:spacing w:after="101" w:line="270" w:lineRule="auto"/>
        <w:ind w:left="718" w:right="10"/>
      </w:pPr>
      <w:r>
        <w:rPr>
          <w:b/>
        </w:rPr>
        <w:t xml:space="preserve">Классификация БА по степени </w:t>
      </w:r>
      <w:r>
        <w:rPr>
          <w:b/>
        </w:rPr>
        <w:t xml:space="preserve">тяжести </w:t>
      </w:r>
    </w:p>
    <w:p w:rsidR="00F15F71" w:rsidRDefault="00F974CD">
      <w:pPr>
        <w:spacing w:line="387" w:lineRule="auto"/>
        <w:ind w:left="-15" w:right="7" w:firstLine="710"/>
      </w:pPr>
      <w:r>
        <w:rPr>
          <w:i/>
        </w:rPr>
        <w:t>Степень тяжести БА у пациентов, получающих лечение, оценивается ретроспективно и определяется объемом терапии (проводимой в течение предшествующих нескольких месяцев), необходимой для достижения контроля над симптомами</w:t>
      </w:r>
      <w:r>
        <w:t xml:space="preserve"> [18–21]</w:t>
      </w:r>
      <w:r>
        <w:rPr>
          <w:i/>
        </w:rPr>
        <w:t xml:space="preserve"> </w:t>
      </w:r>
    </w:p>
    <w:p w:rsidR="00F15F71" w:rsidRDefault="00F974CD">
      <w:pPr>
        <w:ind w:left="0" w:right="3" w:firstLine="708"/>
      </w:pPr>
      <w:r>
        <w:rPr>
          <w:b/>
        </w:rPr>
        <w:t>Легкая БА:</w:t>
      </w:r>
      <w:r>
        <w:t xml:space="preserve"> хорошо к</w:t>
      </w:r>
      <w:r>
        <w:t>онтролируется на фоне терапии в объеме 1 или 2 ступени по GINA (Global Strategy for Asthma Management and Prevention Innitiative of Asthma), например, низкими дозами ИГКС+формотерол или ИГКС вместе КДБА по потребности, либо низкими дозами ИГКС или АЛР в ка</w:t>
      </w:r>
      <w:r>
        <w:t>честве базисной терапии с КДБА по потребности.</w:t>
      </w:r>
      <w:r>
        <w:rPr>
          <w:i/>
        </w:rPr>
        <w:t xml:space="preserve"> </w:t>
      </w:r>
    </w:p>
    <w:p w:rsidR="00F15F71" w:rsidRDefault="00F974CD">
      <w:pPr>
        <w:spacing w:after="38"/>
        <w:ind w:left="0" w:firstLine="708"/>
      </w:pPr>
      <w:r>
        <w:rPr>
          <w:b/>
        </w:rPr>
        <w:t>Среднетяжелая БА</w:t>
      </w:r>
      <w:r>
        <w:t xml:space="preserve">: хорошо контролируется на фоне терапии 3 или 4 ступени по GINA. </w:t>
      </w:r>
    </w:p>
    <w:p w:rsidR="00F15F71" w:rsidRDefault="00F974CD">
      <w:pPr>
        <w:spacing w:after="31"/>
        <w:ind w:left="0" w:right="5" w:firstLine="708"/>
      </w:pPr>
      <w:r>
        <w:rPr>
          <w:b/>
        </w:rPr>
        <w:t>Тяжелая БА</w:t>
      </w:r>
      <w:r>
        <w:t>: БА, которая для достижения контроля требует терапии, соответствующей 5 ступени по GINA, при этом, попытки снижения</w:t>
      </w:r>
      <w:r>
        <w:t xml:space="preserve"> объема контролирующей терапии неизменно приводят в потере контроля симптомов БА, или астма остается неконтролируемой, несмотря на это лечение (средние или высокие дозы </w:t>
      </w:r>
    </w:p>
    <w:p w:rsidR="00F15F71" w:rsidRDefault="00F974CD">
      <w:pPr>
        <w:ind w:left="10" w:right="3"/>
      </w:pPr>
      <w:r>
        <w:t>ИГКС совместно с ДДБА и/или АЛР, и/или ДДАХ, и/или системными глюкокортикостероидами (</w:t>
      </w:r>
      <w:r>
        <w:t>СГКС), и/или препаратами иммунобиологической терапии. Во многих случаях тяжелая БА может быть трудной для лечения из-за модифицируемых факторов, таких как неправильная техника ингаляции, плохая приверженность лечению, курение или сопутствующие заболевания,</w:t>
      </w:r>
      <w:r>
        <w:t xml:space="preserve"> или из-за неправильного диагноза. </w:t>
      </w:r>
    </w:p>
    <w:p w:rsidR="00F15F71" w:rsidRDefault="00F974CD">
      <w:pPr>
        <w:spacing w:after="31"/>
        <w:ind w:left="0" w:firstLine="720"/>
      </w:pPr>
      <w:r>
        <w:t xml:space="preserve">Поскольку течение БА крайне вариабельно, степень тяжести заболевания может меняться на протяжении месяцев и лет.  </w:t>
      </w:r>
    </w:p>
    <w:p w:rsidR="00F15F71" w:rsidRDefault="00F974CD">
      <w:pPr>
        <w:spacing w:line="387" w:lineRule="auto"/>
        <w:ind w:left="-15" w:firstLine="710"/>
      </w:pPr>
      <w:r>
        <w:rPr>
          <w:i/>
        </w:rPr>
        <w:t>У пациентов с впервые выявленной БА классификация по степени тяжести проводится на основании клинической картины</w:t>
      </w:r>
      <w:r>
        <w:t xml:space="preserve"> (Табл. 2). </w:t>
      </w:r>
    </w:p>
    <w:p w:rsidR="00F15F71" w:rsidRDefault="00F974CD">
      <w:pPr>
        <w:spacing w:line="270" w:lineRule="auto"/>
        <w:ind w:left="730" w:right="10"/>
      </w:pPr>
      <w:r>
        <w:rPr>
          <w:b/>
        </w:rPr>
        <w:t>Таблица 2. Классификация впервые выявленной БА по степени тяжести</w:t>
      </w:r>
      <w:r>
        <w:t xml:space="preserve"> </w:t>
      </w:r>
    </w:p>
    <w:tbl>
      <w:tblPr>
        <w:tblStyle w:val="TableGrid"/>
        <w:tblW w:w="9354" w:type="dxa"/>
        <w:tblInd w:w="1" w:type="dxa"/>
        <w:tblCellMar>
          <w:top w:w="59" w:type="dxa"/>
          <w:left w:w="107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1559"/>
        <w:gridCol w:w="1841"/>
        <w:gridCol w:w="2128"/>
        <w:gridCol w:w="1984"/>
        <w:gridCol w:w="1842"/>
      </w:tblGrid>
      <w:tr w:rsidR="00F15F71">
        <w:trPr>
          <w:trHeight w:val="835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Характерис -тики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rPr>
                <w:b/>
              </w:rPr>
              <w:t xml:space="preserve">Интермиттирующая БА </w:t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F15F71" w:rsidRDefault="00F974CD">
            <w:pPr>
              <w:spacing w:after="0" w:line="259" w:lineRule="auto"/>
              <w:ind w:left="1" w:right="19" w:firstLine="0"/>
              <w:jc w:val="left"/>
            </w:pPr>
            <w:r>
              <w:rPr>
                <w:b/>
              </w:rPr>
              <w:t xml:space="preserve">Легкая персистирующая БА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Персистирующая БА средней тяжести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rPr>
                <w:b/>
              </w:rPr>
              <w:t xml:space="preserve">Тяжелая персистирующая БА </w:t>
            </w:r>
          </w:p>
        </w:tc>
      </w:tr>
      <w:tr w:rsidR="00F15F71">
        <w:trPr>
          <w:trHeight w:val="1391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Дневные симптомы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Реже 1 раза в неделю </w:t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Чаще 1 раза в неделю, но реже 1 раза в день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8" w:lineRule="auto"/>
              <w:ind w:left="0" w:firstLine="0"/>
              <w:jc w:val="left"/>
            </w:pPr>
            <w:r>
              <w:t xml:space="preserve">Ежедневные симптомы; Ежедневное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использование КДБА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>Ежедневные симптомы; Ограничение физической активности</w:t>
            </w:r>
            <w:r>
              <w:t xml:space="preserve"> </w:t>
            </w:r>
          </w:p>
        </w:tc>
      </w:tr>
      <w:tr w:rsidR="00F15F71">
        <w:trPr>
          <w:trHeight w:val="838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Ночные симптомы 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Не чаще 2-х раз в месяц </w:t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Не чаще 2-х раз в месяц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6" w:line="238" w:lineRule="auto"/>
              <w:ind w:left="0" w:firstLine="0"/>
              <w:jc w:val="left"/>
            </w:pPr>
            <w:r>
              <w:t xml:space="preserve">Ночные симптомы чаще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1 раза в неделю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1" w:line="259" w:lineRule="auto"/>
              <w:ind w:left="1" w:firstLine="0"/>
            </w:pPr>
            <w:r>
              <w:t xml:space="preserve">Частые ночные </w:t>
            </w:r>
          </w:p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симптомы </w:t>
            </w:r>
          </w:p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 </w:t>
            </w:r>
          </w:p>
        </w:tc>
      </w:tr>
      <w:tr w:rsidR="00F15F71">
        <w:trPr>
          <w:trHeight w:val="1666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Обострения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Обострения короткие </w:t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38" w:lineRule="auto"/>
              <w:ind w:left="1" w:firstLine="0"/>
              <w:jc w:val="left"/>
            </w:pPr>
            <w:r>
              <w:t xml:space="preserve">Обострения могут снижать </w:t>
            </w:r>
          </w:p>
          <w:p w:rsidR="00F15F71" w:rsidRDefault="00F974CD">
            <w:pPr>
              <w:spacing w:line="259" w:lineRule="auto"/>
              <w:ind w:left="1" w:firstLine="0"/>
              <w:jc w:val="left"/>
            </w:pPr>
            <w:r>
              <w:t xml:space="preserve">физическую </w:t>
            </w:r>
          </w:p>
          <w:p w:rsidR="00F15F71" w:rsidRDefault="00F974CD">
            <w:pPr>
              <w:tabs>
                <w:tab w:val="right" w:pos="1975"/>
              </w:tabs>
              <w:spacing w:after="28" w:line="259" w:lineRule="auto"/>
              <w:ind w:left="0" w:firstLine="0"/>
              <w:jc w:val="left"/>
            </w:pPr>
            <w:r>
              <w:t xml:space="preserve">активность </w:t>
            </w:r>
            <w:r>
              <w:tab/>
              <w:t xml:space="preserve">и </w:t>
            </w:r>
          </w:p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нарушать сон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Обострения могут приводить к </w:t>
            </w:r>
            <w:r>
              <w:tab/>
              <w:t xml:space="preserve">ограничению физической активности </w:t>
            </w:r>
            <w:r>
              <w:tab/>
              <w:t xml:space="preserve">и нарушению сна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1" w:line="259" w:lineRule="auto"/>
              <w:ind w:left="1" w:firstLine="0"/>
              <w:jc w:val="left"/>
            </w:pPr>
            <w:r>
              <w:t xml:space="preserve">Частые </w:t>
            </w:r>
          </w:p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обострения </w:t>
            </w:r>
          </w:p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 </w:t>
            </w:r>
          </w:p>
        </w:tc>
      </w:tr>
      <w:tr w:rsidR="00F15F71">
        <w:trPr>
          <w:trHeight w:val="1116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Функциональные показатели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>ОФВ</w:t>
            </w:r>
            <w:r>
              <w:rPr>
                <w:sz w:val="16"/>
              </w:rPr>
              <w:t>1</w:t>
            </w:r>
            <w:r>
              <w:t xml:space="preserve"> или ПСВ ≥ 80% от должного </w:t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>ОФВ</w:t>
            </w:r>
            <w:r>
              <w:rPr>
                <w:sz w:val="16"/>
              </w:rPr>
              <w:t>1</w:t>
            </w:r>
            <w:r>
              <w:t xml:space="preserve"> или ПСВ ≥ 80% от должного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ОФВ</w:t>
            </w:r>
            <w:r>
              <w:rPr>
                <w:sz w:val="16"/>
              </w:rPr>
              <w:t>1</w:t>
            </w:r>
            <w:r>
              <w:t xml:space="preserve"> или ПСВ 60—80% от должного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8" w:line="236" w:lineRule="auto"/>
              <w:ind w:left="1" w:firstLine="0"/>
              <w:jc w:val="left"/>
            </w:pPr>
            <w:r>
              <w:t>ОФВ</w:t>
            </w:r>
            <w:r>
              <w:rPr>
                <w:sz w:val="16"/>
              </w:rPr>
              <w:t>1</w:t>
            </w:r>
            <w:r>
              <w:t xml:space="preserve"> или ПСВ ≤60% от </w:t>
            </w:r>
          </w:p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должного </w:t>
            </w:r>
          </w:p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 </w:t>
            </w:r>
          </w:p>
        </w:tc>
      </w:tr>
      <w:tr w:rsidR="00F15F71">
        <w:trPr>
          <w:trHeight w:val="562"/>
        </w:trPr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49" w:firstLine="0"/>
              <w:jc w:val="left"/>
            </w:pPr>
            <w:r>
              <w:t xml:space="preserve">Разброс ПСВ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</w:pPr>
            <w:r>
              <w:t>Разброс ПСВ или ОФВ</w:t>
            </w:r>
            <w:r>
              <w:rPr>
                <w:vertAlign w:val="subscript"/>
              </w:rPr>
              <w:t>1</w:t>
            </w:r>
            <w:r>
              <w:t xml:space="preserve">&lt;20% </w:t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</w:pPr>
            <w:r>
              <w:t>Разброс ПСВ или ОФВ</w:t>
            </w:r>
            <w:r>
              <w:rPr>
                <w:vertAlign w:val="subscript"/>
              </w:rPr>
              <w:t>1</w:t>
            </w:r>
            <w:r>
              <w:t xml:space="preserve"> 20-30%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>Разброс ПСВ или ОФВ</w:t>
            </w:r>
            <w:r>
              <w:rPr>
                <w:vertAlign w:val="subscript"/>
              </w:rPr>
              <w:t>1</w:t>
            </w:r>
            <w:r>
              <w:t xml:space="preserve">&gt;30%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</w:pPr>
            <w:r>
              <w:t>Разброс ПСВ или ОФВ</w:t>
            </w:r>
            <w:r>
              <w:rPr>
                <w:vertAlign w:val="subscript"/>
              </w:rPr>
              <w:t>1</w:t>
            </w:r>
            <w:r>
              <w:t xml:space="preserve">&gt;30% </w:t>
            </w:r>
          </w:p>
        </w:tc>
      </w:tr>
    </w:tbl>
    <w:p w:rsidR="00F15F71" w:rsidRDefault="00F974CD">
      <w:pPr>
        <w:spacing w:after="162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50" w:line="270" w:lineRule="auto"/>
        <w:ind w:left="718" w:right="10"/>
      </w:pPr>
      <w:r>
        <w:rPr>
          <w:b/>
        </w:rPr>
        <w:t xml:space="preserve">Классификация БА по уровню контроля: </w:t>
      </w:r>
    </w:p>
    <w:p w:rsidR="00F15F71" w:rsidRDefault="00F974CD">
      <w:pPr>
        <w:numPr>
          <w:ilvl w:val="0"/>
          <w:numId w:val="2"/>
        </w:numPr>
        <w:spacing w:after="150" w:line="270" w:lineRule="auto"/>
        <w:ind w:right="2709" w:hanging="139"/>
      </w:pPr>
      <w:r>
        <w:rPr>
          <w:b/>
        </w:rPr>
        <w:t xml:space="preserve">контролируемая; </w:t>
      </w:r>
    </w:p>
    <w:p w:rsidR="00F15F71" w:rsidRDefault="00F974CD">
      <w:pPr>
        <w:numPr>
          <w:ilvl w:val="0"/>
          <w:numId w:val="2"/>
        </w:numPr>
        <w:spacing w:line="399" w:lineRule="auto"/>
        <w:ind w:right="2709" w:hanging="139"/>
      </w:pPr>
      <w:r>
        <w:rPr>
          <w:b/>
        </w:rPr>
        <w:t xml:space="preserve">частично контролируемая; - неконтролируемая. </w:t>
      </w:r>
    </w:p>
    <w:p w:rsidR="00F15F71" w:rsidRDefault="00F974CD">
      <w:pPr>
        <w:ind w:left="0" w:right="4" w:firstLine="708"/>
      </w:pPr>
      <w:r>
        <w:t>Уровень контроля БА определяется по частоте дневных и ночных приступов БА, потребности в симптоматической терапии и ограничения в активности в результате БА. Неконтролируемая БА может наблюдаться у пациентов с любой степенью тяжести в силу различных причин</w:t>
      </w:r>
      <w:r>
        <w:t>: неадекватность базисной терапии (недостаточный объем фармакологической нагрузки, неправильное выполнение техники ингаляций, несоблюдение режима лечения), наличие сопутствующих заболеваний, течение и терапия которых негативно сказываются на состоянии паци</w:t>
      </w:r>
      <w:r>
        <w:t xml:space="preserve">ента, продолжающееся воздействие триггерных факторов (аллергенов, табачного дыма) и др.  </w:t>
      </w:r>
    </w:p>
    <w:p w:rsidR="00F15F71" w:rsidRDefault="00F974CD">
      <w:pPr>
        <w:tabs>
          <w:tab w:val="center" w:pos="1199"/>
          <w:tab w:val="center" w:pos="2098"/>
          <w:tab w:val="center" w:pos="2947"/>
          <w:tab w:val="center" w:pos="4202"/>
          <w:tab w:val="center" w:pos="5672"/>
          <w:tab w:val="center" w:pos="7186"/>
          <w:tab w:val="right" w:pos="9362"/>
        </w:tabs>
        <w:spacing w:after="16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color w:val="212121"/>
        </w:rPr>
        <w:t xml:space="preserve">Контроль </w:t>
      </w:r>
      <w:r>
        <w:rPr>
          <w:color w:val="212121"/>
        </w:rPr>
        <w:tab/>
        <w:t xml:space="preserve">БА </w:t>
      </w:r>
      <w:r>
        <w:rPr>
          <w:color w:val="212121"/>
        </w:rPr>
        <w:tab/>
        <w:t xml:space="preserve">означает </w:t>
      </w:r>
      <w:r>
        <w:rPr>
          <w:color w:val="212121"/>
        </w:rPr>
        <w:tab/>
        <w:t xml:space="preserve">отсутствие </w:t>
      </w:r>
      <w:r>
        <w:rPr>
          <w:color w:val="212121"/>
        </w:rPr>
        <w:tab/>
        <w:t xml:space="preserve">клинических </w:t>
      </w:r>
      <w:r>
        <w:rPr>
          <w:color w:val="212121"/>
        </w:rPr>
        <w:tab/>
        <w:t xml:space="preserve">проявлений </w:t>
      </w:r>
      <w:r>
        <w:rPr>
          <w:color w:val="212121"/>
        </w:rPr>
        <w:tab/>
        <w:t xml:space="preserve">заболевания. </w:t>
      </w:r>
    </w:p>
    <w:p w:rsidR="00F15F71" w:rsidRDefault="00F974CD">
      <w:pPr>
        <w:spacing w:after="159" w:line="259" w:lineRule="auto"/>
        <w:ind w:left="-5"/>
      </w:pPr>
      <w:r>
        <w:rPr>
          <w:color w:val="212121"/>
        </w:rPr>
        <w:t xml:space="preserve">Критериями полного контроля являются: </w:t>
      </w:r>
    </w:p>
    <w:p w:rsidR="00F15F71" w:rsidRDefault="00F974CD">
      <w:pPr>
        <w:numPr>
          <w:ilvl w:val="0"/>
          <w:numId w:val="3"/>
        </w:numPr>
        <w:spacing w:after="6" w:line="393" w:lineRule="auto"/>
        <w:ind w:firstLine="708"/>
      </w:pPr>
      <w:r>
        <w:rPr>
          <w:color w:val="212121"/>
        </w:rPr>
        <w:t>Отсутствие дневных симптомов чаще 2-</w:t>
      </w:r>
      <w:r>
        <w:rPr>
          <w:color w:val="212121"/>
        </w:rPr>
        <w:t xml:space="preserve">х раз в неделю (для детей до 6 лет – чаще, чем 1 раз в неделю); </w:t>
      </w:r>
    </w:p>
    <w:p w:rsidR="00F15F71" w:rsidRDefault="00F974CD">
      <w:pPr>
        <w:numPr>
          <w:ilvl w:val="0"/>
          <w:numId w:val="3"/>
        </w:numPr>
        <w:spacing w:after="168" w:line="259" w:lineRule="auto"/>
        <w:ind w:firstLine="708"/>
      </w:pPr>
      <w:r>
        <w:rPr>
          <w:color w:val="212121"/>
        </w:rPr>
        <w:t xml:space="preserve">Отсутствие ночных пробуждений из-за БА; </w:t>
      </w:r>
    </w:p>
    <w:p w:rsidR="00F15F71" w:rsidRDefault="00F974CD">
      <w:pPr>
        <w:numPr>
          <w:ilvl w:val="0"/>
          <w:numId w:val="3"/>
        </w:numPr>
        <w:spacing w:after="6" w:line="393" w:lineRule="auto"/>
        <w:ind w:firstLine="708"/>
      </w:pPr>
      <w:r>
        <w:rPr>
          <w:color w:val="212121"/>
        </w:rPr>
        <w:t xml:space="preserve">Отсутствие потребности в препарате для купирования симптомов чаще 2-х раз в неделю* (для детей до 6 лет – чаще, чем 1 раз в неделю); </w:t>
      </w:r>
    </w:p>
    <w:p w:rsidR="00F15F71" w:rsidRDefault="00F974CD">
      <w:pPr>
        <w:numPr>
          <w:ilvl w:val="0"/>
          <w:numId w:val="3"/>
        </w:numPr>
        <w:spacing w:after="6" w:line="393" w:lineRule="auto"/>
        <w:ind w:firstLine="708"/>
      </w:pPr>
      <w:r>
        <w:rPr>
          <w:color w:val="212121"/>
        </w:rPr>
        <w:t>Отсутствие любог</w:t>
      </w:r>
      <w:r>
        <w:rPr>
          <w:color w:val="212121"/>
        </w:rPr>
        <w:t xml:space="preserve">о ограничения активности из-за БА (для детей до 6 лет – бегает, играет меньше, чем другие дети; быстро устает от ходьбы/игры). </w:t>
      </w:r>
    </w:p>
    <w:p w:rsidR="00F15F71" w:rsidRDefault="00F974CD">
      <w:pPr>
        <w:spacing w:after="6" w:line="393" w:lineRule="auto"/>
        <w:ind w:left="-15" w:firstLine="708"/>
      </w:pPr>
      <w:r>
        <w:rPr>
          <w:color w:val="212121"/>
        </w:rPr>
        <w:t>*За исключением использования бронходилататоров (препаратов для лечения обструктивных заболеваний дыхательных путей) перед физич</w:t>
      </w:r>
      <w:r>
        <w:rPr>
          <w:color w:val="212121"/>
        </w:rPr>
        <w:t xml:space="preserve">еской нагрузкой. </w:t>
      </w:r>
    </w:p>
    <w:p w:rsidR="00F15F71" w:rsidRDefault="00F974CD">
      <w:pPr>
        <w:spacing w:after="156" w:line="259" w:lineRule="auto"/>
        <w:ind w:left="718"/>
      </w:pPr>
      <w:r>
        <w:rPr>
          <w:color w:val="212121"/>
        </w:rPr>
        <w:t xml:space="preserve">Для оценки контроля БА в клинической практике могут быть использованы: </w:t>
      </w:r>
    </w:p>
    <w:p w:rsidR="00F15F71" w:rsidRDefault="00F974CD">
      <w:pPr>
        <w:numPr>
          <w:ilvl w:val="0"/>
          <w:numId w:val="4"/>
        </w:numPr>
        <w:spacing w:after="6" w:line="393" w:lineRule="auto"/>
        <w:ind w:right="-7" w:hanging="360"/>
      </w:pPr>
      <w:r>
        <w:rPr>
          <w:b/>
          <w:color w:val="212121"/>
        </w:rPr>
        <w:t>Тест по контролю над астмой (ACT, Asthma control test</w:t>
      </w:r>
      <w:r>
        <w:rPr>
          <w:color w:val="212121"/>
        </w:rPr>
        <w:t>) - инструмент для оценки контроля БА у взрослых пациентов и подростков старше 12 лет</w:t>
      </w:r>
      <w:r>
        <w:t xml:space="preserve"> </w:t>
      </w:r>
    </w:p>
    <w:p w:rsidR="00F15F71" w:rsidRDefault="00F974CD">
      <w:pPr>
        <w:spacing w:after="145" w:line="259" w:lineRule="auto"/>
        <w:ind w:left="730" w:right="841"/>
      </w:pPr>
      <w:r>
        <w:t>(Приложение Г1);</w:t>
      </w:r>
      <w:r>
        <w:rPr>
          <w:color w:val="212121"/>
        </w:rPr>
        <w:t xml:space="preserve">  </w:t>
      </w:r>
    </w:p>
    <w:p w:rsidR="00F15F71" w:rsidRDefault="00F974CD">
      <w:pPr>
        <w:numPr>
          <w:ilvl w:val="0"/>
          <w:numId w:val="4"/>
        </w:numPr>
        <w:spacing w:after="14" w:line="386" w:lineRule="auto"/>
        <w:ind w:right="-7" w:hanging="360"/>
      </w:pPr>
      <w:r>
        <w:rPr>
          <w:b/>
          <w:color w:val="212121"/>
        </w:rPr>
        <w:t>Тест по</w:t>
      </w:r>
      <w:r>
        <w:rPr>
          <w:b/>
          <w:color w:val="212121"/>
        </w:rPr>
        <w:t xml:space="preserve"> контролю над астмой у детей (c-ACT, Children asthma control test)</w:t>
      </w:r>
      <w:r>
        <w:rPr>
          <w:color w:val="212121"/>
        </w:rPr>
        <w:t xml:space="preserve"> - инструмент для оценки контроля БА у детей в возрасте от 4-х до 11 лет </w:t>
      </w:r>
      <w:r>
        <w:t>(Приложение Г2);</w:t>
      </w:r>
      <w:r>
        <w:rPr>
          <w:color w:val="212121"/>
        </w:rPr>
        <w:t xml:space="preserve"> </w:t>
      </w:r>
    </w:p>
    <w:p w:rsidR="00F15F71" w:rsidRDefault="00F974CD">
      <w:pPr>
        <w:numPr>
          <w:ilvl w:val="0"/>
          <w:numId w:val="4"/>
        </w:numPr>
        <w:spacing w:after="14" w:line="386" w:lineRule="auto"/>
        <w:ind w:right="-7" w:hanging="360"/>
      </w:pPr>
      <w:r>
        <w:rPr>
          <w:b/>
          <w:color w:val="212121"/>
        </w:rPr>
        <w:t>Опросник по контролю симптомов астмы (ACQ-5, Asthma control questionnaire</w:t>
      </w:r>
      <w:r>
        <w:rPr>
          <w:color w:val="212121"/>
        </w:rPr>
        <w:t xml:space="preserve">) - инструмент для оценки </w:t>
      </w:r>
      <w:r>
        <w:rPr>
          <w:color w:val="212121"/>
        </w:rPr>
        <w:t xml:space="preserve">контроля БА у пациентов от 6 лет и старше </w:t>
      </w:r>
    </w:p>
    <w:p w:rsidR="00F15F71" w:rsidRDefault="00F974CD">
      <w:pPr>
        <w:spacing w:after="160" w:line="259" w:lineRule="auto"/>
        <w:ind w:left="730"/>
      </w:pPr>
      <w:r>
        <w:rPr>
          <w:color w:val="212121"/>
        </w:rPr>
        <w:t>(Приложение Г3);</w:t>
      </w:r>
      <w:r>
        <w:t xml:space="preserve"> </w:t>
      </w:r>
    </w:p>
    <w:p w:rsidR="00F15F71" w:rsidRDefault="00F974CD">
      <w:pPr>
        <w:numPr>
          <w:ilvl w:val="0"/>
          <w:numId w:val="4"/>
        </w:numPr>
        <w:spacing w:after="14" w:line="386" w:lineRule="auto"/>
        <w:ind w:right="-7" w:hanging="360"/>
      </w:pPr>
      <w:r>
        <w:rPr>
          <w:b/>
          <w:color w:val="212121"/>
        </w:rPr>
        <w:t xml:space="preserve">Опросник по шкале симптомов БА у детей в возрасте до 5 лет (TRACK, Test for Respiratory and Asthma Control in Kids) – </w:t>
      </w:r>
      <w:r>
        <w:rPr>
          <w:color w:val="212121"/>
        </w:rPr>
        <w:t xml:space="preserve">инструмент для оценки контроля </w:t>
      </w:r>
    </w:p>
    <w:p w:rsidR="00F15F71" w:rsidRDefault="00F974CD">
      <w:pPr>
        <w:spacing w:after="160" w:line="259" w:lineRule="auto"/>
        <w:ind w:left="730"/>
      </w:pPr>
      <w:r>
        <w:rPr>
          <w:color w:val="212121"/>
        </w:rPr>
        <w:t>БА у детей до 5 лет (Приложение Г4).</w:t>
      </w:r>
      <w:r>
        <w:t xml:space="preserve"> </w:t>
      </w:r>
    </w:p>
    <w:p w:rsidR="00F15F71" w:rsidRDefault="00F974CD">
      <w:pPr>
        <w:spacing w:after="34"/>
        <w:ind w:left="0" w:right="10" w:firstLine="708"/>
      </w:pPr>
      <w:r>
        <w:t xml:space="preserve">Для анализа врачом совокупности наиболее значимых клинических критериев контроля над БА с учетом факторов риска используются опросники, указанные в Приложениях Г5, Г6 и Г7.  </w:t>
      </w:r>
    </w:p>
    <w:p w:rsidR="00F15F71" w:rsidRDefault="00F974CD">
      <w:pPr>
        <w:spacing w:after="149" w:line="270" w:lineRule="auto"/>
        <w:ind w:left="718" w:right="10"/>
      </w:pPr>
      <w:r>
        <w:rPr>
          <w:b/>
        </w:rPr>
        <w:t xml:space="preserve">Классификация БА по стадиям заболевания </w:t>
      </w:r>
    </w:p>
    <w:p w:rsidR="00F15F71" w:rsidRDefault="00F974CD">
      <w:pPr>
        <w:spacing w:after="6" w:line="393" w:lineRule="auto"/>
        <w:ind w:left="-15" w:firstLine="708"/>
      </w:pPr>
      <w:r>
        <w:rPr>
          <w:color w:val="212121"/>
        </w:rPr>
        <w:t xml:space="preserve">Понятие </w:t>
      </w:r>
      <w:r>
        <w:rPr>
          <w:b/>
          <w:i/>
          <w:color w:val="212121"/>
        </w:rPr>
        <w:t xml:space="preserve">ремиссии БА, </w:t>
      </w:r>
      <w:r>
        <w:rPr>
          <w:color w:val="212121"/>
        </w:rPr>
        <w:t>его интерпретация</w:t>
      </w:r>
      <w:r>
        <w:rPr>
          <w:b/>
          <w:i/>
          <w:color w:val="212121"/>
        </w:rPr>
        <w:t xml:space="preserve"> </w:t>
      </w:r>
      <w:r>
        <w:rPr>
          <w:color w:val="212121"/>
        </w:rPr>
        <w:t>и</w:t>
      </w:r>
      <w:r>
        <w:rPr>
          <w:color w:val="212121"/>
        </w:rPr>
        <w:t xml:space="preserve"> применимость к конкретным клиническим ситуациям, продолжает обсуждаться клиническим и научным сообществом. </w:t>
      </w:r>
    </w:p>
    <w:p w:rsidR="00F15F71" w:rsidRDefault="00F974CD">
      <w:pPr>
        <w:ind w:left="0" w:right="4" w:firstLine="708"/>
      </w:pPr>
      <w:r>
        <w:rPr>
          <w:b/>
          <w:i/>
        </w:rPr>
        <w:t>Обострение БА</w:t>
      </w:r>
      <w:r>
        <w:t xml:space="preserve"> представляет собой эпизоды нарастающей одышки, кашля, свистящих хрипов или заложенности в грудной клетке, учащения приступов затрудне</w:t>
      </w:r>
      <w:r>
        <w:t>ния дыхания и удушья, повышенной потребностью в использовании КДБА, сопровождающиеся снижением ПСВ и ОФВ1, требующие изменений обычного режима терапии. Выраженное снижение ПСВ и ОФВ</w:t>
      </w:r>
      <w:r>
        <w:rPr>
          <w:sz w:val="16"/>
        </w:rPr>
        <w:t xml:space="preserve">1 </w:t>
      </w:r>
      <w:r>
        <w:t>являются надежными показателями тяжести обострения. Однако, необходимо по</w:t>
      </w:r>
      <w:r>
        <w:t xml:space="preserve">мнить, что у небольшого количества пациентов значительное снижение функции легких в периоде обострения не сопровождается изменением/появлением симптомов [22,23]. </w:t>
      </w:r>
    </w:p>
    <w:p w:rsidR="00F15F71" w:rsidRDefault="00F974CD">
      <w:pPr>
        <w:spacing w:after="38"/>
        <w:ind w:left="0" w:right="2" w:firstLine="708"/>
      </w:pPr>
      <w:r>
        <w:t>Обострение может развиваться как у пациентов с уже установленным диагнозом БА, так и быть пер</w:t>
      </w:r>
      <w:r>
        <w:t xml:space="preserve">вым проявлением заболевания вне зависимости от его тяжести. Чаще всего оно возникает при трудно контролируемой БА и может развиться в считанные минуты/часы или в течение нескольких дней. Разрешение симптомов происходит, как правило, в сроки 5-14 дней. </w:t>
      </w:r>
    </w:p>
    <w:p w:rsidR="00F15F71" w:rsidRDefault="00F974CD">
      <w:pPr>
        <w:spacing w:after="101" w:line="270" w:lineRule="auto"/>
        <w:ind w:left="718" w:right="10"/>
      </w:pPr>
      <w:r>
        <w:rPr>
          <w:b/>
        </w:rPr>
        <w:t>Кла</w:t>
      </w:r>
      <w:r>
        <w:rPr>
          <w:b/>
        </w:rPr>
        <w:t xml:space="preserve">ссификация обострений БА по степени тяжести </w:t>
      </w:r>
    </w:p>
    <w:p w:rsidR="00F15F71" w:rsidRDefault="00F974CD">
      <w:pPr>
        <w:ind w:left="0" w:right="8" w:firstLine="708"/>
      </w:pPr>
      <w:r>
        <w:t>Пациенты с любой степенью тяжести БА могут иметь легкие, среднетяжелые или тяжелые обострения. У ряда пациентов с легкой БА наблюдаются тяжелые и угрожающие жизни обострения на фоне длительных бессимптомных пери</w:t>
      </w:r>
      <w:r>
        <w:t xml:space="preserve">одов с нормальной легочной функцией. </w:t>
      </w:r>
    </w:p>
    <w:p w:rsidR="00F15F71" w:rsidRDefault="00F974CD">
      <w:pPr>
        <w:spacing w:after="35"/>
        <w:ind w:left="0" w:right="6" w:firstLine="708"/>
      </w:pPr>
      <w:r>
        <w:t xml:space="preserve">Степень тяжести обострений БА у пациентов от 6 лет и старше устанавливается по клиническим критериям (Табл. 3). Для определения тяжести обострения достаточно наличие хотя бы одного из соответствующих критериев. </w:t>
      </w:r>
    </w:p>
    <w:p w:rsidR="00F15F71" w:rsidRDefault="00F974CD">
      <w:pPr>
        <w:spacing w:line="270" w:lineRule="auto"/>
        <w:ind w:left="-5" w:right="10"/>
      </w:pPr>
      <w:r>
        <w:rPr>
          <w:b/>
        </w:rPr>
        <w:t xml:space="preserve">Таблица 3. Определение степени тяжести обострений БА у пациентов от 6 лет и старше </w:t>
      </w:r>
    </w:p>
    <w:tbl>
      <w:tblPr>
        <w:tblStyle w:val="TableGrid"/>
        <w:tblW w:w="9462" w:type="dxa"/>
        <w:tblInd w:w="1" w:type="dxa"/>
        <w:tblCellMar>
          <w:top w:w="58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"/>
        <w:gridCol w:w="3116"/>
        <w:gridCol w:w="1"/>
        <w:gridCol w:w="6344"/>
        <w:gridCol w:w="1"/>
      </w:tblGrid>
      <w:tr w:rsidR="00F15F71">
        <w:trPr>
          <w:gridBefore w:val="1"/>
          <w:trHeight w:val="420"/>
        </w:trPr>
        <w:tc>
          <w:tcPr>
            <w:tcW w:w="31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rPr>
                <w:b/>
              </w:rPr>
              <w:t xml:space="preserve">Степень тяжести </w:t>
            </w:r>
          </w:p>
        </w:tc>
        <w:tc>
          <w:tcPr>
            <w:tcW w:w="63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F15F71" w:rsidRDefault="00F974CD">
            <w:pPr>
              <w:spacing w:after="0" w:line="259" w:lineRule="auto"/>
              <w:ind w:left="709" w:firstLine="0"/>
              <w:jc w:val="left"/>
            </w:pPr>
            <w:r>
              <w:rPr>
                <w:b/>
              </w:rPr>
              <w:t xml:space="preserve">Критерии </w:t>
            </w:r>
          </w:p>
        </w:tc>
      </w:tr>
      <w:tr w:rsidR="00F15F71">
        <w:trPr>
          <w:gridBefore w:val="1"/>
          <w:trHeight w:val="2551"/>
        </w:trPr>
        <w:tc>
          <w:tcPr>
            <w:tcW w:w="31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8" w:line="236" w:lineRule="auto"/>
              <w:ind w:left="0" w:firstLine="0"/>
            </w:pPr>
            <w:r>
              <w:t xml:space="preserve">Легкое обострение БА или обострение БА средней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степени тяжести </w:t>
            </w:r>
          </w:p>
        </w:tc>
        <w:tc>
          <w:tcPr>
            <w:tcW w:w="63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51"/>
              </w:numPr>
              <w:spacing w:after="45" w:line="259" w:lineRule="auto"/>
              <w:ind w:hanging="720"/>
              <w:jc w:val="left"/>
            </w:pPr>
            <w:r>
              <w:t xml:space="preserve">Усиление симптомов </w:t>
            </w:r>
          </w:p>
          <w:p w:rsidR="00F15F71" w:rsidRDefault="00F974CD">
            <w:pPr>
              <w:numPr>
                <w:ilvl w:val="0"/>
                <w:numId w:val="51"/>
              </w:numPr>
              <w:spacing w:after="0" w:line="283" w:lineRule="auto"/>
              <w:ind w:hanging="720"/>
              <w:jc w:val="left"/>
            </w:pPr>
            <w:r>
              <w:t xml:space="preserve">ПСВ </w:t>
            </w:r>
            <w:r>
              <w:rPr>
                <w:rFonts w:ascii="Segoe UI Symbol" w:eastAsia="Segoe UI Symbol" w:hAnsi="Segoe UI Symbol" w:cs="Segoe UI Symbol"/>
              </w:rPr>
              <w:t></w:t>
            </w:r>
            <w:r>
              <w:t xml:space="preserve"> 50-75% от лучшего или расчетного результата </w:t>
            </w:r>
          </w:p>
          <w:p w:rsidR="00F15F71" w:rsidRDefault="00F974CD">
            <w:pPr>
              <w:numPr>
                <w:ilvl w:val="0"/>
                <w:numId w:val="51"/>
              </w:numPr>
              <w:spacing w:after="0" w:line="279" w:lineRule="auto"/>
              <w:ind w:hanging="720"/>
              <w:jc w:val="left"/>
            </w:pPr>
            <w:r>
              <w:t xml:space="preserve">Повышение частоты использования препаратов скорой помощи </w:t>
            </w:r>
            <w:r>
              <w:rPr>
                <w:rFonts w:ascii="Calibri" w:eastAsia="Calibri" w:hAnsi="Calibri" w:cs="Calibri"/>
              </w:rPr>
              <w:t>≥</w:t>
            </w:r>
            <w:r>
              <w:t xml:space="preserve"> 50% или дополнительное их </w:t>
            </w:r>
          </w:p>
          <w:p w:rsidR="00F15F71" w:rsidRDefault="00F974CD">
            <w:pPr>
              <w:spacing w:after="25" w:line="259" w:lineRule="auto"/>
              <w:ind w:left="284" w:firstLine="0"/>
              <w:jc w:val="left"/>
            </w:pPr>
            <w:r>
              <w:t xml:space="preserve">применение в форме небулайзер </w:t>
            </w:r>
          </w:p>
          <w:p w:rsidR="00F15F71" w:rsidRDefault="00F974CD">
            <w:pPr>
              <w:numPr>
                <w:ilvl w:val="0"/>
                <w:numId w:val="51"/>
              </w:numPr>
              <w:spacing w:after="47" w:line="238" w:lineRule="auto"/>
              <w:ind w:hanging="720"/>
              <w:jc w:val="left"/>
            </w:pPr>
            <w:r>
              <w:t xml:space="preserve">Ночные пробуждения, обусловленные возникновением симптомов БА и требующие </w:t>
            </w:r>
          </w:p>
          <w:p w:rsidR="00F15F71" w:rsidRDefault="00F974CD">
            <w:pPr>
              <w:spacing w:after="0" w:line="259" w:lineRule="auto"/>
              <w:ind w:left="284" w:firstLine="0"/>
              <w:jc w:val="left"/>
            </w:pPr>
            <w:r>
              <w:t xml:space="preserve">применения препаратов скорой помощи </w:t>
            </w:r>
          </w:p>
        </w:tc>
      </w:tr>
      <w:tr w:rsidR="00F15F71">
        <w:trPr>
          <w:gridBefore w:val="1"/>
          <w:trHeight w:val="1166"/>
        </w:trPr>
        <w:tc>
          <w:tcPr>
            <w:tcW w:w="31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Тяжелое обострение БА </w:t>
            </w:r>
          </w:p>
        </w:tc>
        <w:tc>
          <w:tcPr>
            <w:tcW w:w="63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52"/>
              </w:numPr>
              <w:spacing w:after="4" w:line="259" w:lineRule="auto"/>
              <w:ind w:hanging="720"/>
              <w:jc w:val="left"/>
            </w:pPr>
            <w:r>
              <w:t xml:space="preserve">ПСВ </w:t>
            </w:r>
            <w:r>
              <w:rPr>
                <w:rFonts w:ascii="Segoe UI Symbol" w:eastAsia="Segoe UI Symbol" w:hAnsi="Segoe UI Symbol" w:cs="Segoe UI Symbol"/>
              </w:rPr>
              <w:t></w:t>
            </w:r>
            <w:r>
              <w:t xml:space="preserve"> 33-50% от лучших значений </w:t>
            </w:r>
          </w:p>
          <w:p w:rsidR="00F15F71" w:rsidRDefault="00F974CD">
            <w:pPr>
              <w:numPr>
                <w:ilvl w:val="0"/>
                <w:numId w:val="52"/>
              </w:numPr>
              <w:spacing w:after="0" w:line="259" w:lineRule="auto"/>
              <w:ind w:hanging="720"/>
              <w:jc w:val="left"/>
            </w:pPr>
            <w:r>
              <w:t xml:space="preserve">Частота дыхания </w:t>
            </w:r>
            <w:r>
              <w:rPr>
                <w:rFonts w:ascii="Segoe UI Symbol" w:eastAsia="Segoe UI Symbol" w:hAnsi="Segoe UI Symbol" w:cs="Segoe UI Symbol"/>
              </w:rPr>
              <w:t></w:t>
            </w:r>
            <w:r>
              <w:t xml:space="preserve"> 25 мин </w:t>
            </w:r>
          </w:p>
          <w:p w:rsidR="00F15F71" w:rsidRDefault="00F974CD">
            <w:pPr>
              <w:numPr>
                <w:ilvl w:val="0"/>
                <w:numId w:val="52"/>
              </w:numPr>
              <w:spacing w:after="0" w:line="259" w:lineRule="auto"/>
              <w:ind w:hanging="720"/>
              <w:jc w:val="left"/>
            </w:pPr>
            <w:r>
              <w:t xml:space="preserve">Пульс </w:t>
            </w:r>
            <w:r>
              <w:rPr>
                <w:rFonts w:ascii="Segoe UI Symbol" w:eastAsia="Segoe UI Symbol" w:hAnsi="Segoe UI Symbol" w:cs="Segoe UI Symbol"/>
              </w:rPr>
              <w:t></w:t>
            </w:r>
            <w:r>
              <w:t xml:space="preserve"> 110 мин </w:t>
            </w:r>
          </w:p>
          <w:p w:rsidR="00F15F71" w:rsidRDefault="00F974CD">
            <w:pPr>
              <w:numPr>
                <w:ilvl w:val="0"/>
                <w:numId w:val="52"/>
              </w:numPr>
              <w:spacing w:after="0" w:line="259" w:lineRule="auto"/>
              <w:ind w:hanging="720"/>
              <w:jc w:val="left"/>
            </w:pPr>
            <w:r>
              <w:t xml:space="preserve">Невозможность произнести фразу на одном выдохе </w:t>
            </w:r>
          </w:p>
        </w:tc>
      </w:tr>
      <w:tr w:rsidR="00F15F71">
        <w:trPr>
          <w:gridBefore w:val="1"/>
          <w:trHeight w:val="2220"/>
        </w:trPr>
        <w:tc>
          <w:tcPr>
            <w:tcW w:w="31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Жизнеугрожающая астма </w:t>
            </w:r>
          </w:p>
        </w:tc>
        <w:tc>
          <w:tcPr>
            <w:tcW w:w="63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53"/>
              </w:numPr>
              <w:spacing w:after="11" w:line="267" w:lineRule="auto"/>
              <w:ind w:firstLine="0"/>
              <w:jc w:val="left"/>
            </w:pPr>
            <w:r>
              <w:t xml:space="preserve">ПСВ &lt; 33% от лучших значений </w:t>
            </w:r>
            <w:r>
              <w:rPr>
                <w:rFonts w:ascii="Wingdings" w:eastAsia="Wingdings" w:hAnsi="Wingdings" w:cs="Wingdings"/>
              </w:rPr>
              <w:t>➢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ab/>
            </w:r>
            <w:r>
              <w:t>SрO</w:t>
            </w:r>
            <w:r>
              <w:rPr>
                <w:vertAlign w:val="subscript"/>
              </w:rPr>
              <w:t>2</w:t>
            </w:r>
            <w:r>
              <w:t xml:space="preserve"> &lt; 92% </w:t>
            </w:r>
          </w:p>
          <w:p w:rsidR="00F15F71" w:rsidRDefault="00F974CD">
            <w:pPr>
              <w:numPr>
                <w:ilvl w:val="0"/>
                <w:numId w:val="53"/>
              </w:numPr>
              <w:spacing w:after="27" w:line="259" w:lineRule="auto"/>
              <w:ind w:firstLine="0"/>
              <w:jc w:val="left"/>
            </w:pPr>
            <w:r>
              <w:t>PaO</w:t>
            </w:r>
            <w:r>
              <w:rPr>
                <w:vertAlign w:val="subscript"/>
              </w:rPr>
              <w:t>2</w:t>
            </w:r>
            <w:r>
              <w:t xml:space="preserve"> &lt; 60 мм рт.ст. </w:t>
            </w:r>
          </w:p>
          <w:p w:rsidR="00F15F71" w:rsidRDefault="00F974CD">
            <w:pPr>
              <w:numPr>
                <w:ilvl w:val="0"/>
                <w:numId w:val="53"/>
              </w:numPr>
              <w:spacing w:after="27" w:line="259" w:lineRule="auto"/>
              <w:ind w:firstLine="0"/>
              <w:jc w:val="left"/>
            </w:pPr>
            <w:r>
              <w:t>Нормокапния (РаСО</w:t>
            </w:r>
            <w:r>
              <w:rPr>
                <w:sz w:val="16"/>
              </w:rPr>
              <w:t>2</w:t>
            </w:r>
            <w:r>
              <w:t xml:space="preserve"> 35-45 мм рт.ст.) </w:t>
            </w:r>
          </w:p>
          <w:p w:rsidR="00F15F71" w:rsidRDefault="00F974CD">
            <w:pPr>
              <w:numPr>
                <w:ilvl w:val="0"/>
                <w:numId w:val="53"/>
              </w:numPr>
              <w:spacing w:after="24" w:line="259" w:lineRule="auto"/>
              <w:ind w:firstLine="0"/>
              <w:jc w:val="left"/>
            </w:pPr>
            <w:r>
              <w:t xml:space="preserve">«Немое» легкое </w:t>
            </w:r>
          </w:p>
          <w:p w:rsidR="00F15F71" w:rsidRDefault="00F974CD">
            <w:pPr>
              <w:numPr>
                <w:ilvl w:val="0"/>
                <w:numId w:val="53"/>
              </w:numPr>
              <w:spacing w:after="30" w:line="259" w:lineRule="auto"/>
              <w:ind w:firstLine="0"/>
              <w:jc w:val="left"/>
            </w:pPr>
            <w:r>
              <w:t xml:space="preserve">Цианоз </w:t>
            </w:r>
          </w:p>
          <w:p w:rsidR="00F15F71" w:rsidRDefault="00F974CD">
            <w:pPr>
              <w:numPr>
                <w:ilvl w:val="0"/>
                <w:numId w:val="53"/>
              </w:numPr>
              <w:spacing w:after="0" w:line="259" w:lineRule="auto"/>
              <w:ind w:firstLine="0"/>
              <w:jc w:val="left"/>
            </w:pPr>
            <w:r>
              <w:t xml:space="preserve">Слабые дыхательные усилия </w:t>
            </w:r>
            <w:r>
              <w:rPr>
                <w:rFonts w:ascii="Wingdings" w:eastAsia="Wingdings" w:hAnsi="Wingdings" w:cs="Wingdings"/>
              </w:rPr>
              <w:t>➢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ab/>
            </w:r>
            <w:r>
              <w:t xml:space="preserve">Брадикардия </w:t>
            </w:r>
          </w:p>
        </w:tc>
      </w:tr>
      <w:tr w:rsidR="00F15F71">
        <w:trPr>
          <w:gridAfter w:val="1"/>
          <w:trHeight w:val="1116"/>
        </w:trPr>
        <w:tc>
          <w:tcPr>
            <w:tcW w:w="31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3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54"/>
              </w:numPr>
              <w:spacing w:after="26" w:line="259" w:lineRule="auto"/>
              <w:ind w:hanging="720"/>
              <w:jc w:val="left"/>
            </w:pPr>
            <w:r>
              <w:t xml:space="preserve">Гипотензия </w:t>
            </w:r>
          </w:p>
          <w:p w:rsidR="00F15F71" w:rsidRDefault="00F974CD">
            <w:pPr>
              <w:numPr>
                <w:ilvl w:val="0"/>
                <w:numId w:val="54"/>
              </w:numPr>
              <w:spacing w:after="27" w:line="259" w:lineRule="auto"/>
              <w:ind w:hanging="720"/>
              <w:jc w:val="left"/>
            </w:pPr>
            <w:r>
              <w:t xml:space="preserve">Утомление </w:t>
            </w:r>
          </w:p>
          <w:p w:rsidR="00F15F71" w:rsidRDefault="00F974CD">
            <w:pPr>
              <w:numPr>
                <w:ilvl w:val="0"/>
                <w:numId w:val="54"/>
              </w:numPr>
              <w:spacing w:after="22" w:line="259" w:lineRule="auto"/>
              <w:ind w:hanging="720"/>
              <w:jc w:val="left"/>
            </w:pPr>
            <w:r>
              <w:t xml:space="preserve">Оглушение </w:t>
            </w:r>
          </w:p>
          <w:p w:rsidR="00F15F71" w:rsidRDefault="00F974CD">
            <w:pPr>
              <w:numPr>
                <w:ilvl w:val="0"/>
                <w:numId w:val="54"/>
              </w:numPr>
              <w:spacing w:after="0" w:line="259" w:lineRule="auto"/>
              <w:ind w:hanging="720"/>
              <w:jc w:val="left"/>
            </w:pPr>
            <w:r>
              <w:t xml:space="preserve">Кома </w:t>
            </w:r>
          </w:p>
        </w:tc>
      </w:tr>
      <w:tr w:rsidR="00F15F71">
        <w:trPr>
          <w:gridAfter w:val="1"/>
          <w:trHeight w:val="838"/>
        </w:trPr>
        <w:tc>
          <w:tcPr>
            <w:tcW w:w="31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Астма, близкая к фатальной </w:t>
            </w:r>
          </w:p>
        </w:tc>
        <w:tc>
          <w:tcPr>
            <w:tcW w:w="63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55"/>
              </w:numPr>
              <w:spacing w:after="29" w:line="259" w:lineRule="auto"/>
              <w:ind w:hanging="720"/>
              <w:jc w:val="left"/>
            </w:pPr>
            <w:r>
              <w:t>Гиперкапния (РаСО</w:t>
            </w:r>
            <w:r>
              <w:rPr>
                <w:sz w:val="16"/>
              </w:rPr>
              <w:t>2</w:t>
            </w:r>
            <w:r>
              <w:t xml:space="preserve"> &gt; 45 мм рт.ст.) и/или </w:t>
            </w:r>
          </w:p>
          <w:p w:rsidR="00F15F71" w:rsidRDefault="00F974CD">
            <w:pPr>
              <w:numPr>
                <w:ilvl w:val="0"/>
                <w:numId w:val="55"/>
              </w:numPr>
              <w:spacing w:after="0" w:line="259" w:lineRule="auto"/>
              <w:ind w:hanging="720"/>
              <w:jc w:val="left"/>
            </w:pPr>
            <w:r>
              <w:t xml:space="preserve">Потребность </w:t>
            </w:r>
            <w:r>
              <w:tab/>
              <w:t xml:space="preserve">в </w:t>
            </w:r>
            <w:r>
              <w:tab/>
              <w:t xml:space="preserve">проведении </w:t>
            </w:r>
            <w:r>
              <w:tab/>
              <w:t xml:space="preserve">механической вентиляции легких </w:t>
            </w:r>
          </w:p>
        </w:tc>
      </w:tr>
    </w:tbl>
    <w:p w:rsidR="00F15F71" w:rsidRDefault="00F974CD">
      <w:pPr>
        <w:spacing w:line="277" w:lineRule="auto"/>
        <w:ind w:left="10" w:right="3"/>
      </w:pPr>
      <w:r>
        <w:rPr>
          <w:b/>
          <w:i/>
        </w:rPr>
        <w:t xml:space="preserve">Примечание. </w:t>
      </w:r>
      <w:r>
        <w:t xml:space="preserve">ПСВ </w:t>
      </w:r>
      <w:r>
        <w:t>– пиковая скорость выдоха, SрO</w:t>
      </w:r>
      <w:r>
        <w:rPr>
          <w:sz w:val="16"/>
        </w:rPr>
        <w:t xml:space="preserve">2 </w:t>
      </w:r>
      <w:r>
        <w:rPr>
          <w:vertAlign w:val="subscript"/>
        </w:rPr>
        <w:t>–</w:t>
      </w:r>
      <w:r>
        <w:rPr>
          <w:sz w:val="16"/>
        </w:rPr>
        <w:t xml:space="preserve"> </w:t>
      </w:r>
      <w:r>
        <w:t>насыщение гемоглобина крови кислородом, PaO</w:t>
      </w:r>
      <w:r>
        <w:rPr>
          <w:sz w:val="16"/>
        </w:rPr>
        <w:t>2</w:t>
      </w:r>
      <w:r>
        <w:t xml:space="preserve"> – парциальное напряжение кислорода в артериальной крови, РаСО</w:t>
      </w:r>
      <w:r>
        <w:rPr>
          <w:sz w:val="16"/>
        </w:rPr>
        <w:t>2</w:t>
      </w:r>
      <w:r>
        <w:t xml:space="preserve"> – парциальное напряжение углекислого газа в артериальной крови </w:t>
      </w:r>
    </w:p>
    <w:p w:rsidR="00F15F71" w:rsidRDefault="00F974CD">
      <w:pPr>
        <w:spacing w:after="160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33"/>
        <w:ind w:left="10"/>
      </w:pPr>
      <w:r>
        <w:t xml:space="preserve"> </w:t>
      </w:r>
      <w:r>
        <w:t xml:space="preserve">Для пациентов с БА в возрасте младше 5 лет используют следующие критерии для оценки степени тяжести обострения (Табл. 4). </w:t>
      </w:r>
    </w:p>
    <w:p w:rsidR="00F15F71" w:rsidRDefault="00F974CD">
      <w:pPr>
        <w:spacing w:line="270" w:lineRule="auto"/>
        <w:ind w:left="-5" w:right="10"/>
      </w:pPr>
      <w:r>
        <w:rPr>
          <w:b/>
        </w:rPr>
        <w:t>Таблица 4. Оценка тяжести обострения БА у детей в возрасте до 5 лет</w:t>
      </w:r>
      <w:r>
        <w:t xml:space="preserve"> </w:t>
      </w:r>
    </w:p>
    <w:p w:rsidR="00F15F71" w:rsidRDefault="00F974CD">
      <w:pPr>
        <w:spacing w:after="56" w:line="259" w:lineRule="auto"/>
        <w:ind w:left="-120" w:right="-108" w:firstLine="0"/>
        <w:jc w:val="left"/>
      </w:pPr>
      <w:r>
        <w:rPr>
          <w:noProof/>
        </w:rPr>
        <w:drawing>
          <wp:inline distT="0" distB="0" distL="0" distR="0">
            <wp:extent cx="6089904" cy="2956560"/>
            <wp:effectExtent l="0" t="0" r="0" b="0"/>
            <wp:docPr id="270425" name="Picture 2704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425" name="Picture 27042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89904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F71" w:rsidRDefault="00F974CD">
      <w:pPr>
        <w:spacing w:after="45" w:line="259" w:lineRule="auto"/>
        <w:ind w:left="10"/>
      </w:pPr>
      <w:r>
        <w:rPr>
          <w:b/>
          <w:i/>
        </w:rPr>
        <w:t>Примечание.</w:t>
      </w:r>
      <w:r>
        <w:rPr>
          <w:vertAlign w:val="superscript"/>
        </w:rPr>
        <w:t>1</w:t>
      </w:r>
      <w:r>
        <w:t xml:space="preserve"> Каждый из этих симптомов указывает на наличие тяж</w:t>
      </w:r>
      <w:r>
        <w:t xml:space="preserve">елого обострения. </w:t>
      </w:r>
    </w:p>
    <w:p w:rsidR="00F15F71" w:rsidRDefault="00F974CD">
      <w:pPr>
        <w:spacing w:line="287" w:lineRule="auto"/>
        <w:ind w:left="0" w:firstLine="708"/>
      </w:pPr>
      <w:r>
        <w:t xml:space="preserve">           </w:t>
      </w:r>
      <w:r>
        <w:rPr>
          <w:vertAlign w:val="superscript"/>
        </w:rPr>
        <w:t>2</w:t>
      </w:r>
      <w:r>
        <w:t xml:space="preserve">Измерение сатурации проводится до приема КДБА и/или кислородотерапии.  </w:t>
      </w:r>
    </w:p>
    <w:p w:rsidR="00F15F71" w:rsidRDefault="00F974CD">
      <w:pPr>
        <w:spacing w:after="34" w:line="259" w:lineRule="auto"/>
        <w:ind w:left="718" w:right="841"/>
      </w:pPr>
      <w:r>
        <w:rPr>
          <w:vertAlign w:val="superscript"/>
        </w:rPr>
        <w:t xml:space="preserve">                 3 </w:t>
      </w:r>
      <w:r>
        <w:t xml:space="preserve">Необходимо учитывать возраст и возможности ребенка </w:t>
      </w:r>
    </w:p>
    <w:p w:rsidR="00F15F71" w:rsidRDefault="00F974CD">
      <w:pPr>
        <w:spacing w:after="161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34"/>
        <w:ind w:left="0" w:right="7" w:firstLine="708"/>
      </w:pPr>
      <w:r>
        <w:t xml:space="preserve">Под </w:t>
      </w:r>
      <w:r>
        <w:rPr>
          <w:b/>
        </w:rPr>
        <w:t>астматическим статусом</w:t>
      </w:r>
      <w:r>
        <w:t xml:space="preserve"> </w:t>
      </w:r>
      <w:r>
        <w:t xml:space="preserve">понимают эпизод острой дыхательной недостаточности (ОДН) вследствие обострения БА. Термин астматический статус эквивалентен понятиям «жизнеугрожающая астма» и «астма, близкая к фатальной». </w:t>
      </w:r>
    </w:p>
    <w:p w:rsidR="00F15F71" w:rsidRDefault="00F974CD">
      <w:pPr>
        <w:spacing w:after="148" w:line="270" w:lineRule="auto"/>
        <w:ind w:left="576" w:right="10"/>
      </w:pPr>
      <w:r>
        <w:rPr>
          <w:b/>
        </w:rPr>
        <w:t xml:space="preserve">Формулировка диагноза  </w:t>
      </w:r>
    </w:p>
    <w:p w:rsidR="00F15F71" w:rsidRDefault="00F974CD">
      <w:pPr>
        <w:spacing w:after="115" w:line="259" w:lineRule="auto"/>
        <w:ind w:left="576" w:right="841"/>
      </w:pPr>
      <w:r>
        <w:t>Примеры формулировки диагноза указаны в Пр</w:t>
      </w:r>
      <w:r>
        <w:t xml:space="preserve">иложении Б8. </w:t>
      </w:r>
    </w:p>
    <w:p w:rsidR="00F15F71" w:rsidRDefault="00F974CD">
      <w:pPr>
        <w:spacing w:after="28"/>
        <w:ind w:left="0" w:firstLine="566"/>
      </w:pPr>
      <w:r>
        <w:t xml:space="preserve">При формулировке диагноза необходимо указывать степень дыхательной недостаточности. </w:t>
      </w:r>
    </w:p>
    <w:p w:rsidR="00F15F71" w:rsidRDefault="00F974CD">
      <w:pPr>
        <w:spacing w:after="32"/>
        <w:ind w:left="0" w:right="6" w:firstLine="566"/>
      </w:pPr>
      <w:r>
        <w:rPr>
          <w:b/>
        </w:rPr>
        <w:t xml:space="preserve">Дыхательная недостаточность (ДН) – </w:t>
      </w:r>
      <w:r>
        <w:t>неспособность системы дыхания обеспечить нормальный газовый состав артериальной крови. По скорости развития различают остр</w:t>
      </w:r>
      <w:r>
        <w:t xml:space="preserve">ую и хроническую ДН [24]. </w:t>
      </w:r>
    </w:p>
    <w:p w:rsidR="00F15F71" w:rsidRDefault="00F974CD">
      <w:pPr>
        <w:spacing w:after="35"/>
        <w:ind w:left="0" w:right="2" w:firstLine="708"/>
      </w:pPr>
      <w:r>
        <w:t>Острая ДН (ОДН) развивается в течение нескольких дней, часов или даже минут и требует проведения интенсивной терапии, так как может представлять непосредственную угрозу для жизни больного. При быстром развитии ДН не успевают вклю</w:t>
      </w:r>
      <w:r>
        <w:t xml:space="preserve">читься компенсаторные механизмы со стороны систем дыхания, кровообращения и кислотнощелочного состояния (КЩС) крови. Классификация ОДН по степени тяжести основана на газометрических показателях (Табл. 5). </w:t>
      </w:r>
    </w:p>
    <w:p w:rsidR="00F15F71" w:rsidRDefault="00F974CD">
      <w:pPr>
        <w:spacing w:line="270" w:lineRule="auto"/>
        <w:ind w:left="-5" w:right="10"/>
      </w:pPr>
      <w:r>
        <w:rPr>
          <w:b/>
        </w:rPr>
        <w:t>Таблица 5. Классификация острой дыхательной недост</w:t>
      </w:r>
      <w:r>
        <w:rPr>
          <w:b/>
        </w:rPr>
        <w:t>аточности по степени тяжести</w:t>
      </w:r>
      <w:r>
        <w:t xml:space="preserve">  </w:t>
      </w:r>
    </w:p>
    <w:tbl>
      <w:tblPr>
        <w:tblStyle w:val="TableGrid"/>
        <w:tblW w:w="9573" w:type="dxa"/>
        <w:tblInd w:w="-108" w:type="dxa"/>
        <w:tblCellMar>
          <w:top w:w="1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190"/>
        <w:gridCol w:w="3190"/>
        <w:gridCol w:w="3193"/>
      </w:tblGrid>
      <w:tr w:rsidR="00F15F71">
        <w:trPr>
          <w:trHeight w:val="425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</w:rPr>
              <w:t xml:space="preserve">Степень ДН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</w:rPr>
              <w:t xml:space="preserve">РаО2, мм рт.ст.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center"/>
            </w:pPr>
            <w:r>
              <w:rPr>
                <w:b/>
              </w:rPr>
              <w:t xml:space="preserve">SpO2, % </w:t>
            </w:r>
          </w:p>
        </w:tc>
      </w:tr>
      <w:tr w:rsidR="00F15F71">
        <w:trPr>
          <w:trHeight w:val="425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" w:firstLine="0"/>
              <w:jc w:val="center"/>
            </w:pPr>
            <w:r>
              <w:t xml:space="preserve">Норма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" w:firstLine="0"/>
              <w:jc w:val="center"/>
            </w:pPr>
            <w:r>
              <w:t xml:space="preserve">≥80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2" w:firstLine="0"/>
              <w:jc w:val="center"/>
            </w:pPr>
            <w:r>
              <w:t xml:space="preserve">≥95 </w:t>
            </w:r>
          </w:p>
        </w:tc>
      </w:tr>
      <w:tr w:rsidR="00F15F71">
        <w:trPr>
          <w:trHeight w:val="422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center"/>
            </w:pPr>
            <w:r>
              <w:t xml:space="preserve">I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2" w:firstLine="0"/>
              <w:jc w:val="center"/>
            </w:pPr>
            <w:r>
              <w:t xml:space="preserve">60–79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center"/>
            </w:pPr>
            <w:r>
              <w:t xml:space="preserve">90–94 </w:t>
            </w:r>
          </w:p>
        </w:tc>
      </w:tr>
      <w:tr w:rsidR="00F15F71">
        <w:trPr>
          <w:trHeight w:val="425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2" w:firstLine="0"/>
              <w:jc w:val="center"/>
            </w:pPr>
            <w:r>
              <w:t xml:space="preserve">II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2" w:firstLine="0"/>
              <w:jc w:val="center"/>
            </w:pPr>
            <w:r>
              <w:t xml:space="preserve">40–59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center"/>
            </w:pPr>
            <w:r>
              <w:t xml:space="preserve">75–89 </w:t>
            </w:r>
          </w:p>
        </w:tc>
      </w:tr>
      <w:tr w:rsidR="00F15F71">
        <w:trPr>
          <w:trHeight w:val="425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" w:firstLine="0"/>
              <w:jc w:val="center"/>
            </w:pPr>
            <w:r>
              <w:t xml:space="preserve">III </w:t>
            </w:r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2" w:firstLine="0"/>
              <w:jc w:val="center"/>
            </w:pPr>
            <w:r>
              <w:t xml:space="preserve">&lt;40 </w:t>
            </w:r>
          </w:p>
        </w:tc>
        <w:tc>
          <w:tcPr>
            <w:tcW w:w="3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center"/>
            </w:pPr>
            <w:r>
              <w:t xml:space="preserve">&lt;75 </w:t>
            </w:r>
          </w:p>
        </w:tc>
      </w:tr>
    </w:tbl>
    <w:p w:rsidR="00F15F71" w:rsidRDefault="00F974CD">
      <w:pPr>
        <w:spacing w:line="275" w:lineRule="auto"/>
        <w:ind w:left="10"/>
      </w:pPr>
      <w:r>
        <w:rPr>
          <w:b/>
          <w:i/>
        </w:rPr>
        <w:t xml:space="preserve">Примечание. </w:t>
      </w:r>
      <w:r>
        <w:t>PaO</w:t>
      </w:r>
      <w:r>
        <w:rPr>
          <w:sz w:val="16"/>
        </w:rPr>
        <w:t>2</w:t>
      </w:r>
      <w:r>
        <w:t xml:space="preserve"> – парциальное напряжение кислорода в артериальной крови, SрO</w:t>
      </w:r>
      <w:r>
        <w:rPr>
          <w:sz w:val="16"/>
        </w:rPr>
        <w:t xml:space="preserve">2 </w:t>
      </w:r>
      <w:r>
        <w:rPr>
          <w:vertAlign w:val="subscript"/>
        </w:rPr>
        <w:t>–</w:t>
      </w:r>
      <w:r>
        <w:rPr>
          <w:sz w:val="16"/>
        </w:rPr>
        <w:t xml:space="preserve"> </w:t>
      </w:r>
      <w:r>
        <w:t xml:space="preserve">насыщение гемоглобина крови кислородом </w:t>
      </w:r>
    </w:p>
    <w:p w:rsidR="00F15F71" w:rsidRDefault="00F974CD">
      <w:pPr>
        <w:spacing w:after="160" w:line="259" w:lineRule="auto"/>
        <w:ind w:left="0" w:firstLine="0"/>
        <w:jc w:val="left"/>
      </w:pPr>
      <w:r>
        <w:t xml:space="preserve"> </w:t>
      </w:r>
    </w:p>
    <w:p w:rsidR="00F15F71" w:rsidRDefault="00F974CD">
      <w:pPr>
        <w:spacing w:after="279"/>
        <w:ind w:left="10" w:right="8"/>
      </w:pPr>
      <w:r>
        <w:t xml:space="preserve"> </w:t>
      </w:r>
      <w:r>
        <w:t>Хроническая ДН (ХДН) развивается в течение месяцев или лет. Начало ХДН может быть незаметным, постепенным, или она может развиться при неполном восстановлении после ОДН. Длительное существование ХДН позволяет включиться компенсаторным механизмам, среди кот</w:t>
      </w:r>
      <w:r>
        <w:t xml:space="preserve">орых полицитемия, повышение сердечного выброса, задержка почками бикарбонатов (приводящая к коррекции респираторного ацидоза). ОДН может развиваться и у пациентов с уже существующей ХДН – так называемая “ОДН на фоне ХДН”. </w:t>
      </w:r>
      <w:r>
        <w:rPr>
          <w:b/>
        </w:rPr>
        <w:t xml:space="preserve"> </w:t>
      </w:r>
    </w:p>
    <w:p w:rsidR="00F15F71" w:rsidRDefault="00F974CD">
      <w:pPr>
        <w:pStyle w:val="Heading4"/>
        <w:spacing w:after="6" w:line="393" w:lineRule="auto"/>
        <w:ind w:left="-15" w:right="-7" w:firstLine="698"/>
      </w:pPr>
      <w:bookmarkStart w:id="11" w:name="_Toc275168"/>
      <w:r>
        <w:rPr>
          <w:u w:val="single" w:color="000000"/>
        </w:rPr>
        <w:t xml:space="preserve">1.6 Клиническая картина </w:t>
      </w:r>
      <w:r>
        <w:rPr>
          <w:color w:val="333333"/>
          <w:u w:val="single" w:color="333333"/>
        </w:rPr>
        <w:t>заболевания</w:t>
      </w:r>
      <w:r>
        <w:rPr>
          <w:u w:val="single" w:color="333333"/>
        </w:rPr>
        <w:t xml:space="preserve"> </w:t>
      </w:r>
      <w:r>
        <w:rPr>
          <w:color w:val="333333"/>
          <w:u w:val="single" w:color="333333"/>
        </w:rPr>
        <w:t>или состояния (группы заболеваний</w:t>
      </w:r>
      <w:r>
        <w:rPr>
          <w:color w:val="333333"/>
        </w:rPr>
        <w:t xml:space="preserve"> </w:t>
      </w:r>
      <w:bookmarkEnd w:id="11"/>
    </w:p>
    <w:p w:rsidR="00F15F71" w:rsidRDefault="00F974CD">
      <w:pPr>
        <w:pStyle w:val="Heading3"/>
        <w:spacing w:after="6" w:line="393" w:lineRule="auto"/>
        <w:ind w:left="-15" w:right="-7" w:firstLine="698"/>
        <w:jc w:val="both"/>
      </w:pPr>
      <w:bookmarkStart w:id="12" w:name="_Toc275169"/>
      <w:r>
        <w:rPr>
          <w:color w:val="333333"/>
          <w:u w:color="333333"/>
        </w:rPr>
        <w:t>или состояний)</w:t>
      </w:r>
      <w:r>
        <w:rPr>
          <w:u w:val="none"/>
        </w:rPr>
        <w:t xml:space="preserve"> </w:t>
      </w:r>
      <w:bookmarkEnd w:id="12"/>
    </w:p>
    <w:p w:rsidR="00F15F71" w:rsidRDefault="00F974CD">
      <w:pPr>
        <w:spacing w:after="40"/>
        <w:ind w:left="0" w:right="4" w:firstLine="708"/>
      </w:pPr>
      <w:r>
        <w:t>БА является хроническим воспалительным заболеванием дыхательных путей, основным патогенетическим механизмом которого является гиперреактивность бронхов, а основным клиническим проявлением — час</w:t>
      </w:r>
      <w:r>
        <w:t>тично или полностью обратимая (спонтанно или в результате лечения) обструкция вследствие бронхоспазма, гиперсекреции и отека слизистой оболочки бронхов, сопровождающиеся характерной аускультативной картиной в виде удлинения выдоха и сухих высокотональных х</w:t>
      </w:r>
      <w:r>
        <w:t>рипов над всей поверхностью грудной клетки, обычно дистанционных, т.е. слышимых на расстоянии. Определение параметров функции внешнего дыхания во время приступа (обострения) выявляет обструктивный тип нарушения дыхания. Характерна динамичность этих нарушен</w:t>
      </w:r>
      <w:r>
        <w:t xml:space="preserve">ий в зависимости от лечения (облегчение затруднения дыхания, уменьшение вплоть до полного исчезновения сухих хрипов при аускультации, прироста показателей ФВД и ПСВ после применения бронходилататоров и противовоспалительных препаратов) или без него. </w:t>
      </w:r>
    </w:p>
    <w:p w:rsidR="00F15F71" w:rsidRDefault="00F974CD">
      <w:pPr>
        <w:ind w:left="0" w:right="3" w:firstLine="708"/>
      </w:pPr>
      <w:r>
        <w:t>Харак</w:t>
      </w:r>
      <w:r>
        <w:t>терными симптомами БА являются приступы затруднения дыхания, удушья, свистящие хрипы, одышка (преимущественно экспираторная), чувство заложенности в груди и кашель. Симптомы вариабельны по времени и интенсивности и часто ухудшаются ночью или рано утром. Кл</w:t>
      </w:r>
      <w:r>
        <w:t>инические проявления БА могут провоцировать респираторные вирусные инфекции, физические упражнения, воздействие аллергенов, изменения погоды, контакт с неспецифическими ирритантами [4]. Течение БА вариабельно по времени от длительных бессимптомных периодов</w:t>
      </w:r>
      <w:r>
        <w:t xml:space="preserve"> с нормальной легочной функцией (под действием проводимого лечения или без него) до обострений с нарастающей одышкой, частотой приступов удушья, повышением потребности в симптоматической терапии и признаками дыхательной недостаточности. </w:t>
      </w:r>
    </w:p>
    <w:p w:rsidR="00F15F71" w:rsidRDefault="00F974CD">
      <w:pPr>
        <w:spacing w:after="31"/>
        <w:ind w:left="0" w:right="4" w:firstLine="708"/>
      </w:pPr>
      <w:r>
        <w:t>К обострению БА мо</w:t>
      </w:r>
      <w:r>
        <w:t>гут привести различные триггеры, индуцирующие воспаление дыхательных путей или провоцирующие острый бронхоспазм. Данные триггеры могут существенно различаться у разных пациентов. К основным триггерам относятся инфекции респираторного тракта (в основном, ви</w:t>
      </w:r>
      <w:r>
        <w:t>русы, чаще всего – риновирусы), аллергены, аэрополлютанты, физическая нагрузка, метеорологические факторы, прием некоторых лекарственных препаратов (бета-блокаторы, у пациентов с «аспириновой БА» (современная терминология – индуцированное ацетилсалициловой</w:t>
      </w:r>
      <w:r>
        <w:t xml:space="preserve"> кислотой и нестероидными противовоспалительным препаратами (НПВП) респираторное заболевание) – прием НПВП, эмоциональные реакции и др. Другими факторами, которые способны привести к обострению БА, являются обострение риносинусита, гастроэзофагеальный рефл</w:t>
      </w:r>
      <w:r>
        <w:t xml:space="preserve">юкс, беременность, и недостаточная терапия. </w:t>
      </w:r>
    </w:p>
    <w:p w:rsidR="00F15F71" w:rsidRDefault="00F974CD">
      <w:pPr>
        <w:spacing w:after="161" w:line="259" w:lineRule="auto"/>
        <w:ind w:left="718" w:right="841"/>
      </w:pPr>
      <w:r>
        <w:t xml:space="preserve">К факторам риска развития обострений относятся [4]: </w:t>
      </w:r>
    </w:p>
    <w:p w:rsidR="00F15F71" w:rsidRDefault="00F974CD">
      <w:pPr>
        <w:numPr>
          <w:ilvl w:val="0"/>
          <w:numId w:val="5"/>
        </w:numPr>
        <w:spacing w:after="170" w:line="259" w:lineRule="auto"/>
        <w:ind w:right="6" w:firstLine="708"/>
      </w:pPr>
      <w:r>
        <w:t xml:space="preserve">симптомы неконтролируемой БА; </w:t>
      </w:r>
    </w:p>
    <w:p w:rsidR="00F15F71" w:rsidRDefault="00F974CD">
      <w:pPr>
        <w:numPr>
          <w:ilvl w:val="0"/>
          <w:numId w:val="5"/>
        </w:numPr>
        <w:spacing w:after="168" w:line="259" w:lineRule="auto"/>
        <w:ind w:right="6" w:firstLine="708"/>
      </w:pPr>
      <w:r>
        <w:t xml:space="preserve">ИГКС не назначены, плохая приверженность терапии; </w:t>
      </w:r>
    </w:p>
    <w:p w:rsidR="00F15F71" w:rsidRDefault="00F974CD">
      <w:pPr>
        <w:numPr>
          <w:ilvl w:val="0"/>
          <w:numId w:val="5"/>
        </w:numPr>
        <w:spacing w:after="170" w:line="259" w:lineRule="auto"/>
        <w:ind w:right="6" w:firstLine="708"/>
      </w:pPr>
      <w:r>
        <w:t xml:space="preserve">чрезмерное использование короткодействующих β2-агонистов (КДБА);  </w:t>
      </w:r>
    </w:p>
    <w:p w:rsidR="00F15F71" w:rsidRDefault="00F974CD">
      <w:pPr>
        <w:numPr>
          <w:ilvl w:val="0"/>
          <w:numId w:val="5"/>
        </w:numPr>
        <w:spacing w:after="168" w:line="259" w:lineRule="auto"/>
        <w:ind w:right="6" w:firstLine="708"/>
      </w:pPr>
      <w:r>
        <w:t>низкий ОФ</w:t>
      </w:r>
      <w:r>
        <w:t xml:space="preserve">В1, особенно &lt;60 % от должного; </w:t>
      </w:r>
    </w:p>
    <w:p w:rsidR="00F15F71" w:rsidRDefault="00F974CD">
      <w:pPr>
        <w:numPr>
          <w:ilvl w:val="0"/>
          <w:numId w:val="5"/>
        </w:numPr>
        <w:spacing w:after="168" w:line="259" w:lineRule="auto"/>
        <w:ind w:right="6" w:firstLine="708"/>
      </w:pPr>
      <w:r>
        <w:t xml:space="preserve">значительные психологические или социально-экономические проблемы; </w:t>
      </w:r>
    </w:p>
    <w:p w:rsidR="00F15F71" w:rsidRDefault="00F974CD">
      <w:pPr>
        <w:numPr>
          <w:ilvl w:val="0"/>
          <w:numId w:val="5"/>
        </w:numPr>
        <w:spacing w:line="259" w:lineRule="auto"/>
        <w:ind w:right="6" w:firstLine="708"/>
      </w:pPr>
      <w:r>
        <w:t xml:space="preserve">внешние воздействия: курение, воздействие аллергена; </w:t>
      </w:r>
    </w:p>
    <w:p w:rsidR="00F15F71" w:rsidRDefault="00F974CD">
      <w:pPr>
        <w:numPr>
          <w:ilvl w:val="0"/>
          <w:numId w:val="5"/>
        </w:numPr>
        <w:spacing w:after="31"/>
        <w:ind w:right="6" w:firstLine="708"/>
      </w:pPr>
      <w:r>
        <w:t xml:space="preserve">сопутствующие заболевания: риносинусит, гастроэзофагеальная рефлюксная болезнь (ГЭРБ), подтвержденная пищевая аллергия, ожирение; </w:t>
      </w:r>
    </w:p>
    <w:p w:rsidR="00F15F71" w:rsidRDefault="00F974CD">
      <w:pPr>
        <w:numPr>
          <w:ilvl w:val="0"/>
          <w:numId w:val="5"/>
        </w:numPr>
        <w:spacing w:after="166" w:line="259" w:lineRule="auto"/>
        <w:ind w:right="6" w:firstLine="708"/>
      </w:pPr>
      <w:r>
        <w:t xml:space="preserve">эозинофилия мокроты или крови; </w:t>
      </w:r>
    </w:p>
    <w:p w:rsidR="00F15F71" w:rsidRDefault="00F974CD">
      <w:pPr>
        <w:numPr>
          <w:ilvl w:val="0"/>
          <w:numId w:val="5"/>
        </w:numPr>
        <w:spacing w:after="168" w:line="259" w:lineRule="auto"/>
        <w:ind w:right="6" w:firstLine="708"/>
      </w:pPr>
      <w:r>
        <w:t xml:space="preserve">беременность; </w:t>
      </w:r>
    </w:p>
    <w:p w:rsidR="00F15F71" w:rsidRDefault="00F974CD">
      <w:pPr>
        <w:numPr>
          <w:ilvl w:val="0"/>
          <w:numId w:val="5"/>
        </w:numPr>
        <w:spacing w:after="121" w:line="259" w:lineRule="auto"/>
        <w:ind w:right="6" w:firstLine="708"/>
      </w:pPr>
      <w:r>
        <w:t xml:space="preserve">наличие одного и более тяжелых обострений за последние 12 месяцев. </w:t>
      </w:r>
    </w:p>
    <w:p w:rsidR="00F15F71" w:rsidRDefault="00F974CD">
      <w:pPr>
        <w:spacing w:after="35"/>
        <w:ind w:left="0" w:right="5" w:firstLine="708"/>
      </w:pPr>
      <w:r>
        <w:t xml:space="preserve">Типичными </w:t>
      </w:r>
      <w:r>
        <w:t>клиническими симптомами БА у детей являются свистящие хрипы, кашель, одышка, часто усиливающиеся в ночное время или при пробуждении. При развитии обострения БА у детей появляется навязчивый сухой или малопродуктивный кашель (иногда до рвоты), экспираторная</w:t>
      </w:r>
      <w:r>
        <w:t xml:space="preserve"> одышка, шумное свистящее дыхание.  </w:t>
      </w:r>
    </w:p>
    <w:p w:rsidR="00F15F71" w:rsidRDefault="00F974CD">
      <w:pPr>
        <w:spacing w:after="32"/>
        <w:ind w:left="0" w:right="2" w:firstLine="708"/>
      </w:pPr>
      <w:r>
        <w:t>У детей младше пяти лет (особенно в возрасте от 0 до 2-х лет) могут отмечаться рецидивирующие эпизоды бронхиальной обструкции, проявляющиеся симптомами свистящего дыхания/свистящих хрипов (от англ. «wheezing» - виззинг)</w:t>
      </w:r>
      <w:r>
        <w:t>, которые сопровождаются кашлем, одышкой. Данные симптомы - довольно распространенное явление при острых респираторных инфекциях (ОРИ), поэтому не являются абсолютно патогномоничными в отношении диагноза БА для детей этой возрастной группы. Подтвердить огр</w:t>
      </w:r>
      <w:r>
        <w:t>аничение воздушного потока или провести пробу с бронходилататором у детей раннего возраста зачастую невозможно, что также затрудняет постановку диагноза. Такие эпизоды бронхиальной обструкции – фенотип свистящего дыхания («wheezing»), - могут быть классифи</w:t>
      </w:r>
      <w:r>
        <w:t xml:space="preserve">цированы на основании симптоматики (клинической картины) и временного фактора [21].  </w:t>
      </w:r>
    </w:p>
    <w:p w:rsidR="00F15F71" w:rsidRDefault="00F974CD">
      <w:pPr>
        <w:spacing w:after="161" w:line="259" w:lineRule="auto"/>
        <w:ind w:left="718" w:right="841"/>
      </w:pPr>
      <w:r>
        <w:t xml:space="preserve">С учетом особенностей симптоматики выделены: </w:t>
      </w:r>
    </w:p>
    <w:p w:rsidR="00F15F71" w:rsidRDefault="00F974CD">
      <w:pPr>
        <w:numPr>
          <w:ilvl w:val="0"/>
          <w:numId w:val="5"/>
        </w:numPr>
        <w:spacing w:after="31"/>
        <w:ind w:right="6" w:firstLine="708"/>
      </w:pPr>
      <w:r>
        <w:rPr>
          <w:i/>
        </w:rPr>
        <w:t>периодические эпизоды</w:t>
      </w:r>
      <w:r>
        <w:t xml:space="preserve"> свистящего дыхания, ассоциированные с ОРИ, когда в остальное время симптомы полностью отсутствуют;  </w:t>
      </w:r>
    </w:p>
    <w:p w:rsidR="00F15F71" w:rsidRDefault="00F974CD">
      <w:pPr>
        <w:numPr>
          <w:ilvl w:val="0"/>
          <w:numId w:val="5"/>
        </w:numPr>
        <w:spacing w:after="32"/>
        <w:ind w:right="6" w:firstLine="708"/>
      </w:pPr>
      <w:r>
        <w:rPr>
          <w:i/>
        </w:rPr>
        <w:t>м</w:t>
      </w:r>
      <w:r>
        <w:rPr>
          <w:i/>
        </w:rPr>
        <w:t>ультитриггерные эпизоды</w:t>
      </w:r>
      <w:r>
        <w:t xml:space="preserve"> свистящего дыхания, когда помимо симптомов на фоне ОРИ свистящее дыхание может возникать во сне, при физической нагрузке, смехе, плаче и пр. </w:t>
      </w:r>
    </w:p>
    <w:p w:rsidR="00F15F71" w:rsidRDefault="00F974CD">
      <w:pPr>
        <w:spacing w:after="161" w:line="259" w:lineRule="auto"/>
        <w:ind w:left="718" w:right="841"/>
      </w:pPr>
      <w:r>
        <w:t xml:space="preserve">На основании временного фактора выделяют:  </w:t>
      </w:r>
    </w:p>
    <w:p w:rsidR="00F15F71" w:rsidRDefault="00F974CD">
      <w:pPr>
        <w:numPr>
          <w:ilvl w:val="0"/>
          <w:numId w:val="5"/>
        </w:numPr>
        <w:spacing w:after="31"/>
        <w:ind w:right="6" w:firstLine="708"/>
      </w:pPr>
      <w:r>
        <w:rPr>
          <w:i/>
        </w:rPr>
        <w:t>преходящие</w:t>
      </w:r>
      <w:r>
        <w:t xml:space="preserve"> </w:t>
      </w:r>
      <w:r>
        <w:rPr>
          <w:i/>
        </w:rPr>
        <w:t>эпизоды</w:t>
      </w:r>
      <w:r>
        <w:t xml:space="preserve"> свистящего дыхания, начало </w:t>
      </w:r>
      <w:r>
        <w:t xml:space="preserve">и исчезновение которого относится к возрасту до 3-х лет;  </w:t>
      </w:r>
    </w:p>
    <w:p w:rsidR="00F15F71" w:rsidRDefault="00F974CD">
      <w:pPr>
        <w:numPr>
          <w:ilvl w:val="0"/>
          <w:numId w:val="5"/>
        </w:numPr>
        <w:spacing w:after="30"/>
        <w:ind w:right="6" w:firstLine="708"/>
      </w:pPr>
      <w:r>
        <w:rPr>
          <w:i/>
        </w:rPr>
        <w:t>персистирующие эпизоды</w:t>
      </w:r>
      <w:r>
        <w:t xml:space="preserve"> свистящего дыхания: симптомы впервые возникают в возрасте до 3 лет и сохраняются после 6-летнего возраста;  </w:t>
      </w:r>
    </w:p>
    <w:p w:rsidR="00F15F71" w:rsidRDefault="00F974CD">
      <w:pPr>
        <w:numPr>
          <w:ilvl w:val="0"/>
          <w:numId w:val="5"/>
        </w:numPr>
        <w:spacing w:after="155" w:line="259" w:lineRule="auto"/>
        <w:ind w:right="6" w:firstLine="708"/>
      </w:pPr>
      <w:r>
        <w:rPr>
          <w:i/>
        </w:rPr>
        <w:t>с поздним началом</w:t>
      </w:r>
      <w:r>
        <w:t>: свистящие хрипы возникают после 3-</w:t>
      </w:r>
      <w:r>
        <w:t xml:space="preserve">х летнего возраста. </w:t>
      </w:r>
    </w:p>
    <w:p w:rsidR="00F15F71" w:rsidRDefault="00F974CD">
      <w:pPr>
        <w:spacing w:line="259" w:lineRule="auto"/>
        <w:ind w:left="718" w:right="841"/>
      </w:pPr>
      <w:r>
        <w:t xml:space="preserve">Течение БА у подростков характеризуется:  </w:t>
      </w:r>
    </w:p>
    <w:p w:rsidR="00F15F71" w:rsidRDefault="00F974CD">
      <w:pPr>
        <w:numPr>
          <w:ilvl w:val="0"/>
          <w:numId w:val="5"/>
        </w:numPr>
        <w:spacing w:after="30"/>
        <w:ind w:right="6" w:firstLine="708"/>
      </w:pPr>
      <w:r>
        <w:t>возможно частыми и длительными ремиссиями, во многом обусловленными возрастными особенностями (у лиц мужского пола в возрасте 14-20 лет наблюдается снижение синтеза специфических IgE, повышени</w:t>
      </w:r>
      <w:r>
        <w:t xml:space="preserve">е продукции тестостерона, стимулирующего функцию симпатоадреналовой системы, снижение гиперреактивности бронхов) [25–28], при этом часто после ремиссии заболевания в подростковом возрасте, у взрослых течение заболевания ухудшается [27];  </w:t>
      </w:r>
    </w:p>
    <w:p w:rsidR="00F15F71" w:rsidRDefault="00F974CD">
      <w:pPr>
        <w:numPr>
          <w:ilvl w:val="0"/>
          <w:numId w:val="5"/>
        </w:numPr>
        <w:ind w:right="6" w:firstLine="708"/>
      </w:pPr>
      <w:r>
        <w:t>особенности психо</w:t>
      </w:r>
      <w:r>
        <w:t xml:space="preserve">эмоционального статуса, нежелание постоянно применять препараты, недооценка тяжести болезни, курение (активное и пассивное, в т.ч. электронных сигарет) являются факторами, предрасполагающими к неконтролируемому течению БА [25,28].  </w:t>
      </w:r>
    </w:p>
    <w:p w:rsidR="00F15F71" w:rsidRDefault="00F974CD">
      <w:pPr>
        <w:ind w:left="0" w:right="2" w:firstLine="708"/>
      </w:pPr>
      <w:r>
        <w:t xml:space="preserve">Особенности течения БА </w:t>
      </w:r>
      <w:r>
        <w:t xml:space="preserve">у пожилых заключается в трудности диагностики (снижение восприятия одышки, снижение чувствительности инспираторных, главным образом, диафрагмальных проприорецепторов к изменениям объема легких, хеморецепторов к гипоксии), наличия сопутствующих заболеваний </w:t>
      </w:r>
      <w:r>
        <w:t>(течение и терапия которых негативно сказываются на состоянии пациента), трудности исследования и интерпретации функции легких, низкая приверженность к терапии, трудности при выполнении техники ингаляции (нарушение координации – важно для ДАИ, низкий инспи</w:t>
      </w:r>
      <w:r>
        <w:t xml:space="preserve">раторный поток – важно для ДПИ), необходимость тщательного выбора лекарственного средства с учетом возможных взаимодействий с препаратами сопутствующей терапии, оценкой потенциальных нежелательных явлений; частые обострения, высокий риск смерти [29]. </w:t>
      </w:r>
    </w:p>
    <w:p w:rsidR="00F15F71" w:rsidRDefault="00F974CD">
      <w:pPr>
        <w:spacing w:after="444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pStyle w:val="Heading1"/>
        <w:spacing w:after="0" w:line="377" w:lineRule="auto"/>
        <w:ind w:right="0"/>
      </w:pPr>
      <w:bookmarkStart w:id="13" w:name="_Toc275170"/>
      <w:r>
        <w:t>2.</w:t>
      </w:r>
      <w:r>
        <w:t xml:space="preserve"> Диагностика заболевания или состояния (группы заболеваний или состояний), медицинские показания и противопоказания к применению методов диагностики </w:t>
      </w:r>
      <w:bookmarkEnd w:id="13"/>
    </w:p>
    <w:p w:rsidR="00F15F71" w:rsidRDefault="00F974CD">
      <w:pPr>
        <w:spacing w:after="159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6" w:firstLine="710"/>
      </w:pPr>
      <w:r>
        <w:rPr>
          <w:i/>
        </w:rPr>
        <w:t>Диагноз бронхиальной астмы устанавливается на основании анализа жалоб и анамнеза пациента, характера кли</w:t>
      </w:r>
      <w:r>
        <w:rPr>
          <w:i/>
        </w:rPr>
        <w:t xml:space="preserve">нических симптомов, данных физикального обследования, функциональных методов обследования, результатов специфического аллергологического обследования, исключения других заболеваний, эффекта пробной терапии </w:t>
      </w:r>
      <w:r>
        <w:t>[21]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firstLine="710"/>
      </w:pPr>
      <w:r>
        <w:rPr>
          <w:i/>
        </w:rPr>
        <w:t xml:space="preserve">При диагностике бронхиальной астмы </w:t>
      </w:r>
      <w:r>
        <w:rPr>
          <w:i/>
        </w:rPr>
        <w:t>у детей следует учитывать клинические симптомы (наличие рецидивирующего бронхообструктивного синдрома, связанного как с респираторными вирусными инфекциями, так и с другими триггерами), данные физикального обследования, наличие факторов риска развития брон</w:t>
      </w:r>
      <w:r>
        <w:rPr>
          <w:i/>
        </w:rPr>
        <w:t xml:space="preserve">хиальной астмы (отягощенный семейный анамнез, наличие других аллергических заболеваний у пациента, например, атопический дерматит, аллергический ринит) при исключении других возможных причин бронхиальной обструкции </w:t>
      </w:r>
      <w:r>
        <w:t>[21]</w:t>
      </w:r>
      <w:r>
        <w:rPr>
          <w:i/>
        </w:rPr>
        <w:t xml:space="preserve">. </w:t>
      </w:r>
    </w:p>
    <w:p w:rsidR="00F15F71" w:rsidRDefault="00F974CD">
      <w:pPr>
        <w:spacing w:after="192" w:line="259" w:lineRule="auto"/>
        <w:ind w:left="10" w:right="38"/>
        <w:jc w:val="right"/>
      </w:pPr>
      <w:r>
        <w:rPr>
          <w:b/>
        </w:rPr>
        <w:t>Критерии, которые следует учитывать для установления диагноза/состояния</w:t>
      </w:r>
      <w:r>
        <w:rPr>
          <w:b/>
          <w:vertAlign w:val="superscript"/>
        </w:rPr>
        <w:t>1</w:t>
      </w:r>
      <w:r>
        <w:rPr>
          <w:b/>
        </w:rPr>
        <w:t xml:space="preserve">: </w:t>
      </w:r>
    </w:p>
    <w:p w:rsidR="00F15F71" w:rsidRDefault="00F974CD">
      <w:pPr>
        <w:numPr>
          <w:ilvl w:val="0"/>
          <w:numId w:val="6"/>
        </w:numPr>
        <w:spacing w:after="53"/>
        <w:ind w:right="6" w:hanging="348"/>
      </w:pPr>
      <w:r>
        <w:t xml:space="preserve">наличие характерных жалоб: приступы затруднения дыхания, удушья, свистящие хрипы, одышка (преимущественно экспираторная), чувство заложенности в груди и/или приступообразный кашель </w:t>
      </w:r>
      <w:r>
        <w:t xml:space="preserve">(у пациента имеется хотя бы одна из этих жалоб, особенно это касается взрослых); </w:t>
      </w:r>
    </w:p>
    <w:p w:rsidR="00F15F71" w:rsidRDefault="00F974CD">
      <w:pPr>
        <w:numPr>
          <w:ilvl w:val="0"/>
          <w:numId w:val="6"/>
        </w:numPr>
        <w:spacing w:after="115" w:line="259" w:lineRule="auto"/>
        <w:ind w:right="6" w:hanging="348"/>
      </w:pPr>
      <w:r>
        <w:t xml:space="preserve">повторяющиеся эпизоды обратимой бронхиальной обструкции: </w:t>
      </w:r>
    </w:p>
    <w:p w:rsidR="00F15F71" w:rsidRDefault="00F974CD">
      <w:pPr>
        <w:numPr>
          <w:ilvl w:val="1"/>
          <w:numId w:val="6"/>
        </w:numPr>
        <w:spacing w:after="36"/>
        <w:ind w:right="3" w:hanging="337"/>
      </w:pPr>
      <w:r>
        <w:t xml:space="preserve">подтвержденные врачом сухие высокотональные (свистящие) хрипы при аускультации, меняющие характер вплоть до полного </w:t>
      </w:r>
      <w:r>
        <w:t xml:space="preserve">исчезновения после применения бронхолитических и противовоспалительных средств; </w:t>
      </w:r>
    </w:p>
    <w:p w:rsidR="00F15F71" w:rsidRDefault="00F974CD">
      <w:pPr>
        <w:numPr>
          <w:ilvl w:val="1"/>
          <w:numId w:val="6"/>
        </w:numPr>
        <w:spacing w:after="51"/>
        <w:ind w:right="3" w:hanging="337"/>
      </w:pPr>
      <w:r>
        <w:t>снижение ПСВ и/или ОФВ1 (ретроспективно или в серии исследований) и положительный тест на обратимость бронхиальной обструкции (прирост ОФВ1 более 12% и 200 мл после применения</w:t>
      </w:r>
      <w:r>
        <w:t xml:space="preserve"> бронхолитического средства); </w:t>
      </w:r>
    </w:p>
    <w:p w:rsidR="00F15F71" w:rsidRDefault="00F974CD">
      <w:pPr>
        <w:numPr>
          <w:ilvl w:val="0"/>
          <w:numId w:val="6"/>
        </w:numPr>
        <w:spacing w:after="53"/>
        <w:ind w:right="6" w:hanging="348"/>
      </w:pPr>
      <w:r>
        <w:t>наличие анамнестических данных, указывающих на связь возникновения жалоб после контакта с предполагаемым причинно-значимым аллергеном; наличия других аллергических заболеваний (атопический дерматит; аллергический ринит, пищев</w:t>
      </w:r>
      <w:r>
        <w:t xml:space="preserve">ая аллергия); наличие отягощенного семейного аллергологического анамнеза; наличие положительных результатов аллергологического обследования (для атопической бронхиальной астмы); </w:t>
      </w:r>
    </w:p>
    <w:p w:rsidR="00F15F71" w:rsidRDefault="00F974CD">
      <w:pPr>
        <w:numPr>
          <w:ilvl w:val="0"/>
          <w:numId w:val="6"/>
        </w:numPr>
        <w:spacing w:after="57"/>
        <w:ind w:right="6" w:hanging="348"/>
      </w:pPr>
      <w:r>
        <w:t xml:space="preserve">наличие анамнестических данных, указывающих на связь возникновения жалоб при </w:t>
      </w:r>
      <w:r>
        <w:t xml:space="preserve">физической нагрузке, воздействии холодного воздуха, вдыхании резких запахов, табачного дыма;  </w:t>
      </w:r>
    </w:p>
    <w:p w:rsidR="00F15F71" w:rsidRDefault="00F974CD">
      <w:pPr>
        <w:numPr>
          <w:ilvl w:val="0"/>
          <w:numId w:val="6"/>
        </w:numPr>
        <w:spacing w:after="55"/>
        <w:ind w:right="6" w:hanging="348"/>
      </w:pPr>
      <w:r>
        <w:t xml:space="preserve">эозинофилия периферической крови и/или мокроты, необъяснимые иными причинами; </w:t>
      </w:r>
    </w:p>
    <w:p w:rsidR="00F15F71" w:rsidRDefault="00F974CD">
      <w:pPr>
        <w:numPr>
          <w:ilvl w:val="0"/>
          <w:numId w:val="6"/>
        </w:numPr>
        <w:ind w:right="6" w:hanging="348"/>
      </w:pPr>
      <w:r>
        <w:t xml:space="preserve">положительная динамика (улучшение состояния, улучшение показателей ПСВ и ОФВ1) на </w:t>
      </w:r>
      <w:r>
        <w:t xml:space="preserve">фоне пробной терапии низкодозными ИГКС в сочетании с КДБА или формотеролом по требованию и (возможно) ухудшение состояния на фоне ее отмены. </w:t>
      </w:r>
    </w:p>
    <w:p w:rsidR="00F15F71" w:rsidRDefault="00F974CD">
      <w:pPr>
        <w:tabs>
          <w:tab w:val="center" w:pos="607"/>
          <w:tab w:val="right" w:pos="9362"/>
        </w:tabs>
        <w:spacing w:after="202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vertAlign w:val="superscript"/>
        </w:rPr>
        <w:t xml:space="preserve">1 </w:t>
      </w:r>
      <w:r>
        <w:rPr>
          <w:vertAlign w:val="superscript"/>
        </w:rPr>
        <w:tab/>
        <w:t xml:space="preserve">– </w:t>
      </w:r>
      <w:r>
        <w:t xml:space="preserve">наличие всех критериев – не обязательно для установления диагноза </w:t>
      </w:r>
    </w:p>
    <w:p w:rsidR="00F15F71" w:rsidRDefault="00F974CD">
      <w:pPr>
        <w:spacing w:after="159" w:line="259" w:lineRule="auto"/>
        <w:ind w:left="576" w:right="841"/>
      </w:pPr>
      <w:r>
        <w:t xml:space="preserve">«Бронхиальная астма» </w:t>
      </w:r>
    </w:p>
    <w:p w:rsidR="00F15F71" w:rsidRDefault="00F974CD">
      <w:pPr>
        <w:spacing w:line="387" w:lineRule="auto"/>
        <w:ind w:left="-15" w:right="3" w:firstLine="710"/>
      </w:pPr>
      <w:r>
        <w:rPr>
          <w:b/>
        </w:rPr>
        <w:t xml:space="preserve">Комментарии: </w:t>
      </w:r>
      <w:r>
        <w:rPr>
          <w:i/>
        </w:rPr>
        <w:t>согласно требованиям к разработке клинических рекомендаций необходимо указывать силу рекомендаций и доказательную базу в соответствии с шкалами оценки уровня достоверности доказательств (УДД) и уровня убедительности рекомендаций (УУР), что для многих реком</w:t>
      </w:r>
      <w:r>
        <w:rPr>
          <w:i/>
        </w:rPr>
        <w:t xml:space="preserve">ендаций будет иметь низкий уровень по причине отсутствия посвященных им клинических исследований. Невзирая на это, они являются необходимыми элементами обследования пациента для установления диагноза, определения фенотипа БА и выбора тактики лечения.  </w:t>
      </w:r>
    </w:p>
    <w:p w:rsidR="00F15F71" w:rsidRDefault="00F974CD">
      <w:pPr>
        <w:spacing w:line="387" w:lineRule="auto"/>
        <w:ind w:left="-15" w:right="4" w:firstLine="710"/>
      </w:pPr>
      <w:r>
        <w:rPr>
          <w:i/>
        </w:rPr>
        <w:t>Диа</w:t>
      </w:r>
      <w:r>
        <w:rPr>
          <w:i/>
        </w:rPr>
        <w:t>гностика астмы у детей раннего возраста представляет определенные трудности ввиду сложности сбора анамнеза, возможно неправильной интерпретацией звуков, издаваемых ребенком при дыхании (свистящее дыхание/свистящие хрипы должны быть подтверждены специалисто</w:t>
      </w:r>
      <w:r>
        <w:rPr>
          <w:i/>
        </w:rPr>
        <w:t>м), вариабельности бронхообструкции (в межприступный период при аускультации хрипы могут не выслушиваться), невозможностью проведения исследования функции внешнего дыхания (иногда дети даже старше 5 лет не способны адекватно выполнить команды при проведени</w:t>
      </w:r>
      <w:r>
        <w:rPr>
          <w:i/>
        </w:rPr>
        <w:t>и исследования). При опросе родителей детей младше 5 лет для выявления клинических симптомов, позволяющих заподозрить наличие БА, следует уточнять наличие проявлений как на фоне ОРИ, так и между эпизодами респираторных инфекций, а также наследственную отяг</w:t>
      </w:r>
      <w:r>
        <w:rPr>
          <w:i/>
        </w:rPr>
        <w:t xml:space="preserve">ощенность и данные аллергоанамнеза. При сборе анамнеза следует выявить весь спектр проявлений за последние 3-4 месяца, обратив особое внимание на те, которые беспокоили в течение 2-х предшествующих недель </w:t>
      </w:r>
      <w:r>
        <w:t>[30]</w:t>
      </w:r>
      <w:r>
        <w:rPr>
          <w:i/>
        </w:rPr>
        <w:t xml:space="preserve">. </w:t>
      </w:r>
    </w:p>
    <w:p w:rsidR="00F15F71" w:rsidRDefault="00F974CD">
      <w:pPr>
        <w:spacing w:after="30"/>
        <w:ind w:left="0" w:firstLine="708"/>
      </w:pPr>
      <w:r>
        <w:t>Клинические признаки, увеличивающие и уменьш</w:t>
      </w:r>
      <w:r>
        <w:t xml:space="preserve">ающие вероятность наличия БА, см. Приложения Б2, Б3, Б4 и Б5. </w:t>
      </w:r>
    </w:p>
    <w:p w:rsidR="00F15F71" w:rsidRDefault="00F974CD">
      <w:pPr>
        <w:spacing w:after="40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pStyle w:val="Heading4"/>
        <w:spacing w:after="186" w:line="259" w:lineRule="auto"/>
        <w:ind w:left="703"/>
        <w:jc w:val="left"/>
      </w:pPr>
      <w:bookmarkStart w:id="14" w:name="_Toc275171"/>
      <w:r>
        <w:rPr>
          <w:u w:val="single" w:color="000000"/>
        </w:rPr>
        <w:t>2.1 Жалобы и анамнез</w:t>
      </w:r>
      <w:r>
        <w:t xml:space="preserve"> </w:t>
      </w:r>
      <w:bookmarkEnd w:id="14"/>
    </w:p>
    <w:p w:rsidR="00F15F71" w:rsidRDefault="00F974CD">
      <w:pPr>
        <w:spacing w:line="389" w:lineRule="auto"/>
        <w:ind w:left="720" w:right="10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 всем пациентам, как при подозрении на БА, так и при установленном диагнозе проводить сбор анамнеза и жалоб при болезнях верхних и нижних дыхательных путе</w:t>
      </w:r>
      <w:r>
        <w:rPr>
          <w:b/>
        </w:rPr>
        <w:t xml:space="preserve">й с целью подтверждения диагноза, определения степени тяжести и выявления факторов, которые могут повлиять на выбор тактики лечения </w:t>
      </w:r>
      <w:r>
        <w:t>[4]</w:t>
      </w:r>
      <w:r>
        <w:rPr>
          <w:b/>
        </w:rPr>
        <w:t xml:space="preserve">. </w:t>
      </w:r>
    </w:p>
    <w:p w:rsidR="00F15F71" w:rsidRDefault="00F974CD">
      <w:pPr>
        <w:spacing w:after="148" w:line="270" w:lineRule="auto"/>
        <w:ind w:left="-5" w:right="10"/>
      </w:pPr>
      <w:r>
        <w:rPr>
          <w:b/>
        </w:rPr>
        <w:t xml:space="preserve">Уровень убедительности рекомендаций -С (уровень достоверности доказательств - 5) </w:t>
      </w:r>
    </w:p>
    <w:p w:rsidR="00F15F71" w:rsidRDefault="00F974CD">
      <w:pPr>
        <w:spacing w:line="387" w:lineRule="auto"/>
        <w:ind w:left="-15" w:firstLine="710"/>
      </w:pPr>
      <w:r>
        <w:rPr>
          <w:b/>
        </w:rPr>
        <w:t>Комментарии:</w:t>
      </w:r>
      <w:r>
        <w:t xml:space="preserve"> </w:t>
      </w:r>
      <w:r>
        <w:rPr>
          <w:i/>
        </w:rPr>
        <w:t>характерными являются</w:t>
      </w:r>
      <w:r>
        <w:t xml:space="preserve"> </w:t>
      </w:r>
      <w:r>
        <w:rPr>
          <w:i/>
        </w:rPr>
        <w:t>п</w:t>
      </w:r>
      <w:r>
        <w:rPr>
          <w:i/>
        </w:rPr>
        <w:t>риступы затруднения дыхания, удушья</w:t>
      </w:r>
      <w:r>
        <w:t xml:space="preserve">, </w:t>
      </w:r>
      <w:r>
        <w:rPr>
          <w:i/>
        </w:rPr>
        <w:t>свистящее</w:t>
      </w:r>
      <w:r>
        <w:t xml:space="preserve"> </w:t>
      </w:r>
      <w:r>
        <w:rPr>
          <w:i/>
        </w:rPr>
        <w:t>дыхание, одышка, кашель, ощущение заложенности в грудной клетке</w:t>
      </w:r>
      <w:r>
        <w:t xml:space="preserve">. </w:t>
      </w:r>
      <w:r>
        <w:rPr>
          <w:i/>
        </w:rPr>
        <w:t>Наличие всех симптомов не обязательно.</w:t>
      </w:r>
      <w:r>
        <w:t xml:space="preserve"> </w:t>
      </w:r>
      <w:r>
        <w:rPr>
          <w:i/>
        </w:rPr>
        <w:t>Важнейшим фактором диагностики является тщательный сбор анамнеза, который укажет на причины возникновения</w:t>
      </w:r>
      <w:r>
        <w:rPr>
          <w:i/>
        </w:rPr>
        <w:t>, продолжительность и разрешение симптомов, наличие аллергических заболеваний (атопический дерматит, аллергически ринит, пищевая аллергия) у пациента и его кровных родственников, причинно-следственные особенности возникновения признаков болезни и ее обостр</w:t>
      </w:r>
      <w:r>
        <w:rPr>
          <w:i/>
        </w:rPr>
        <w:t>ений</w:t>
      </w:r>
      <w:r>
        <w:t xml:space="preserve"> </w:t>
      </w:r>
      <w:r>
        <w:rPr>
          <w:i/>
        </w:rPr>
        <w:t xml:space="preserve">с учетом основных клинических признаков, повышающих вероятность наличия БА у пациента. </w:t>
      </w:r>
    </w:p>
    <w:p w:rsidR="00F15F71" w:rsidRDefault="00F974CD">
      <w:pPr>
        <w:spacing w:line="387" w:lineRule="auto"/>
        <w:ind w:left="-15" w:right="5" w:firstLine="710"/>
      </w:pPr>
      <w:r>
        <w:rPr>
          <w:i/>
        </w:rPr>
        <w:t>При сборе анамнеза следует обратить внимание на наличие типичного симптомокомплекса: повторяющиеся приступы кашля, свистящее дыхание, затрудненное дыхание или чувс</w:t>
      </w:r>
      <w:r>
        <w:rPr>
          <w:i/>
        </w:rPr>
        <w:t xml:space="preserve">тво стеснения в груди, вызванные различными триггерами (такими как респираторная инфекция, табачный дым, контакт с животными или пыльцой и т.д.; физической нагрузкой, стрессом) и проявляющиеся в основном ночью или ранним утром. Важным клиническим маркером </w:t>
      </w:r>
      <w:r>
        <w:rPr>
          <w:i/>
        </w:rPr>
        <w:t xml:space="preserve">БА является исчезновение симптомов спонтанно или после применения лекарственной терапии. </w:t>
      </w:r>
    </w:p>
    <w:p w:rsidR="00F15F71" w:rsidRDefault="00F974CD">
      <w:pPr>
        <w:spacing w:line="387" w:lineRule="auto"/>
        <w:ind w:left="-15" w:right="3" w:firstLine="566"/>
      </w:pPr>
      <w:r>
        <w:rPr>
          <w:i/>
        </w:rPr>
        <w:t>У детей старше 5 лет наличие свистящего дыхания, одышка, кашель, затруднение дыхания являются ключевыми симптомами БА. Повторные свистящие хрипы, в особенности подтвержденные врачом во время аускультации и отраженные в медицинской документации, являются на</w:t>
      </w:r>
      <w:r>
        <w:rPr>
          <w:i/>
        </w:rPr>
        <w:t xml:space="preserve">иболее значимым маркером </w:t>
      </w:r>
      <w:r>
        <w:t>[31]</w:t>
      </w:r>
      <w:r>
        <w:rPr>
          <w:i/>
        </w:rPr>
        <w:t xml:space="preserve">. Однако, не следует устанавливать диагноз БА, опираясь только лишь на наличие вышеуказанных симптомов у ребенка </w:t>
      </w:r>
      <w:r>
        <w:t xml:space="preserve">[31]. </w:t>
      </w:r>
      <w:r>
        <w:rPr>
          <w:i/>
        </w:rPr>
        <w:t>Наличие симптомов уточняют как на фоне ОРИ, так и вне ее. Предположить диагноз БА у детей младше 5 лет могут</w:t>
      </w:r>
      <w:r>
        <w:rPr>
          <w:i/>
        </w:rPr>
        <w:t xml:space="preserve"> помочь вопросы, суммированные в Приложении Г8. </w:t>
      </w:r>
    </w:p>
    <w:p w:rsidR="00F15F71" w:rsidRDefault="00F974CD">
      <w:pPr>
        <w:spacing w:line="387" w:lineRule="auto"/>
        <w:ind w:left="-15" w:right="7" w:firstLine="710"/>
      </w:pPr>
      <w:r>
        <w:rPr>
          <w:i/>
        </w:rPr>
        <w:t>Для детей младшего возраста с БА, в том числе плохо контролируемой в отсутствии диагноза и терапии, физическая активность является очень важным провоцирующим фактором появления симптомов, при воздействии кот</w:t>
      </w:r>
      <w:r>
        <w:rPr>
          <w:i/>
        </w:rPr>
        <w:t xml:space="preserve">орого ребенок начинает ограничивать себя в повседневной деятельности (движение, игры), становится раздражительным, быстро утомляется.   </w:t>
      </w:r>
    </w:p>
    <w:p w:rsidR="00F15F71" w:rsidRDefault="00F974CD">
      <w:pPr>
        <w:spacing w:line="387" w:lineRule="auto"/>
        <w:ind w:left="-15" w:right="6" w:firstLine="710"/>
      </w:pPr>
      <w:r>
        <w:rPr>
          <w:i/>
        </w:rPr>
        <w:t>Для детей младше 5 лет диагноз БА наиболее вероятен при наличии клинических признаков, указанных в Приложении Б3, а так</w:t>
      </w:r>
      <w:r>
        <w:rPr>
          <w:i/>
        </w:rPr>
        <w:t xml:space="preserve">же если в течение 2-3-х месячного курса низкодозной терапии ИГКС в сочетании с КДБА по требованию наступает клиническое улучшение, а при отмене терапии – ухудшение состояния. При этом должны быть исключены альтернативные заболевания </w:t>
      </w:r>
      <w:r>
        <w:t>[21].</w:t>
      </w:r>
      <w:r>
        <w:rPr>
          <w:i/>
        </w:rPr>
        <w:t xml:space="preserve"> 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pStyle w:val="Heading4"/>
        <w:spacing w:after="188" w:line="259" w:lineRule="auto"/>
        <w:ind w:left="703"/>
        <w:jc w:val="left"/>
      </w:pPr>
      <w:bookmarkStart w:id="15" w:name="_Toc275172"/>
      <w:r>
        <w:rPr>
          <w:u w:val="single" w:color="000000"/>
        </w:rPr>
        <w:t>2.2 Физикал</w:t>
      </w:r>
      <w:r>
        <w:rPr>
          <w:u w:val="single" w:color="000000"/>
        </w:rPr>
        <w:t>ьное обследование</w:t>
      </w:r>
      <w:r>
        <w:t xml:space="preserve"> </w:t>
      </w:r>
      <w:bookmarkEnd w:id="15"/>
    </w:p>
    <w:p w:rsidR="00F15F71" w:rsidRDefault="00F974CD">
      <w:pPr>
        <w:spacing w:line="390" w:lineRule="auto"/>
        <w:ind w:left="720" w:right="10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 всем пациентам, как при подозрении на БА, так и при установленном диагнозе проводить физикальное обследование, включающее оценку общего состояния, визуальное исследование верхних дыхательных путей, визуальный осмотр общет</w:t>
      </w:r>
      <w:r>
        <w:rPr>
          <w:b/>
        </w:rPr>
        <w:t>ерапевтический и аускультацию общетерапевтическую</w:t>
      </w:r>
      <w:r>
        <w:t xml:space="preserve"> </w:t>
      </w:r>
      <w:r>
        <w:rPr>
          <w:b/>
        </w:rPr>
        <w:t xml:space="preserve">с целью определения  клинико-динамических </w:t>
      </w:r>
    </w:p>
    <w:p w:rsidR="00F15F71" w:rsidRDefault="00F974CD">
      <w:pPr>
        <w:spacing w:line="397" w:lineRule="auto"/>
        <w:ind w:left="730" w:right="10"/>
      </w:pPr>
      <w:r>
        <w:rPr>
          <w:b/>
        </w:rPr>
        <w:t xml:space="preserve">особенностей заболевания, выявления признаков сопутствующей патологии и создания ориентиров в определении тяжести состояния </w:t>
      </w:r>
      <w:r>
        <w:t>[4]</w:t>
      </w:r>
      <w:r>
        <w:rPr>
          <w:b/>
        </w:rPr>
        <w:t xml:space="preserve">.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>Уровень убедительности рекомендац</w:t>
      </w:r>
      <w:r>
        <w:rPr>
          <w:b/>
        </w:rPr>
        <w:t xml:space="preserve">ий С (уровень достоверности доказательств - 5) </w:t>
      </w:r>
    </w:p>
    <w:p w:rsidR="00F15F71" w:rsidRDefault="00F974CD">
      <w:pPr>
        <w:spacing w:line="387" w:lineRule="auto"/>
        <w:ind w:left="-15" w:right="5" w:firstLine="710"/>
      </w:pPr>
      <w:r>
        <w:rPr>
          <w:b/>
        </w:rPr>
        <w:t xml:space="preserve">Комментарии: </w:t>
      </w:r>
      <w:r>
        <w:rPr>
          <w:i/>
        </w:rPr>
        <w:t>в случае тяжелого обострения при физикальном осмотре можно выявить признаки дыхательной недостаточности: шумное дыхание с дистантными свистящими хрипами, вынужденное положение (ортопноэ), тахипно</w:t>
      </w:r>
      <w:r>
        <w:rPr>
          <w:i/>
        </w:rPr>
        <w:t>э, диффузный цианоз, в акте дыхания участвуют дополнительные группы мышц. Аускультативно дыхание может быть ослабленным вплоть до «немого легкого» (вследствие генерализованного бронхоспазма и закупорки просвета мелких бронхов вязким секретом), выслушиваютс</w:t>
      </w:r>
      <w:r>
        <w:rPr>
          <w:i/>
        </w:rPr>
        <w:t>я сухие высокотональные (свистящие) хрипы, которые у ряда пациентов могут выслушиваться только при форсированном выдохе. Однако, такие изменения со стороны дыхательной системы могут отсутствовать (в межприступный период, при адекватном контроле над симптом</w:t>
      </w:r>
      <w:r>
        <w:rPr>
          <w:i/>
        </w:rPr>
        <w:t xml:space="preserve">ами астмы). При осмотре также можно выявить характерные признаки аллергического ринита или полипоза носа (затруднение носового дыхания; приоткрытый рот). </w:t>
      </w:r>
    </w:p>
    <w:p w:rsidR="00F15F71" w:rsidRDefault="00F974CD">
      <w:pPr>
        <w:spacing w:line="387" w:lineRule="auto"/>
        <w:ind w:left="-15" w:right="8" w:firstLine="710"/>
      </w:pPr>
      <w:r>
        <w:rPr>
          <w:i/>
        </w:rPr>
        <w:t>Следует помнить, что одышка, выявленная при осмотре, может быть обусловлена не только астмой, но и обструкцией на уровне верхних дыхательных путей, хронической обструктивной болезнью легких (ХОБЛ, преимущественно у взрослых), а у детей - возникать при респ</w:t>
      </w:r>
      <w:r>
        <w:rPr>
          <w:i/>
        </w:rPr>
        <w:t xml:space="preserve">ираторной инфекции, трахеомаляции или при аспирации инородного тела. Крепитация и влажные хрипы не характерны для БА, но не исключены при наличии БА и сопутствующей иной патологии нижних дыхательных путей (острый бронхит, острая пневмония и др.). </w:t>
      </w:r>
    </w:p>
    <w:p w:rsidR="00F15F71" w:rsidRDefault="00F974CD">
      <w:pPr>
        <w:spacing w:after="188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7"/>
        </w:numPr>
        <w:spacing w:line="397" w:lineRule="auto"/>
        <w:ind w:right="10" w:hanging="348"/>
      </w:pPr>
      <w:r>
        <w:rPr>
          <w:b/>
        </w:rPr>
        <w:t>Рекоме</w:t>
      </w:r>
      <w:r>
        <w:rPr>
          <w:b/>
        </w:rPr>
        <w:t xml:space="preserve">ндуется пациентам при тяжелом обострении БА и признаках острой дыхательной недостаточности (SpO2 менее 90%) осмотр врача-анестезиологареаниматолога не позднее 30 минут от момента поступления в стационар. </w:t>
      </w:r>
    </w:p>
    <w:p w:rsidR="00F15F71" w:rsidRDefault="00F974CD">
      <w:pPr>
        <w:spacing w:after="104" w:line="270" w:lineRule="auto"/>
        <w:ind w:left="-5" w:right="10"/>
      </w:pPr>
      <w:r>
        <w:rPr>
          <w:b/>
        </w:rPr>
        <w:t>Уровень убедительности рекомендаций С (уровень дост</w:t>
      </w:r>
      <w:r>
        <w:rPr>
          <w:b/>
        </w:rPr>
        <w:t>оверности доказательств - 5)</w:t>
      </w:r>
      <w:r>
        <w:rPr>
          <w:i/>
        </w:rP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7"/>
        </w:numPr>
        <w:spacing w:line="400" w:lineRule="auto"/>
        <w:ind w:right="10" w:hanging="348"/>
      </w:pPr>
      <w:r>
        <w:rPr>
          <w:b/>
        </w:rPr>
        <w:t>Рекомендуется всем пациентам при первичном обращении исходно, через 2-4 недели после назначения терапии и каждые 3 мес при диспансерном наблюдении оценить уровень контроля над симптомами астмы с помощью специализированных оп</w:t>
      </w:r>
      <w:r>
        <w:rPr>
          <w:b/>
        </w:rPr>
        <w:t xml:space="preserve">росников (Приложение Г1-Г4) с целью определения степени тяжести, а в динамике – с целью оценки эффективности назначенной ранее терапии и целесообразности ее изменения </w:t>
      </w:r>
      <w:r>
        <w:t>[4]</w:t>
      </w:r>
      <w:r>
        <w:rPr>
          <w:b/>
        </w:rPr>
        <w:t xml:space="preserve">.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 xml:space="preserve">Уровень убедительности рекомендаций -С (уровень достоверности доказательств - 5) </w:t>
      </w:r>
    </w:p>
    <w:p w:rsidR="00F15F71" w:rsidRDefault="00F974CD">
      <w:pPr>
        <w:spacing w:line="387" w:lineRule="auto"/>
        <w:ind w:left="-15" w:right="7" w:firstLine="710"/>
      </w:pPr>
      <w:r>
        <w:rPr>
          <w:b/>
        </w:rPr>
        <w:t>К</w:t>
      </w:r>
      <w:r>
        <w:rPr>
          <w:b/>
        </w:rPr>
        <w:t>омментарии:</w:t>
      </w:r>
      <w:r>
        <w:rPr>
          <w:i/>
        </w:rPr>
        <w:t xml:space="preserve"> современные подходы к ведению пациентов с БА требуют обязательной оценки уровня контроля над симптомами, риска развития обострений (в том числе тяжелых), необратимой бронхиальной обструкции и побочных эффектов от лекарственных препаратов, с цел</w:t>
      </w:r>
      <w:r>
        <w:rPr>
          <w:i/>
        </w:rPr>
        <w:t xml:space="preserve">ью определения эффективности терапии и выявления потребности в ее коррекции </w:t>
      </w:r>
      <w:r>
        <w:t>[6,19,21,32,33]</w:t>
      </w:r>
      <w:r>
        <w:rPr>
          <w:i/>
        </w:rPr>
        <w:t xml:space="preserve">. </w:t>
      </w:r>
    </w:p>
    <w:p w:rsidR="00F15F71" w:rsidRDefault="00F974CD">
      <w:pPr>
        <w:spacing w:after="39" w:line="387" w:lineRule="auto"/>
        <w:ind w:left="-15" w:right="4" w:firstLine="710"/>
      </w:pPr>
      <w:r>
        <w:rPr>
          <w:i/>
        </w:rPr>
        <w:t>Использование валидированных опросников (Приложения Г1-Г4) дает возможность врачу установить на приеме уровень контроля над БА у пациентов различных возрастных гр</w:t>
      </w:r>
      <w:r>
        <w:rPr>
          <w:i/>
        </w:rPr>
        <w:t>упп</w:t>
      </w:r>
      <w:r>
        <w:rPr>
          <w:color w:val="212121"/>
        </w:rPr>
        <w:t xml:space="preserve">: </w:t>
      </w:r>
    </w:p>
    <w:p w:rsidR="00F15F71" w:rsidRDefault="00F974CD">
      <w:pPr>
        <w:spacing w:after="6" w:line="393" w:lineRule="auto"/>
        <w:ind w:left="720" w:hanging="360"/>
      </w:pPr>
      <w:r>
        <w:rPr>
          <w:rFonts w:ascii="Segoe UI Symbol" w:eastAsia="Segoe UI Symbol" w:hAnsi="Segoe UI Symbol" w:cs="Segoe UI Symbol"/>
          <w:color w:val="212121"/>
        </w:rPr>
        <w:t>−</w:t>
      </w:r>
      <w:r>
        <w:rPr>
          <w:rFonts w:ascii="Arial" w:eastAsia="Arial" w:hAnsi="Arial" w:cs="Arial"/>
          <w:color w:val="212121"/>
        </w:rPr>
        <w:t xml:space="preserve"> </w:t>
      </w:r>
      <w:r>
        <w:rPr>
          <w:b/>
          <w:color w:val="212121"/>
        </w:rPr>
        <w:t>Тест по контролю над астмой (ACT, Asthma control test</w:t>
      </w:r>
      <w:r>
        <w:rPr>
          <w:color w:val="212121"/>
        </w:rPr>
        <w:t>) - инструмент для оценки контроля БА у взрослых пациентов и подростков старше 12 лет</w:t>
      </w:r>
      <w:r>
        <w:t xml:space="preserve"> </w:t>
      </w:r>
    </w:p>
    <w:p w:rsidR="00F15F71" w:rsidRDefault="00F974CD">
      <w:pPr>
        <w:spacing w:after="165" w:line="259" w:lineRule="auto"/>
        <w:ind w:left="730" w:right="841"/>
      </w:pPr>
      <w:r>
        <w:t>(Приложение Г1) [34];</w:t>
      </w:r>
      <w:r>
        <w:rPr>
          <w:color w:val="212121"/>
        </w:rPr>
        <w:t xml:space="preserve">  </w:t>
      </w:r>
    </w:p>
    <w:p w:rsidR="00F15F71" w:rsidRDefault="00F974CD">
      <w:pPr>
        <w:spacing w:after="29"/>
        <w:ind w:left="720" w:right="5" w:hanging="360"/>
      </w:pPr>
      <w:r>
        <w:rPr>
          <w:rFonts w:ascii="Segoe UI Symbol" w:eastAsia="Segoe UI Symbol" w:hAnsi="Segoe UI Symbol" w:cs="Segoe UI Symbol"/>
          <w:color w:val="212121"/>
        </w:rPr>
        <w:t>−</w:t>
      </w:r>
      <w:r>
        <w:rPr>
          <w:rFonts w:ascii="Arial" w:eastAsia="Arial" w:hAnsi="Arial" w:cs="Arial"/>
          <w:color w:val="212121"/>
        </w:rPr>
        <w:t xml:space="preserve"> </w:t>
      </w:r>
      <w:r>
        <w:rPr>
          <w:b/>
          <w:color w:val="212121"/>
        </w:rPr>
        <w:t>Тест по контролю над астмой у детей (c-ACT, Children asthma control test)</w:t>
      </w:r>
      <w:r>
        <w:rPr>
          <w:color w:val="212121"/>
        </w:rPr>
        <w:t xml:space="preserve"> - </w:t>
      </w:r>
      <w:r>
        <w:rPr>
          <w:color w:val="212121"/>
        </w:rPr>
        <w:t xml:space="preserve">инструмент для оценки контроля БА у детей в возрасте от 4-х до 11 лет </w:t>
      </w:r>
      <w:r>
        <w:t xml:space="preserve">с отдельными разделами вопросов для ребенка и родителей/опекунов (Приложение </w:t>
      </w:r>
    </w:p>
    <w:p w:rsidR="00F15F71" w:rsidRDefault="00F974CD">
      <w:pPr>
        <w:spacing w:after="175" w:line="259" w:lineRule="auto"/>
        <w:ind w:left="730" w:right="841"/>
      </w:pPr>
      <w:r>
        <w:t>Г2) [35];</w:t>
      </w:r>
      <w:r>
        <w:rPr>
          <w:color w:val="212121"/>
        </w:rPr>
        <w:t xml:space="preserve"> </w:t>
      </w:r>
    </w:p>
    <w:p w:rsidR="00F15F71" w:rsidRDefault="00F974CD">
      <w:pPr>
        <w:spacing w:after="6" w:line="393" w:lineRule="auto"/>
        <w:ind w:left="720" w:hanging="360"/>
      </w:pPr>
      <w:r>
        <w:rPr>
          <w:rFonts w:ascii="Segoe UI Symbol" w:eastAsia="Segoe UI Symbol" w:hAnsi="Segoe UI Symbol" w:cs="Segoe UI Symbol"/>
        </w:rPr>
        <w:t>−</w:t>
      </w:r>
      <w:r>
        <w:rPr>
          <w:rFonts w:ascii="Arial" w:eastAsia="Arial" w:hAnsi="Arial" w:cs="Arial"/>
        </w:rPr>
        <w:t xml:space="preserve"> </w:t>
      </w:r>
      <w:r>
        <w:rPr>
          <w:b/>
          <w:color w:val="212121"/>
        </w:rPr>
        <w:t>Опросник по контролю симптомов астмы (ACQ-5, Asthma control questionnaire</w:t>
      </w:r>
      <w:r>
        <w:rPr>
          <w:color w:val="212121"/>
        </w:rPr>
        <w:t>) - инструмент для оце</w:t>
      </w:r>
      <w:r>
        <w:rPr>
          <w:color w:val="212121"/>
        </w:rPr>
        <w:t xml:space="preserve">нки контроля БА у пациентов от 6 лет и старше (Приложение Г3) </w:t>
      </w:r>
      <w:r>
        <w:t>[21,36–38]</w:t>
      </w:r>
      <w:r>
        <w:rPr>
          <w:color w:val="212121"/>
        </w:rPr>
        <w:t>;</w:t>
      </w:r>
      <w:r>
        <w:t xml:space="preserve"> </w:t>
      </w:r>
    </w:p>
    <w:p w:rsidR="00F15F71" w:rsidRDefault="00F974CD">
      <w:pPr>
        <w:spacing w:after="14" w:line="386" w:lineRule="auto"/>
        <w:ind w:left="715" w:right="-7" w:hanging="370"/>
      </w:pPr>
      <w:r>
        <w:rPr>
          <w:rFonts w:ascii="Segoe UI Symbol" w:eastAsia="Segoe UI Symbol" w:hAnsi="Segoe UI Symbol" w:cs="Segoe UI Symbol"/>
        </w:rPr>
        <w:t>−</w:t>
      </w:r>
      <w:r>
        <w:rPr>
          <w:rFonts w:ascii="Arial" w:eastAsia="Arial" w:hAnsi="Arial" w:cs="Arial"/>
        </w:rPr>
        <w:t xml:space="preserve"> </w:t>
      </w:r>
      <w:r>
        <w:rPr>
          <w:b/>
          <w:color w:val="212121"/>
        </w:rPr>
        <w:t xml:space="preserve">Опросник по шкале симптомов БА у детей в возрасте до 5 лет (TRACK, Test for Respiratory and Asthma Control in Kids) – </w:t>
      </w:r>
      <w:r>
        <w:rPr>
          <w:color w:val="212121"/>
        </w:rPr>
        <w:t>инструмент для оценки контроля БА у детей до 5 лет (Приложени</w:t>
      </w:r>
      <w:r>
        <w:rPr>
          <w:color w:val="212121"/>
        </w:rPr>
        <w:t xml:space="preserve">е Г4) </w:t>
      </w:r>
      <w:r>
        <w:t xml:space="preserve">[21,39,40]. </w:t>
      </w:r>
    </w:p>
    <w:p w:rsidR="00F15F71" w:rsidRDefault="00F974CD">
      <w:pPr>
        <w:spacing w:line="387" w:lineRule="auto"/>
        <w:ind w:left="-15" w:right="7" w:firstLine="710"/>
      </w:pPr>
      <w:r>
        <w:rPr>
          <w:b/>
        </w:rPr>
        <w:t xml:space="preserve">Комментарии: </w:t>
      </w:r>
      <w:r>
        <w:rPr>
          <w:i/>
        </w:rPr>
        <w:t>У пациентов, получающих в соответствии со ступенчатой терапией комбинацию низкой дозы будесонид+формотерол** по потребности, при оценке уровня контроля следует учитывать частоту применения лекарственного препарата и принимат</w:t>
      </w:r>
      <w:r>
        <w:rPr>
          <w:i/>
        </w:rPr>
        <w:t xml:space="preserve">ь ее во внимание при рассмотрении вопроса о необходимости коррекции дозы ИГКС </w:t>
      </w:r>
      <w:r>
        <w:t xml:space="preserve">[21], </w:t>
      </w:r>
      <w:r>
        <w:rPr>
          <w:i/>
        </w:rPr>
        <w:t xml:space="preserve">даже если риск обострения БА значительно ниже, чем при использовании КДБА для снятия симптомов </w:t>
      </w:r>
      <w:r>
        <w:t>[41,42].</w:t>
      </w:r>
      <w:r>
        <w:rPr>
          <w:i/>
        </w:rPr>
        <w:t xml:space="preserve"> </w:t>
      </w:r>
    </w:p>
    <w:p w:rsidR="00F15F71" w:rsidRDefault="00F974CD">
      <w:pPr>
        <w:spacing w:after="256" w:line="387" w:lineRule="auto"/>
        <w:ind w:left="-15" w:right="4" w:firstLine="710"/>
      </w:pPr>
      <w:r>
        <w:rPr>
          <w:i/>
        </w:rPr>
        <w:t>При выявлении недостаточного/отсутствия контроля над симптомами аст</w:t>
      </w:r>
      <w:r>
        <w:rPr>
          <w:i/>
        </w:rPr>
        <w:t>мы необходимо проверить приверженность пациента к терапии (соблюдает ли он режим и дозы ранее назначенного лечения), правильность техники использования ингалятора, наличие факторов риска (например, продолжающееся воздействие причинно-значимого аллергена, т</w:t>
      </w:r>
      <w:r>
        <w:rPr>
          <w:i/>
        </w:rPr>
        <w:t xml:space="preserve">абачного дыма, применение бета-адреноблокаторов и других препаратов, которые могут оказывать влияние на контроль БА). </w:t>
      </w:r>
    </w:p>
    <w:p w:rsidR="00F15F71" w:rsidRDefault="00F974CD">
      <w:pPr>
        <w:pStyle w:val="Heading4"/>
        <w:spacing w:after="60" w:line="259" w:lineRule="auto"/>
        <w:ind w:left="703"/>
        <w:jc w:val="left"/>
      </w:pPr>
      <w:bookmarkStart w:id="16" w:name="_Toc275173"/>
      <w:r>
        <w:rPr>
          <w:u w:val="single" w:color="000000"/>
        </w:rPr>
        <w:t>2.3 Лабораторные диагностические исследования</w:t>
      </w:r>
      <w:r>
        <w:t xml:space="preserve"> </w:t>
      </w:r>
      <w:bookmarkEnd w:id="16"/>
    </w:p>
    <w:p w:rsidR="00F15F71" w:rsidRDefault="00F974CD">
      <w:pPr>
        <w:spacing w:after="213" w:line="259" w:lineRule="auto"/>
        <w:ind w:left="708" w:firstLine="0"/>
        <w:jc w:val="left"/>
      </w:pPr>
      <w:r>
        <w:rPr>
          <w:b/>
          <w:color w:val="FF0000"/>
          <w:sz w:val="18"/>
        </w:rPr>
        <w:t xml:space="preserve"> </w:t>
      </w:r>
    </w:p>
    <w:p w:rsidR="00F15F71" w:rsidRDefault="00F974CD">
      <w:pPr>
        <w:spacing w:line="391" w:lineRule="auto"/>
        <w:ind w:left="720" w:right="10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 проведение исследования общего (клинического) анализа крови развернутого</w:t>
      </w:r>
      <w:r>
        <w:rPr>
          <w:b/>
        </w:rPr>
        <w:t xml:space="preserve"> пациентам при установке диагноза БА, в период тяжелого обострения БА, перед проведением аллерген-специфической иммунотерапии, перед назначением генно-инженерной иммунобиологической терапии и в продолжении проведения таргетной терапии  с целью выявления во</w:t>
      </w:r>
      <w:r>
        <w:rPr>
          <w:b/>
        </w:rPr>
        <w:t xml:space="preserve">зможного повышения уровня эозинофилов или выявления маркеров инфекционного воспаления с целью дифференциальной диагностики с другой патологией или выявления осложнений для определения тактики терапии, или с целью исключения противопоказаний для проведения </w:t>
      </w:r>
      <w:r>
        <w:rPr>
          <w:b/>
        </w:rPr>
        <w:t xml:space="preserve">аллерген-специфической иммунотерапии, или для выбора препарата таргетной терапии и контроля безопасности проводимого лечения </w:t>
      </w:r>
      <w:r>
        <w:t>[21,43–48]</w:t>
      </w:r>
      <w:r>
        <w:rPr>
          <w:b/>
        </w:rPr>
        <w:t xml:space="preserve">.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 xml:space="preserve">Уровень убедительности рекомендаций -С (уровень достоверности доказательств - 5) </w:t>
      </w:r>
    </w:p>
    <w:p w:rsidR="00F15F71" w:rsidRDefault="00F974CD">
      <w:pPr>
        <w:spacing w:line="387" w:lineRule="auto"/>
        <w:ind w:left="-15" w:right="3" w:firstLine="710"/>
      </w:pPr>
      <w:r>
        <w:rPr>
          <w:b/>
        </w:rPr>
        <w:t xml:space="preserve">Комментарии: </w:t>
      </w:r>
      <w:r>
        <w:rPr>
          <w:i/>
        </w:rPr>
        <w:t>Повышение уровня эозинофилов возможно в период обострения БА. Вместе с тем эозинофилия периферической крови может иметь другие причины (паразитарные инвазии, грибковая инфекция и др.), а уровень эозинофилов до 450 кл/мкл является вариантом нормы. Нормальны</w:t>
      </w:r>
      <w:r>
        <w:rPr>
          <w:i/>
        </w:rPr>
        <w:t>й уровень эозинофилов периферической крови не является доказательством отсутствия БА. Необходимо также учитывать, что на данный параметр влияет прием некоторых медикаментов (прием антигистаминных средств системного действия,</w:t>
      </w:r>
      <w:r>
        <w:t xml:space="preserve"> </w:t>
      </w:r>
      <w:r>
        <w:rPr>
          <w:i/>
        </w:rPr>
        <w:t>антагонистов лейкотриеновых рец</w:t>
      </w:r>
      <w:r>
        <w:rPr>
          <w:i/>
        </w:rPr>
        <w:t>епторов и глюкокортикоидов (системного действия), терапия анти-ИЛ5 и анти-ИЛ5R моноклональными антителами может приводить к снижению уровня эозинофилии периферической крови). Повышение уровня маркеров бактериального воспаления (лейкоцитоз, сдвиг лейкоцитар</w:t>
      </w:r>
      <w:r>
        <w:rPr>
          <w:i/>
        </w:rPr>
        <w:t>ной формулы влево) является поводом для поиска очага инфекционного воспаления (инфекции верхних дыхательных путей, бронхит, пневмония и др.). Низкий уровень гемоглобина может свидетельствовать о железодефицитной анемии, одним из симптомов которой, также ка</w:t>
      </w:r>
      <w:r>
        <w:rPr>
          <w:i/>
        </w:rPr>
        <w:t xml:space="preserve">к и для БА, является одышка. </w:t>
      </w:r>
    </w:p>
    <w:p w:rsidR="00F15F71" w:rsidRDefault="00F974CD">
      <w:pPr>
        <w:spacing w:line="387" w:lineRule="auto"/>
        <w:ind w:left="-15" w:right="7" w:firstLine="0"/>
      </w:pPr>
      <w:r>
        <w:rPr>
          <w:i/>
        </w:rPr>
        <w:t xml:space="preserve">Повышение уровня гемоглобина может наблюдаться при ХДН, носит компенсаторный характер на фоне хронической гипоксемии, ассоциировано с вторичным эритроцитозом и гипервязкостью, которые могут нарушать микроциркуляцию и ухудшать </w:t>
      </w:r>
      <w:r>
        <w:rPr>
          <w:i/>
        </w:rPr>
        <w:t xml:space="preserve">течение заболевания. </w:t>
      </w:r>
    </w:p>
    <w:p w:rsidR="00F15F71" w:rsidRDefault="00F974CD">
      <w:pPr>
        <w:spacing w:after="115" w:line="259" w:lineRule="auto"/>
        <w:ind w:left="708" w:right="840" w:firstLine="0"/>
      </w:pPr>
      <w:r>
        <w:rPr>
          <w:i/>
        </w:rPr>
        <w:t xml:space="preserve">Частота исследования в динамике определяется индивидуально. </w:t>
      </w:r>
    </w:p>
    <w:p w:rsidR="00F15F71" w:rsidRDefault="00F974CD">
      <w:pPr>
        <w:spacing w:line="387" w:lineRule="auto"/>
        <w:ind w:left="-15" w:right="3" w:firstLine="710"/>
      </w:pPr>
      <w:r>
        <w:rPr>
          <w:i/>
        </w:rPr>
        <w:t xml:space="preserve">Эозинофилы периферической крови в настоящее время используют также в качестве биомаркера </w:t>
      </w:r>
      <w:r>
        <w:rPr>
          <w:i/>
        </w:rPr>
        <w:t>при определении фенотипа БА (косвенный показатель эозинофильного воспаления дыхательных путей), индикатора ответа на терапию ИГКС, СГКС и ГИБП.</w:t>
      </w:r>
      <w:r>
        <w:t xml:space="preserve"> </w:t>
      </w:r>
      <w:r>
        <w:rPr>
          <w:i/>
        </w:rPr>
        <w:t>Характерными биомаркерами эозинофильного эндотипа тяжелой бронхиальной астмы (ТБА) на сегодняшний день принято с</w:t>
      </w:r>
      <w:r>
        <w:rPr>
          <w:i/>
        </w:rPr>
        <w:t xml:space="preserve">читать: количество эозинофилов в периферической крови ≥ 150 кл/мкл и/или количество эозинофилов в мокроте ≥ 3%, и/или уровень оксида азота выдыхаемого воздуха (FeNO) ≥ 20 ppb </w:t>
      </w:r>
      <w:r>
        <w:t>[49].</w:t>
      </w:r>
      <w:r>
        <w:rPr>
          <w:i/>
        </w:rPr>
        <w:t xml:space="preserve"> При этом необходимо учитывать, что применение системных ГКС и анти-ИЛ5 и, о</w:t>
      </w:r>
      <w:r>
        <w:rPr>
          <w:i/>
        </w:rPr>
        <w:t>собенно, анти-ИЛ5R приводит к резкому и продолжительному снижению количества эозинофилов. В данном случае подтверждение эозинофильного типа воспаления проводится ретроспективно, при наличии анамнестических данных до применения этих классов препаратов. В св</w:t>
      </w:r>
      <w:r>
        <w:rPr>
          <w:i/>
        </w:rPr>
        <w:t>ою очередь, крайне высокий уровень эозинофилии (более 1500 кл/мкл) требует исключения иных причин (наличия эозинофильного гранулематоза с полиангиитом (ЭГПА), гиперэозинофильного синдрома, и др. вариантов онкопатологии, аллергического бронхолегочного аспер</w:t>
      </w:r>
      <w:r>
        <w:rPr>
          <w:i/>
        </w:rPr>
        <w:t xml:space="preserve">гилеза (АБЛА) и др.). </w:t>
      </w:r>
    </w:p>
    <w:p w:rsidR="00F15F71" w:rsidRDefault="00F974CD">
      <w:pPr>
        <w:spacing w:line="387" w:lineRule="auto"/>
        <w:ind w:left="-15" w:right="4" w:firstLine="710"/>
      </w:pPr>
      <w:r>
        <w:rPr>
          <w:i/>
        </w:rPr>
        <w:t>В свою очередь, применение анти-ИЛ4Р моноклональных антител (дупилумаб**) может приводить к росту количества эозинофилов периферической крови, в большинстве случаев клинически незначимому. Однако, с учетом хоть и очень редких, но опи</w:t>
      </w:r>
      <w:r>
        <w:rPr>
          <w:i/>
        </w:rPr>
        <w:t xml:space="preserve">санных случаев стремительного роста количества эозинофилов до крайне высоких значений (выше 5000 кл/мкл), в процессе терапии дупилумабом** необходимо регулярно мониторировать уровень эозинофилов периферической крови с оценкой клинических исходов.  </w:t>
      </w:r>
    </w:p>
    <w:p w:rsidR="00F15F71" w:rsidRDefault="00F974CD">
      <w:pPr>
        <w:spacing w:line="387" w:lineRule="auto"/>
        <w:ind w:left="-15" w:right="5" w:firstLine="710"/>
      </w:pPr>
      <w:r>
        <w:rPr>
          <w:i/>
        </w:rPr>
        <w:t>Необход</w:t>
      </w:r>
      <w:r>
        <w:rPr>
          <w:i/>
        </w:rPr>
        <w:t xml:space="preserve">имо учитывать возрастные особенности, так, если у взрослых пациентов с БА периферическая эозинофилия и эозинофилия дыхательных путей коррелируют между собой, то у детей, в особенности дошкольного возраста, согласно проведенному исследованию </w:t>
      </w:r>
      <w:r>
        <w:t>[48]</w:t>
      </w:r>
      <w:r>
        <w:rPr>
          <w:i/>
        </w:rPr>
        <w:t xml:space="preserve"> при абсолю</w:t>
      </w:r>
      <w:r>
        <w:rPr>
          <w:i/>
        </w:rPr>
        <w:t xml:space="preserve">тном значении эозинофилов менее 100 кл/мл может отмечаться выраженное воспаление дыхательных путей, в то же время эозинофилия может диагностироваться у некоторых здоровых детей </w:t>
      </w:r>
      <w:r>
        <w:t>[47].</w:t>
      </w:r>
      <w:r>
        <w:rPr>
          <w:i/>
        </w:rPr>
        <w:t xml:space="preserve"> Также, для детской популяции в числе причин эозинофилии периферической кр</w:t>
      </w:r>
      <w:r>
        <w:rPr>
          <w:i/>
        </w:rPr>
        <w:t>ови чаще, чем у взрослых, выявляются различные паразитарные инфекции (аскаридоз, анизакидоз, токсокароз, стронгиллоидоз и др. (с учетом эндемичности региона проживания и пищевых привычек), для диагностики которых возможно выполнение молекулярно-биологическ</w:t>
      </w:r>
      <w:r>
        <w:rPr>
          <w:i/>
        </w:rPr>
        <w:t xml:space="preserve">ого исследования фекалий на соответствующего возбудителя, определение ДНК соответствующего возбудителя в фекалиях методом ПЦР, а также выявление антител классов IgE, IgM, IgG к данным возбудителям. </w:t>
      </w:r>
    </w:p>
    <w:p w:rsidR="00F15F71" w:rsidRDefault="00F974CD">
      <w:pPr>
        <w:spacing w:after="187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numPr>
          <w:ilvl w:val="0"/>
          <w:numId w:val="8"/>
        </w:numPr>
        <w:spacing w:after="75" w:line="259" w:lineRule="auto"/>
        <w:ind w:right="10" w:hanging="360"/>
      </w:pPr>
      <w:r>
        <w:rPr>
          <w:b/>
        </w:rPr>
        <w:t xml:space="preserve">Рекомендуется </w:t>
      </w:r>
      <w:r>
        <w:rPr>
          <w:b/>
        </w:rPr>
        <w:tab/>
        <w:t xml:space="preserve">проведение </w:t>
      </w:r>
      <w:r>
        <w:rPr>
          <w:b/>
        </w:rPr>
        <w:tab/>
        <w:t xml:space="preserve">цитологического </w:t>
      </w:r>
      <w:r>
        <w:rPr>
          <w:b/>
        </w:rPr>
        <w:tab/>
        <w:t>исследовани</w:t>
      </w:r>
      <w:r>
        <w:rPr>
          <w:b/>
        </w:rPr>
        <w:t xml:space="preserve">я </w:t>
      </w:r>
      <w:r>
        <w:rPr>
          <w:b/>
        </w:rPr>
        <w:tab/>
        <w:t xml:space="preserve">мокроты </w:t>
      </w:r>
    </w:p>
    <w:p w:rsidR="00F15F71" w:rsidRDefault="00F974CD">
      <w:pPr>
        <w:spacing w:line="382" w:lineRule="auto"/>
        <w:ind w:left="730" w:right="10"/>
      </w:pPr>
      <w:r>
        <w:rPr>
          <w:b/>
        </w:rPr>
        <w:t>пациентам с гиперпродукцией мокроты или в период тяжелого обострения БА и перед назначением генно-инженерной иммунобиологической терапии с целью выявления эозинофилии мокроты, или выявления маркеров инфекционного воспаления, или обнаружения миц</w:t>
      </w:r>
      <w:r>
        <w:rPr>
          <w:b/>
        </w:rPr>
        <w:t xml:space="preserve">елия грибов с целью определения фенотипа БА, дифференциальной диагностики с другой патологией нижних дыхательных путей </w:t>
      </w:r>
      <w:r>
        <w:t xml:space="preserve">[50–54]. 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 xml:space="preserve">Уровень убедительности рекомендаций -С (уровень достоверности доказательств - 3) </w:t>
      </w:r>
    </w:p>
    <w:p w:rsidR="00F15F71" w:rsidRDefault="00F974CD">
      <w:pPr>
        <w:spacing w:line="387" w:lineRule="auto"/>
        <w:ind w:left="-15" w:right="5" w:firstLine="710"/>
      </w:pPr>
      <w:r>
        <w:rPr>
          <w:b/>
        </w:rPr>
        <w:t xml:space="preserve">Комментарии: </w:t>
      </w:r>
      <w:r>
        <w:rPr>
          <w:i/>
        </w:rPr>
        <w:t xml:space="preserve">эозинофилия мокроты ≥3% </w:t>
      </w:r>
      <w:r>
        <w:rPr>
          <w:i/>
        </w:rPr>
        <w:t xml:space="preserve">является одним из биомаркеров эозинофильного воспаления (см. комментарий выше), характерного наряду с другими признаками для эозинофильного фенотипа БА </w:t>
      </w:r>
      <w:r>
        <w:t>[50–54]</w:t>
      </w:r>
      <w:r>
        <w:rPr>
          <w:i/>
        </w:rPr>
        <w:t xml:space="preserve">. Вместе с тем эозинофилия мокроты может иметь другие причины (ЭГПА, АБЛА, микозы). У пациентов, </w:t>
      </w:r>
      <w:r>
        <w:rPr>
          <w:i/>
        </w:rPr>
        <w:t>получающих ИГКС в качестве базисной терапии, сохраняющаяся высокая эозинофилия мокроты (50-70% и более) свидетельствует о недостаточном эффекте ИГКС (возможно в результате неправильного использования устройства для ингаляции или низкого комплаенса), а такж</w:t>
      </w:r>
      <w:r>
        <w:rPr>
          <w:i/>
        </w:rPr>
        <w:t xml:space="preserve">е является неблагоприятным фактором, увеличивающим риск последующих обострений </w:t>
      </w:r>
      <w:r>
        <w:t>[55]</w:t>
      </w:r>
      <w:r>
        <w:rPr>
          <w:i/>
        </w:rPr>
        <w:t xml:space="preserve">.  </w:t>
      </w:r>
    </w:p>
    <w:p w:rsidR="00F15F71" w:rsidRDefault="00F974CD">
      <w:pPr>
        <w:spacing w:after="187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8"/>
        </w:numPr>
        <w:spacing w:line="396" w:lineRule="auto"/>
        <w:ind w:right="10" w:hanging="360"/>
      </w:pPr>
      <w:r>
        <w:rPr>
          <w:b/>
        </w:rPr>
        <w:t>Рекомендуется</w:t>
      </w:r>
      <w:r>
        <w:t xml:space="preserve"> </w:t>
      </w:r>
      <w:r>
        <w:rPr>
          <w:b/>
        </w:rPr>
        <w:t xml:space="preserve">исследование уровня общего иммуноглобулина Е в крови пациентам при установке диагноза БА, перед назначением генно-инженерной иммунобиологической терапии </w:t>
      </w:r>
      <w:r>
        <w:rPr>
          <w:b/>
        </w:rPr>
        <w:t xml:space="preserve">с целью определения фенотипа заболевания, а также для определения показаний (в случае необходимости) к терапии омализумабом**, определения его терапевтической дозы и выбора режима терапии </w:t>
      </w:r>
      <w:r>
        <w:t xml:space="preserve">[56,57].  </w:t>
      </w:r>
    </w:p>
    <w:p w:rsidR="00F15F71" w:rsidRDefault="00F974CD">
      <w:pPr>
        <w:spacing w:after="103" w:line="270" w:lineRule="auto"/>
        <w:ind w:left="-5" w:right="10"/>
      </w:pPr>
      <w:r>
        <w:rPr>
          <w:b/>
        </w:rPr>
        <w:t>Уровень убедительности рекомендаций -С (уровень достоверн</w:t>
      </w:r>
      <w:r>
        <w:rPr>
          <w:b/>
        </w:rPr>
        <w:t xml:space="preserve">ости доказательств - 5) </w:t>
      </w:r>
    </w:p>
    <w:p w:rsidR="00F15F71" w:rsidRDefault="00F974CD">
      <w:pPr>
        <w:spacing w:line="387" w:lineRule="auto"/>
        <w:ind w:left="-15" w:firstLine="710"/>
      </w:pPr>
      <w:r>
        <w:rPr>
          <w:b/>
        </w:rPr>
        <w:t xml:space="preserve">Комментарии: </w:t>
      </w:r>
      <w:r>
        <w:rPr>
          <w:i/>
        </w:rPr>
        <w:t>Нормальный или повышенный уровень общего IgE в сыворотке крови не является доказательством отсутствия или наличия аллергического заболевания, в том числе аллергического (атопического) фенотипа БА. Нормальный уровень об</w:t>
      </w:r>
      <w:r>
        <w:rPr>
          <w:i/>
        </w:rPr>
        <w:t>щего IgE может сочетаться с повышенным уровнем специфических IgE к причинно-значимым аллергенам, в то же время повышенный уровень общего IgE может наблюдаться в отсутствии сенсибилизации и атопии (иными причинами повышенного уровня общего IgE могут быть па</w:t>
      </w:r>
      <w:r>
        <w:rPr>
          <w:i/>
        </w:rPr>
        <w:t xml:space="preserve">разитарная инвазия, грибковая инфекция, онкопатология, гипер-IgE синдром и др.). </w:t>
      </w:r>
      <w:r>
        <w:rPr>
          <w:b/>
        </w:rPr>
        <w:t xml:space="preserve"> </w:t>
      </w:r>
    </w:p>
    <w:p w:rsidR="00F15F71" w:rsidRDefault="00F974CD">
      <w:pPr>
        <w:spacing w:line="387" w:lineRule="auto"/>
        <w:ind w:left="-15" w:right="4" w:firstLine="710"/>
      </w:pPr>
      <w:r>
        <w:rPr>
          <w:i/>
        </w:rPr>
        <w:t>Эффект омализумаба** реализуется при максимальном связывании свободного IgE. Расчет дозы омализумаба и определение режима терапии осуществляют индивидуально, при наличии пок</w:t>
      </w:r>
      <w:r>
        <w:rPr>
          <w:i/>
        </w:rPr>
        <w:t xml:space="preserve">азаний, в зависимости от массы тела и исходного (до первого введения омализумаба**) уровня общего IgE </w:t>
      </w:r>
      <w:r>
        <w:t xml:space="preserve">[56,57]. </w:t>
      </w:r>
    </w:p>
    <w:p w:rsidR="00F15F71" w:rsidRDefault="00F974CD">
      <w:pPr>
        <w:spacing w:after="188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numPr>
          <w:ilvl w:val="0"/>
          <w:numId w:val="8"/>
        </w:numPr>
        <w:spacing w:line="378" w:lineRule="auto"/>
        <w:ind w:right="10" w:hanging="360"/>
      </w:pPr>
      <w:r>
        <w:rPr>
          <w:b/>
        </w:rPr>
        <w:t>Рекомендуется исследование уровня антител к антигенам растительного, животного и химического происхождения (определение уровня аллергенспецифи</w:t>
      </w:r>
      <w:r>
        <w:rPr>
          <w:b/>
        </w:rPr>
        <w:t>ческих IgE антител) пациентам при первичной диагностике БА, в процессе динамического наблюдения и при наличии противопоказаний или иных причин, препятствующих проведению кожного тестирования, сомнительных результатах кожного тестирования, расхождении данны</w:t>
      </w:r>
      <w:r>
        <w:rPr>
          <w:b/>
        </w:rPr>
        <w:t xml:space="preserve">х, полученных при сборе анамнеза, с результатами кожного тестирования с целью подтверждения аллергического фенотипа БА, выявления причиннозначимых аллергенов с целью выработки рекомендаций по образу жизни, питанию и определения целесообразности проведения </w:t>
      </w:r>
      <w:r>
        <w:rPr>
          <w:b/>
        </w:rPr>
        <w:t xml:space="preserve">аллергенспецифической иммунотерапии </w:t>
      </w:r>
      <w:r>
        <w:t>[47,58–61]</w:t>
      </w:r>
      <w:r>
        <w:rPr>
          <w:b/>
        </w:rPr>
        <w:t xml:space="preserve">. </w:t>
      </w:r>
    </w:p>
    <w:p w:rsidR="00F15F71" w:rsidRDefault="00F974CD">
      <w:pPr>
        <w:spacing w:after="150" w:line="270" w:lineRule="auto"/>
        <w:ind w:left="-5" w:right="10"/>
      </w:pPr>
      <w:r>
        <w:rPr>
          <w:b/>
        </w:rPr>
        <w:t xml:space="preserve">Уровень убедительности рекомендаций -А (уровень достоверности доказательств – 2) </w:t>
      </w:r>
    </w:p>
    <w:p w:rsidR="00F15F71" w:rsidRDefault="00F974CD">
      <w:pPr>
        <w:spacing w:line="387" w:lineRule="auto"/>
        <w:ind w:left="-15" w:right="5" w:firstLine="710"/>
      </w:pPr>
      <w:r>
        <w:rPr>
          <w:b/>
        </w:rPr>
        <w:t xml:space="preserve">Комментарии: </w:t>
      </w:r>
      <w:r>
        <w:rPr>
          <w:i/>
        </w:rPr>
        <w:t>Определение уровня аллерген-</w:t>
      </w:r>
      <w:r>
        <w:rPr>
          <w:i/>
        </w:rPr>
        <w:t>специфических IgЕ антител в сыворотке особенно важно при неубедительных результатах кожных проб либо при невозможности их постановки (например, в период обострения аллергического заболевания или наличии иных противопоказаний), отсутствии необходимых диагно</w:t>
      </w:r>
      <w:r>
        <w:rPr>
          <w:i/>
        </w:rPr>
        <w:t xml:space="preserve">стических аллергенов. Отчет по тесту выглядит как количественный результат и считается позитивным при значении ≥ 0.70 kU/l. </w:t>
      </w:r>
    </w:p>
    <w:p w:rsidR="00F15F71" w:rsidRDefault="00F974CD">
      <w:pPr>
        <w:spacing w:line="387" w:lineRule="auto"/>
        <w:ind w:left="-15" w:firstLine="710"/>
      </w:pPr>
      <w:r>
        <w:rPr>
          <w:i/>
        </w:rPr>
        <w:t xml:space="preserve">При динамическом наблюдении в течение года возможно повторное проведение исследования при подозрении на появление новой клинически </w:t>
      </w:r>
      <w:r>
        <w:rPr>
          <w:i/>
        </w:rPr>
        <w:t xml:space="preserve">значимой сенсибилизации. </w:t>
      </w:r>
    </w:p>
    <w:p w:rsidR="00F15F71" w:rsidRDefault="00F974CD">
      <w:pPr>
        <w:spacing w:line="387" w:lineRule="auto"/>
        <w:ind w:left="-15" w:right="8" w:firstLine="710"/>
      </w:pPr>
      <w:r>
        <w:rPr>
          <w:b/>
          <w:i/>
        </w:rPr>
        <w:t>Интерпретация</w:t>
      </w:r>
      <w:r>
        <w:rPr>
          <w:i/>
        </w:rPr>
        <w:t xml:space="preserve"> полученных результатов аллергообследования проводится в сопоставлении с данными анамнеза и клинической картиной, так как сенсибилизация может быть клинически значимой или латентной. </w:t>
      </w:r>
    </w:p>
    <w:p w:rsidR="00F15F71" w:rsidRDefault="00F974CD">
      <w:pPr>
        <w:spacing w:line="387" w:lineRule="auto"/>
        <w:ind w:left="-15" w:firstLine="710"/>
      </w:pPr>
      <w:r>
        <w:rPr>
          <w:i/>
        </w:rPr>
        <w:t>Наличие сенсибилизации к аллерген</w:t>
      </w:r>
      <w:r>
        <w:rPr>
          <w:i/>
        </w:rPr>
        <w:t xml:space="preserve">ам у ребенка с эпизодами бронхиальной обструкции является надежным прогностическими признаком развития БА в дальнейшем </w:t>
      </w:r>
    </w:p>
    <w:p w:rsidR="00F15F71" w:rsidRDefault="00F974CD">
      <w:pPr>
        <w:spacing w:after="115" w:line="259" w:lineRule="auto"/>
        <w:ind w:left="10" w:right="841"/>
      </w:pPr>
      <w:r>
        <w:t>[62]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13" w:firstLine="710"/>
      </w:pPr>
      <w:r>
        <w:rPr>
          <w:i/>
        </w:rPr>
        <w:t>Сенсибилизация к аэроаллергенам наблюдается у большинства детей c БА в возрасте старше 3-х лет. Однако нормальные показатели спец</w:t>
      </w:r>
      <w:r>
        <w:rPr>
          <w:i/>
        </w:rPr>
        <w:t xml:space="preserve">ифических IgE к распространенным аэроаллергенам не исключают диагноза БА </w:t>
      </w:r>
      <w:r>
        <w:t>[47].</w:t>
      </w:r>
      <w:r>
        <w:rPr>
          <w:i/>
        </w:rPr>
        <w:t xml:space="preserve"> </w:t>
      </w:r>
    </w:p>
    <w:p w:rsidR="00F15F71" w:rsidRDefault="00F974CD">
      <w:pPr>
        <w:spacing w:after="188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9"/>
        </w:numPr>
        <w:spacing w:line="401" w:lineRule="auto"/>
        <w:ind w:right="7" w:hanging="360"/>
      </w:pPr>
      <w:r>
        <w:rPr>
          <w:b/>
        </w:rPr>
        <w:t>Рекомендуется исследование кислотно-основного состояния и газов крови (парциального напряжения кислорода – PaO2; парциального напряжения углекислого газа – PaCO2; pH и уровен</w:t>
      </w:r>
      <w:r>
        <w:rPr>
          <w:b/>
        </w:rPr>
        <w:t xml:space="preserve">ь бикарбонатов (HCO3-) в </w:t>
      </w:r>
    </w:p>
    <w:p w:rsidR="00F15F71" w:rsidRDefault="00F974CD">
      <w:pPr>
        <w:spacing w:line="384" w:lineRule="auto"/>
        <w:ind w:left="730" w:right="10"/>
      </w:pPr>
      <w:r>
        <w:rPr>
          <w:b/>
        </w:rPr>
        <w:t>артериальной крови в период тяжелого обострения БА, сопровождающегося развитием тяжелой дыхательной недостаточности для оценки рисков исходов, объективного понимания целесообразности оксигенотерапии или искусственной вентиляции ле</w:t>
      </w:r>
      <w:r>
        <w:rPr>
          <w:b/>
        </w:rPr>
        <w:t xml:space="preserve">гких </w:t>
      </w:r>
      <w:r>
        <w:t>[24,63]</w:t>
      </w:r>
      <w:r>
        <w:rPr>
          <w:b/>
        </w:rPr>
        <w:t xml:space="preserve">. </w:t>
      </w:r>
    </w:p>
    <w:p w:rsidR="00F15F71" w:rsidRDefault="00F974CD">
      <w:pPr>
        <w:spacing w:after="152" w:line="270" w:lineRule="auto"/>
        <w:ind w:left="-5" w:right="10"/>
      </w:pPr>
      <w:r>
        <w:rPr>
          <w:b/>
        </w:rPr>
        <w:t xml:space="preserve">Уровень убедительности рекомендаций -С (уровень достоверности доказательств – 5) </w:t>
      </w:r>
    </w:p>
    <w:p w:rsidR="00F15F71" w:rsidRDefault="00F974CD">
      <w:pPr>
        <w:spacing w:line="387" w:lineRule="auto"/>
        <w:ind w:left="-15" w:firstLine="710"/>
      </w:pPr>
      <w:r>
        <w:rPr>
          <w:b/>
        </w:rPr>
        <w:t xml:space="preserve">Комментарии: </w:t>
      </w:r>
      <w:r>
        <w:rPr>
          <w:i/>
        </w:rPr>
        <w:t xml:space="preserve">требуется динамическое исследование данных показателей для контроля состояния и оценки эффективности проводимой терапии. </w:t>
      </w:r>
    </w:p>
    <w:p w:rsidR="00F15F71" w:rsidRDefault="00F974CD">
      <w:pPr>
        <w:spacing w:after="179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9"/>
        </w:numPr>
        <w:spacing w:after="119" w:line="259" w:lineRule="auto"/>
        <w:ind w:right="7" w:hanging="360"/>
      </w:pPr>
      <w:r>
        <w:rPr>
          <w:b/>
        </w:rPr>
        <w:t>Рекомендуется</w:t>
      </w:r>
      <w:r>
        <w:t xml:space="preserve"> </w:t>
      </w:r>
      <w:r>
        <w:rPr>
          <w:b/>
        </w:rPr>
        <w:t xml:space="preserve">исследование уровня иммуноглобулинов A, M, G в крови </w:t>
      </w:r>
    </w:p>
    <w:p w:rsidR="00F15F71" w:rsidRDefault="00F974CD">
      <w:pPr>
        <w:tabs>
          <w:tab w:val="center" w:pos="1311"/>
          <w:tab w:val="center" w:pos="2238"/>
          <w:tab w:val="center" w:pos="2767"/>
          <w:tab w:val="center" w:pos="3539"/>
          <w:tab w:val="center" w:pos="4822"/>
          <w:tab w:val="center" w:pos="6501"/>
          <w:tab w:val="right" w:pos="9362"/>
        </w:tabs>
        <w:spacing w:after="110" w:line="270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пациентам </w:t>
      </w:r>
      <w:r>
        <w:rPr>
          <w:b/>
        </w:rPr>
        <w:tab/>
        <w:t xml:space="preserve">с </w:t>
      </w:r>
      <w:r>
        <w:rPr>
          <w:b/>
        </w:rPr>
        <w:tab/>
        <w:t xml:space="preserve">БА, </w:t>
      </w:r>
      <w:r>
        <w:rPr>
          <w:b/>
        </w:rPr>
        <w:tab/>
        <w:t xml:space="preserve">часто </w:t>
      </w:r>
      <w:r>
        <w:rPr>
          <w:b/>
        </w:rPr>
        <w:tab/>
        <w:t xml:space="preserve">страдающим </w:t>
      </w:r>
      <w:r>
        <w:rPr>
          <w:b/>
        </w:rPr>
        <w:tab/>
        <w:t xml:space="preserve">повторными </w:t>
      </w:r>
      <w:r>
        <w:rPr>
          <w:b/>
        </w:rPr>
        <w:tab/>
        <w:t xml:space="preserve">бактериальными </w:t>
      </w:r>
    </w:p>
    <w:p w:rsidR="00F15F71" w:rsidRDefault="00F974CD">
      <w:pPr>
        <w:spacing w:line="397" w:lineRule="auto"/>
        <w:ind w:left="730" w:right="10"/>
      </w:pPr>
      <w:r>
        <w:rPr>
          <w:b/>
        </w:rPr>
        <w:t>инфекциями верхних и нижних дыхательных путей (гнойные риносинуситы, отиты, бронхиты, пневмонии) для выявления нарушений со стороны гум</w:t>
      </w:r>
      <w:r>
        <w:rPr>
          <w:b/>
        </w:rPr>
        <w:t xml:space="preserve">орального звена иммунитета </w:t>
      </w:r>
      <w:r>
        <w:t>[64–66]</w:t>
      </w:r>
      <w:r>
        <w:rPr>
          <w:b/>
        </w:rPr>
        <w:t>.</w:t>
      </w:r>
      <w:r>
        <w:t xml:space="preserve">  </w:t>
      </w:r>
    </w:p>
    <w:p w:rsidR="00F15F71" w:rsidRDefault="00F974CD">
      <w:pPr>
        <w:spacing w:after="103" w:line="270" w:lineRule="auto"/>
        <w:ind w:left="-5" w:right="10"/>
      </w:pPr>
      <w:r>
        <w:rPr>
          <w:b/>
        </w:rPr>
        <w:t xml:space="preserve">Уровень убедительности рекомендаций -С (уровень достоверности доказательств - 5) </w:t>
      </w:r>
    </w:p>
    <w:p w:rsidR="00F15F71" w:rsidRDefault="00F974CD">
      <w:pPr>
        <w:spacing w:line="387" w:lineRule="auto"/>
        <w:ind w:left="-15" w:right="4" w:firstLine="710"/>
      </w:pPr>
      <w:r>
        <w:rPr>
          <w:b/>
        </w:rPr>
        <w:t xml:space="preserve">Комментарии: </w:t>
      </w:r>
      <w:r>
        <w:rPr>
          <w:i/>
        </w:rPr>
        <w:t>Иммунодефициты (как первичные, что наиболее характерно для детской популяции, так и вторичные) с преимущественным нарушение</w:t>
      </w:r>
      <w:r>
        <w:rPr>
          <w:i/>
        </w:rPr>
        <w:t>м синтеза антител проявляются рецидивирующими инфекциями органов дыхания с повышенной чувствительностью к инкапсулированным бактериям, торпидностью к стандартным схемам антибиотикотерапии, в конечном итоге приводящим к структурным изменениям легочной ткани</w:t>
      </w:r>
      <w:r>
        <w:rPr>
          <w:i/>
        </w:rPr>
        <w:t xml:space="preserve"> (бронхоэктазы, пневмосклероз, пневмофиброз). Раннее выявление нарушений синтеза антител при соответствующей клинической картине и других диагностических критериях может свидетельствовать о наличии первичного или вторичного иммунодефицита с преимущественно</w:t>
      </w:r>
      <w:r>
        <w:rPr>
          <w:i/>
        </w:rPr>
        <w:t xml:space="preserve">й недостаточностью синтеза антител, оценить целесообразность проведения заместительной терапии препаратами иммуноглобулина человека нормального с целью снижения рисков повторных инфекций и нежелательных исходов </w:t>
      </w:r>
      <w:r>
        <w:t>[64–66].</w:t>
      </w:r>
      <w:r>
        <w:rPr>
          <w:i/>
        </w:rPr>
        <w:t xml:space="preserve"> Кратность исследования определяется </w:t>
      </w:r>
      <w:r>
        <w:rPr>
          <w:i/>
        </w:rPr>
        <w:t xml:space="preserve">индивидуально. </w:t>
      </w:r>
    </w:p>
    <w:p w:rsidR="00F15F71" w:rsidRDefault="00F974CD">
      <w:pPr>
        <w:spacing w:after="187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50" w:line="357" w:lineRule="auto"/>
        <w:ind w:left="720" w:right="10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</w:t>
      </w:r>
      <w:r>
        <w:t xml:space="preserve"> </w:t>
      </w:r>
      <w:r>
        <w:rPr>
          <w:b/>
        </w:rPr>
        <w:t xml:space="preserve">исследование уровня глюкозы в крови пациентам с тяжелым обострением БА, особенно у пациентов с сопутствующим сахарным диабетом, </w:t>
      </w:r>
    </w:p>
    <w:p w:rsidR="00F15F71" w:rsidRDefault="00F974CD">
      <w:pPr>
        <w:tabs>
          <w:tab w:val="center" w:pos="1023"/>
          <w:tab w:val="center" w:pos="2629"/>
          <w:tab w:val="center" w:pos="4932"/>
          <w:tab w:val="center" w:pos="7146"/>
          <w:tab w:val="right" w:pos="9362"/>
        </w:tabs>
        <w:spacing w:after="161" w:line="270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перед </w:t>
      </w:r>
      <w:r>
        <w:rPr>
          <w:b/>
        </w:rPr>
        <w:tab/>
        <w:t xml:space="preserve">назначением </w:t>
      </w:r>
      <w:r>
        <w:rPr>
          <w:b/>
        </w:rPr>
        <w:tab/>
        <w:t xml:space="preserve">кортикостероидов </w:t>
      </w:r>
      <w:r>
        <w:rPr>
          <w:b/>
        </w:rPr>
        <w:tab/>
        <w:t xml:space="preserve">системного </w:t>
      </w:r>
      <w:r>
        <w:rPr>
          <w:b/>
        </w:rPr>
        <w:tab/>
        <w:t xml:space="preserve">действия </w:t>
      </w:r>
    </w:p>
    <w:p w:rsidR="00F15F71" w:rsidRDefault="00F974CD">
      <w:pPr>
        <w:spacing w:line="378" w:lineRule="auto"/>
        <w:ind w:left="730" w:right="10"/>
      </w:pPr>
      <w:r>
        <w:rPr>
          <w:b/>
        </w:rPr>
        <w:t xml:space="preserve">(глюкокортикоидов) </w:t>
      </w:r>
      <w:r>
        <w:rPr>
          <w:b/>
        </w:rPr>
        <w:t>и в дальнейшем в ходе лечения для оценки исходного уровня и мониторинга с целью снижения риска нежелательных явлений от проводимой терапии.</w:t>
      </w:r>
      <w:r>
        <w:t xml:space="preserve">  </w:t>
      </w:r>
    </w:p>
    <w:p w:rsidR="00F15F71" w:rsidRDefault="00F974CD">
      <w:pPr>
        <w:spacing w:after="152" w:line="270" w:lineRule="auto"/>
        <w:ind w:left="-5" w:right="10"/>
      </w:pPr>
      <w:r>
        <w:rPr>
          <w:b/>
        </w:rPr>
        <w:t>Уровень убедительности рекомендаций -С (уровень достоверности доказательств - 5)</w:t>
      </w:r>
      <w:r>
        <w:t xml:space="preserve"> </w:t>
      </w:r>
    </w:p>
    <w:p w:rsidR="00F15F71" w:rsidRDefault="00F974CD">
      <w:pPr>
        <w:spacing w:line="387" w:lineRule="auto"/>
        <w:ind w:left="-15" w:right="6" w:firstLine="710"/>
      </w:pPr>
      <w:r>
        <w:rPr>
          <w:b/>
        </w:rPr>
        <w:t xml:space="preserve">Комментарии: </w:t>
      </w:r>
      <w:r>
        <w:rPr>
          <w:i/>
        </w:rPr>
        <w:t>Кортикостероиды сис</w:t>
      </w:r>
      <w:r>
        <w:rPr>
          <w:i/>
        </w:rPr>
        <w:t>темного действия (глюкокортикоиды) имеют широкий перечень побочных реакций, в том числе повышение уровня глюкозы. Пациентам с сопутствующим сахарным диабетом и факторами риска его развития (нарушение толерантности к углеводам) очень важно контролировать ур</w:t>
      </w:r>
      <w:r>
        <w:rPr>
          <w:i/>
        </w:rPr>
        <w:t xml:space="preserve">овень глюкозы крови во время лечения глюкокортикоидами </w:t>
      </w:r>
      <w:r>
        <w:t>[67,68]</w:t>
      </w:r>
      <w:r>
        <w:rPr>
          <w:i/>
        </w:rPr>
        <w:t>. Возможно, это потребует дополнительного назначения сахароснижающих препаратов или увеличения дозировок ранее назначенных. Кратность выполнения определяется индивидуально.</w:t>
      </w:r>
      <w:r>
        <w:t xml:space="preserve"> </w:t>
      </w:r>
    </w:p>
    <w:p w:rsidR="00F15F71" w:rsidRDefault="00F974CD">
      <w:pPr>
        <w:spacing w:after="160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35"/>
        <w:ind w:left="0" w:right="4" w:firstLine="708"/>
      </w:pPr>
      <w:r>
        <w:t>В различных клинич</w:t>
      </w:r>
      <w:r>
        <w:t>еских ситуациях с целью проведения дифференциальной диагностики БА с другой патологией, или в случае неконтролируемого течения тяжелой БА (при сохранении высокого комплаенса) для выявления сопутствующих заболеваний, утяжеляющих течение основного, рекоменду</w:t>
      </w:r>
      <w:r>
        <w:t xml:space="preserve">ется рассмотреть возможность выполнения дополнительных исследований (по показаниям, с учетом жалоб и клинической картины): исследование уровня свободного трийодтиронина (Т3), свободного тироксина (Т4), тиреотропного гормона (ТТГ), кортизола, С-реактивного </w:t>
      </w:r>
      <w:r>
        <w:t>белка, антинейтрофильных цитоплазматических антител, определения концентрации Д-димера в крови, микробиологическое (культуральное) исследование мокроты на аэробные и факультативно-анаэробные микроорганизмы, мицельные и дрожжевые грибы. Перечень исследовани</w:t>
      </w:r>
      <w:r>
        <w:t xml:space="preserve">й может быть дополнен в зависимости от клинической ситуации.  </w:t>
      </w:r>
    </w:p>
    <w:p w:rsidR="00F15F71" w:rsidRDefault="00F974CD">
      <w:pPr>
        <w:spacing w:after="392" w:line="270" w:lineRule="auto"/>
        <w:ind w:left="-5" w:right="10"/>
      </w:pPr>
      <w:r>
        <w:rPr>
          <w:b/>
        </w:rPr>
        <w:t xml:space="preserve">Уровень убедительности рекомендаций -С (уровень достоверности доказательств - 5) </w:t>
      </w:r>
    </w:p>
    <w:p w:rsidR="00F15F71" w:rsidRDefault="00F974CD">
      <w:pPr>
        <w:pStyle w:val="Heading4"/>
        <w:spacing w:after="115" w:line="259" w:lineRule="auto"/>
        <w:ind w:left="703"/>
        <w:jc w:val="left"/>
      </w:pPr>
      <w:bookmarkStart w:id="17" w:name="_Toc275174"/>
      <w:r>
        <w:rPr>
          <w:u w:val="single" w:color="000000"/>
        </w:rPr>
        <w:t>2.4 Инструментальные диагностические исследования</w:t>
      </w:r>
      <w:r>
        <w:t xml:space="preserve"> </w:t>
      </w:r>
      <w:bookmarkEnd w:id="17"/>
    </w:p>
    <w:p w:rsidR="00F15F71" w:rsidRDefault="00F974CD">
      <w:pPr>
        <w:spacing w:after="186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line="400" w:lineRule="auto"/>
        <w:ind w:left="720" w:right="10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 проведение спирометрии (исследование неспровоцированных дыхательных объемов и потоков) всем пациентам старше 5 лет при установке диагноза БА, при первичном обращении, через 2-4 недели после назначения терапии и каждые 6-12 мес при диспансерно</w:t>
      </w:r>
      <w:r>
        <w:rPr>
          <w:b/>
        </w:rPr>
        <w:t>м наблюдении перед назначением генно-инженерной иммунобиологической терапии и в продолжении проведения таргетной терапии - для оценки степени выраженности бронхиальной обструкции, в динамике – с целью оценки эффективности назначенной ранее терапии и целесо</w:t>
      </w:r>
      <w:r>
        <w:rPr>
          <w:b/>
        </w:rPr>
        <w:t>образности ее изменения; а также перед проведением аллерген-специфической иммунотерапии с целью</w:t>
      </w:r>
      <w:r>
        <w:t xml:space="preserve"> </w:t>
      </w:r>
      <w:r>
        <w:rPr>
          <w:b/>
        </w:rPr>
        <w:t xml:space="preserve">исключения противопоказаний для проведения аллерген-специфической иммунотерапии </w:t>
      </w:r>
    </w:p>
    <w:p w:rsidR="00F15F71" w:rsidRDefault="00F974CD">
      <w:pPr>
        <w:spacing w:after="163" w:line="259" w:lineRule="auto"/>
        <w:ind w:left="730" w:right="841"/>
      </w:pPr>
      <w:r>
        <w:t>[21,69–79]</w:t>
      </w:r>
      <w:r>
        <w:rPr>
          <w:b/>
        </w:rPr>
        <w:t xml:space="preserve">.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>Уровень убедительности рекомендаций -С (уровень достоверности дока</w:t>
      </w:r>
      <w:r>
        <w:rPr>
          <w:b/>
        </w:rPr>
        <w:t xml:space="preserve">зательств - 3) </w:t>
      </w:r>
    </w:p>
    <w:p w:rsidR="00F15F71" w:rsidRDefault="00F974CD">
      <w:pPr>
        <w:spacing w:line="387" w:lineRule="auto"/>
        <w:ind w:left="-15" w:right="3" w:firstLine="710"/>
      </w:pPr>
      <w:r>
        <w:rPr>
          <w:b/>
        </w:rPr>
        <w:t>Комментарии:</w:t>
      </w:r>
      <w:r>
        <w:rPr>
          <w:i/>
        </w:rPr>
        <w:t xml:space="preserve"> Основные показатели спирометрии, оцениваемые в клинической практике при диагностике БА: объем форсированного выдоха за 1 секунду (ОФВ1), жизненная емкость легких (ЖЕЛ) и форсированная жизненная емкость легких (ФЖЕЛ), соотношени</w:t>
      </w:r>
      <w:r>
        <w:rPr>
          <w:i/>
        </w:rPr>
        <w:t xml:space="preserve">е ОФВ1/ФЖЕЛ (индекс Генслара) или ОФВ1/ЖЕЛ (индекс Тиффно), являющиеся диагностическими при бронхиальной обструкции </w:t>
      </w:r>
      <w:r>
        <w:t>[21,69–79]</w:t>
      </w:r>
      <w:r>
        <w:rPr>
          <w:i/>
        </w:rPr>
        <w:t>.</w:t>
      </w:r>
      <w:r>
        <w:t xml:space="preserve"> </w:t>
      </w:r>
      <w:r>
        <w:rPr>
          <w:i/>
        </w:rPr>
        <w:t>Сужение дыхательных путей приводит к падению скорости воздушного потока из-за возросшего бронхиального сопротивления, что функци</w:t>
      </w:r>
      <w:r>
        <w:rPr>
          <w:i/>
        </w:rPr>
        <w:t>онально проявляется уменьшением скоростных параметров форсированного выдоха. Из всех показателей наиболее важным является ОФВ1, поскольку его измерение стандартизовано наилучшим образом, и он в меньшей степени, нежели другие характеристики форсированного в</w:t>
      </w:r>
      <w:r>
        <w:rPr>
          <w:i/>
        </w:rPr>
        <w:t xml:space="preserve">ыдоха, зависит от приложенного усилия. </w:t>
      </w:r>
    </w:p>
    <w:p w:rsidR="00F15F71" w:rsidRDefault="00F974CD">
      <w:pPr>
        <w:spacing w:line="387" w:lineRule="auto"/>
        <w:ind w:left="-15" w:right="3" w:firstLine="710"/>
      </w:pPr>
      <w:r>
        <w:rPr>
          <w:i/>
        </w:rPr>
        <w:t>Так, физиологическим определением обструкции воздушного потока является уменьшение отношения объема форсированного выдоха за 1 секунду (ОФВ1) к форсированной жизненной емкости легких (ФЖЕЛ), что приводит к снижению о</w:t>
      </w:r>
      <w:r>
        <w:rPr>
          <w:i/>
        </w:rPr>
        <w:t>тношений ОФВ1/ЖЕЛ (ОФВ1/ФЖЕЛ) менее 70%.  По уроню отклонения ОФВ1 от должных величин оценивают степени тяжести обструктивных нарушений. В качестве фиксированного значения для нижней границы нормальных значений ФЖЕЛ и ОФВ1 практика использования 80 % от до</w:t>
      </w:r>
      <w:r>
        <w:rPr>
          <w:i/>
        </w:rPr>
        <w:t xml:space="preserve">лжных величин (д.в.) приемлема у детей </w:t>
      </w:r>
      <w:r>
        <w:t>[79]</w:t>
      </w:r>
      <w:r>
        <w:rPr>
          <w:i/>
        </w:rPr>
        <w:t>. Однако в таком случае возможны существенные ошибки при интерпретации функции легких у взрослых, поскольку ОФВ1 также зависит от величины ЖЕЛ. При этом снижение ОФВ1 более 80% от д.в. с одновременным снижением ИТ</w:t>
      </w:r>
      <w:r>
        <w:rPr>
          <w:i/>
        </w:rPr>
        <w:t xml:space="preserve"> (менее 70%) с большей долей вероятности будет свидетельствовать об обструктивных нарушениях </w:t>
      </w:r>
      <w:r>
        <w:t>[72–74,76]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firstLine="710"/>
      </w:pPr>
      <w:r>
        <w:rPr>
          <w:i/>
        </w:rPr>
        <w:t xml:space="preserve">Поскольку у пациентов с хроническими обструктивными заболеваниями легких ФЖЕЛ может быть существенно меньше ЖЕЛ, для диагностики обструктивных </w:t>
      </w:r>
      <w:r>
        <w:rPr>
          <w:i/>
        </w:rPr>
        <w:t>нарушений предпочтительнее использовать отношение ОФВ1/ЖЕЛ, измеренной при спокойном дыхании. У взрослого дорового человека это соотношение составляет 75–85 %. У детей ОФВ1/ФЖЕЛ в норме около 90% (за счет высокой скорости воздушных потоков). В связи с труд</w:t>
      </w:r>
      <w:r>
        <w:rPr>
          <w:i/>
        </w:rPr>
        <w:t xml:space="preserve">ностями воспроизведения форсированного выдоха, показатель ОФВ1/ФЖЕЛ не является столь надежным критерием бронхиальной обструкции у детей в сравнении со взрослыми </w:t>
      </w:r>
      <w:r>
        <w:t>[80]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7" w:firstLine="710"/>
      </w:pPr>
      <w:r>
        <w:rPr>
          <w:i/>
        </w:rPr>
        <w:t>Дети младше 5 лет, как правило, не способны выполнять воспроизводимые маневры с форсиро</w:t>
      </w:r>
      <w:r>
        <w:rPr>
          <w:i/>
        </w:rPr>
        <w:t>ванным выдохом, поэтому функциональное исследование легких (в том числе проведение бронходилятационного теста) для данной возрастной группы пациентов не имеет большого диагностического значения.</w:t>
      </w:r>
      <w:r>
        <w:t xml:space="preserve">  </w:t>
      </w:r>
    </w:p>
    <w:p w:rsidR="00F15F71" w:rsidRDefault="00F974CD">
      <w:pPr>
        <w:spacing w:line="387" w:lineRule="auto"/>
        <w:ind w:left="-15" w:right="4" w:firstLine="710"/>
      </w:pPr>
      <w:r>
        <w:rPr>
          <w:i/>
        </w:rPr>
        <w:t>К интерпретации результатов функционального исследования до</w:t>
      </w:r>
      <w:r>
        <w:rPr>
          <w:i/>
        </w:rPr>
        <w:t>лжны применяться принципы клинического принятия решения, где вероятность болезни после проведения исследования оценивается с учетом вероятности болезни до исследования, его качества, вероятности ложноположительной и ложноотрицательной интерпретации, и, нак</w:t>
      </w:r>
      <w:r>
        <w:rPr>
          <w:i/>
        </w:rPr>
        <w:t>онец, непосредственно результатов исследования и должных значений. Так, у пациента с БА в межприступный период, после применения бронхолитических средств, либо в результате достижения контроля БА за счет адекватно подобранной терапии показатели ФВД могут б</w:t>
      </w:r>
      <w:r>
        <w:rPr>
          <w:i/>
        </w:rPr>
        <w:t xml:space="preserve">ыть в пределах нормы. Таким образом, нормальные показатели спирометрии не исключают диагноз БА. </w:t>
      </w:r>
    </w:p>
    <w:p w:rsidR="00F15F71" w:rsidRDefault="00F974CD">
      <w:pPr>
        <w:spacing w:line="387" w:lineRule="auto"/>
        <w:ind w:left="-15" w:right="3" w:firstLine="710"/>
      </w:pPr>
      <w:r>
        <w:rPr>
          <w:i/>
        </w:rPr>
        <w:t>Повторные исследования функции легких наиболее информативны, чем единичное исследование.</w:t>
      </w:r>
      <w:r>
        <w:t xml:space="preserve"> </w:t>
      </w:r>
      <w:r>
        <w:rPr>
          <w:i/>
        </w:rPr>
        <w:t>Показатели легочной функции при БА у одного и того же пациента могут в</w:t>
      </w:r>
      <w:r>
        <w:rPr>
          <w:i/>
        </w:rPr>
        <w:t xml:space="preserve">арьировать - от нормальных до выраженных обструктивных. Чем хуже контролируется БА, тем больше выражена вариабельность легочной функции </w:t>
      </w:r>
      <w:r>
        <w:t>[81]</w:t>
      </w:r>
      <w:r>
        <w:rPr>
          <w:i/>
        </w:rPr>
        <w:t>.</w:t>
      </w:r>
      <w:r>
        <w:t xml:space="preserve"> </w:t>
      </w:r>
      <w:r>
        <w:rPr>
          <w:i/>
        </w:rPr>
        <w:t>Обратимость бронхиальной обструкции можно зафиксировать при устойчивом улучшении показателей легочной функции на ф</w:t>
      </w:r>
      <w:r>
        <w:rPr>
          <w:i/>
        </w:rPr>
        <w:t xml:space="preserve">оне нескольких дней/недель терапии ИГКС или другими противовоспалительнымии препаратами </w:t>
      </w:r>
      <w:r>
        <w:t>[76]</w:t>
      </w:r>
      <w:r>
        <w:rPr>
          <w:i/>
        </w:rPr>
        <w:t xml:space="preserve">.  </w:t>
      </w:r>
    </w:p>
    <w:p w:rsidR="00F15F71" w:rsidRDefault="00F974CD">
      <w:pPr>
        <w:spacing w:line="387" w:lineRule="auto"/>
        <w:ind w:left="-15" w:firstLine="710"/>
      </w:pPr>
      <w:r>
        <w:rPr>
          <w:i/>
        </w:rPr>
        <w:t xml:space="preserve">Критерии подтверждения обструкции и ее вариабельности при диагностике бронхиальной астмы см. Приложение Б2.   </w:t>
      </w:r>
    </w:p>
    <w:p w:rsidR="00F15F71" w:rsidRDefault="00F974CD">
      <w:pPr>
        <w:spacing w:line="387" w:lineRule="auto"/>
        <w:ind w:left="-15" w:right="5" w:firstLine="710"/>
      </w:pPr>
      <w:r>
        <w:rPr>
          <w:i/>
        </w:rPr>
        <w:t>Одним из противопоказаний для проведения АСИТ явл</w:t>
      </w:r>
      <w:r>
        <w:rPr>
          <w:i/>
        </w:rPr>
        <w:t>яется снижение ОФВ1 менее 70% от д.в.</w:t>
      </w:r>
      <w:r>
        <w:rPr>
          <w:b/>
        </w:rPr>
        <w:t xml:space="preserve">, </w:t>
      </w:r>
      <w:r>
        <w:rPr>
          <w:i/>
        </w:rPr>
        <w:t>следовательно, спирометрия в обязательном порядке должна выполняться перед проведением АСИТ и в процессе лечения (при клиническом ухудшении для мониторинга состояния)</w:t>
      </w:r>
      <w:r>
        <w:rPr>
          <w:b/>
        </w:rPr>
        <w:t xml:space="preserve"> </w:t>
      </w:r>
      <w:r>
        <w:t>[82]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line="388" w:lineRule="auto"/>
        <w:ind w:left="720" w:right="10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 xml:space="preserve">Рекомендуется проведение </w:t>
      </w:r>
      <w:r>
        <w:rPr>
          <w:b/>
        </w:rPr>
        <w:t>бронходилятационного теста - спирометрии с фармакологической пробой (исследование дыхательных объемов с применением лекарственных средств) всем пациентам старше 5 лет при установке (подтверждении) диагноза БА, включая пациентов с нормальными показателями и</w:t>
      </w:r>
      <w:r>
        <w:rPr>
          <w:b/>
        </w:rPr>
        <w:t xml:space="preserve">сходной спирометрии - для установления обратимости бронхиальной обструкции; при дальнейшем наблюдении пациентов с установленным диагнозом БА - для определения потенциального эффекта бронхолитической терапии и мониторирования динамики легочной функции </w:t>
      </w:r>
    </w:p>
    <w:p w:rsidR="00F15F71" w:rsidRDefault="00F974CD">
      <w:pPr>
        <w:spacing w:after="161" w:line="259" w:lineRule="auto"/>
        <w:ind w:left="730" w:right="841"/>
      </w:pPr>
      <w:r>
        <w:t>[21,</w:t>
      </w:r>
      <w:r>
        <w:t>47,72,73,75–79,83,84].</w:t>
      </w:r>
      <w:r>
        <w:rPr>
          <w:b/>
        </w:rPr>
        <w:t xml:space="preserve"> </w:t>
      </w:r>
    </w:p>
    <w:p w:rsidR="00F15F71" w:rsidRDefault="00F974CD">
      <w:pPr>
        <w:spacing w:after="151" w:line="270" w:lineRule="auto"/>
        <w:ind w:left="-5" w:right="10"/>
      </w:pPr>
      <w:r>
        <w:rPr>
          <w:b/>
        </w:rPr>
        <w:t xml:space="preserve">Уровень убедительности рекомендаций А (уровень достоверности доказательств - 2). </w:t>
      </w:r>
    </w:p>
    <w:p w:rsidR="00F15F71" w:rsidRDefault="00F974CD">
      <w:pPr>
        <w:spacing w:line="387" w:lineRule="auto"/>
        <w:ind w:left="-15" w:firstLine="710"/>
      </w:pPr>
      <w:r>
        <w:rPr>
          <w:b/>
        </w:rPr>
        <w:t xml:space="preserve">Комментарии: </w:t>
      </w:r>
      <w:r>
        <w:rPr>
          <w:i/>
        </w:rPr>
        <w:t xml:space="preserve">Бронходилятационный тест считается положительным в случае прироста ОФВ1 не менее 12% и не менее 200 мл от исходного значения.  </w:t>
      </w:r>
    </w:p>
    <w:p w:rsidR="00F15F71" w:rsidRDefault="00F974CD">
      <w:pPr>
        <w:spacing w:line="387" w:lineRule="auto"/>
        <w:ind w:left="-15" w:right="3" w:firstLine="710"/>
      </w:pPr>
      <w:r>
        <w:rPr>
          <w:i/>
        </w:rPr>
        <w:t>Для дости</w:t>
      </w:r>
      <w:r>
        <w:rPr>
          <w:i/>
        </w:rPr>
        <w:t xml:space="preserve">жения максимально возможной БД рекомендуется использование КДБА, например, сальбутамола** в виде ДАИ для взрослых в максимальной разовой дозе 400 мкг (4 ингаляции по 100 мкг с интервалом 30 с, для детей доза может быть уменьшена до 200 мкг), с соблюдением </w:t>
      </w:r>
      <w:r>
        <w:rPr>
          <w:i/>
        </w:rPr>
        <w:t xml:space="preserve">всех правил ингаляционной техники ДАИ, предпочтительнее </w:t>
      </w:r>
    </w:p>
    <w:p w:rsidR="00F15F71" w:rsidRDefault="00F974CD">
      <w:pPr>
        <w:spacing w:line="387" w:lineRule="auto"/>
        <w:ind w:left="-15" w:right="3" w:firstLine="0"/>
      </w:pPr>
      <w:r>
        <w:rPr>
          <w:i/>
        </w:rPr>
        <w:t>(обязательно для детей) с помощью спейсера. Повторная спирометрия проводится через 15 мин. При использовании в качестве бронходилятатора антихолинепргического средства - ипратропия бромид** - максима</w:t>
      </w:r>
      <w:r>
        <w:rPr>
          <w:i/>
        </w:rPr>
        <w:t>льная разовая доза для взрослых составляет 80 мкг (4 дозы по 20 мкг), или комбинации ипратропия бромид+формотерол**. Повторная спирометрия в данном случае выполняется через 30 мин. При использовании небулайзеров необходимо помнить, что для разных типов неб</w:t>
      </w:r>
      <w:r>
        <w:rPr>
          <w:i/>
        </w:rPr>
        <w:t>улайзеров могут потребоваться разные дозы бронходилататоров и время доставки. Для струйных небулайзеров 5 мг сальбутамола** в ингаляционном растворе номинально эквивалентны ингаляции 400 мкг с помощью ДАИ, а 1 мг ипратропия бромида в ингаляционном растворе</w:t>
      </w:r>
      <w:r>
        <w:rPr>
          <w:i/>
        </w:rPr>
        <w:t xml:space="preserve"> номинально эквивалентен ингаляции 80 мкг с помощью ДАИ </w:t>
      </w:r>
      <w:r>
        <w:t>[21,47,72,73,75– 79,83,84].</w:t>
      </w: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5" w:firstLine="710"/>
      </w:pPr>
      <w:r>
        <w:rPr>
          <w:i/>
        </w:rPr>
        <w:t>У пациентов с исходными нормальными показателями ОФВ1 (более 80% от д.в.) прирост по абсолютным значениям на 200 мл и более, но не достигающим 12% в относительном измерени</w:t>
      </w:r>
      <w:r>
        <w:rPr>
          <w:i/>
        </w:rPr>
        <w:t>и (но хотя бы более 10%) при соответствии анамнезу и клинической картине может быть расценен как положительный (прирост после применения бронходилятатора в пределах естественной вариабельности ОФВ1 и ФЖЕЛ - 150 мл и 8% - не может расцениваться как положите</w:t>
      </w:r>
      <w:r>
        <w:rPr>
          <w:i/>
        </w:rPr>
        <w:t xml:space="preserve">льный тест; чем выше разница с исходными показателями, тем более достоверным считается наличие вариабельной обструкции, характерной для астмы).  </w:t>
      </w:r>
    </w:p>
    <w:p w:rsidR="00F15F71" w:rsidRDefault="00F974CD">
      <w:pPr>
        <w:spacing w:line="387" w:lineRule="auto"/>
        <w:ind w:left="-15" w:right="3" w:firstLine="710"/>
      </w:pPr>
      <w:r>
        <w:rPr>
          <w:i/>
        </w:rPr>
        <w:t xml:space="preserve">Отрицательный бронходилятационный тест не исключает диагноз БА, может наблюдаться как при тяжелом обострении, </w:t>
      </w:r>
      <w:r>
        <w:rPr>
          <w:i/>
        </w:rPr>
        <w:t xml:space="preserve">так и у пациентов с длительной стойкой ремиссией (при исходных максимальных показателях ОФВ1 ≥100% от д.в.), либо в результате длительного лечения ИГКС </w:t>
      </w:r>
      <w:r>
        <w:t>[79,81]</w:t>
      </w:r>
      <w:r>
        <w:rPr>
          <w:i/>
        </w:rPr>
        <w:t xml:space="preserve">.  </w:t>
      </w:r>
    </w:p>
    <w:p w:rsidR="00F15F71" w:rsidRDefault="00F974CD">
      <w:pPr>
        <w:spacing w:line="387" w:lineRule="auto"/>
        <w:ind w:left="-15" w:firstLine="710"/>
      </w:pPr>
      <w:r>
        <w:rPr>
          <w:i/>
        </w:rPr>
        <w:t>Возможные критерии вариабельности обструкции при диагностике бронхиальной астмы см. Приложени</w:t>
      </w:r>
      <w:r>
        <w:rPr>
          <w:i/>
        </w:rPr>
        <w:t xml:space="preserve">ие Б2. </w:t>
      </w:r>
    </w:p>
    <w:p w:rsidR="00F15F71" w:rsidRDefault="00F974CD">
      <w:pPr>
        <w:spacing w:after="188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10"/>
        </w:numPr>
        <w:spacing w:line="398" w:lineRule="auto"/>
        <w:ind w:right="10" w:hanging="348"/>
      </w:pPr>
      <w:r>
        <w:rPr>
          <w:b/>
        </w:rPr>
        <w:t>Рекомендуется рассмотреть возможность проведения бронхоконстрикторного теста с физической нагрузкой (исследование дыхательных объемов при провокации физической нагрузкой) пациентам старше 12 лет с подозрением на БА при нормальных исходных показат</w:t>
      </w:r>
      <w:r>
        <w:rPr>
          <w:b/>
        </w:rPr>
        <w:t xml:space="preserve">елях спирометрии и отрицательном бронходилятационном тесте - для выявления (исключения) бронхоспазма, вызванного физической нагрузкой </w:t>
      </w:r>
      <w:r>
        <w:t>[21,85–87]</w:t>
      </w:r>
      <w:r>
        <w:rPr>
          <w:b/>
        </w:rPr>
        <w:t xml:space="preserve"> </w:t>
      </w:r>
    </w:p>
    <w:p w:rsidR="00F15F71" w:rsidRDefault="00F974CD">
      <w:pPr>
        <w:spacing w:after="103" w:line="270" w:lineRule="auto"/>
        <w:ind w:left="-5" w:right="10"/>
      </w:pPr>
      <w:r>
        <w:rPr>
          <w:b/>
        </w:rPr>
        <w:t xml:space="preserve">Уровень убедительности рекомендаций -С (уровень достоверности доказательств - 5) </w:t>
      </w:r>
    </w:p>
    <w:p w:rsidR="00F15F71" w:rsidRDefault="00F974CD">
      <w:pPr>
        <w:spacing w:line="387" w:lineRule="auto"/>
        <w:ind w:left="-15" w:right="7" w:firstLine="710"/>
      </w:pPr>
      <w:r>
        <w:rPr>
          <w:b/>
        </w:rPr>
        <w:t xml:space="preserve">Комментарии: </w:t>
      </w:r>
      <w:r>
        <w:rPr>
          <w:i/>
        </w:rPr>
        <w:t xml:space="preserve">Бронхоконстрикторный тест с физической нагрузкой считается положительным в случае снижения ОФВ1 не менее 10% (для взрослых) и 12% (для детей) от исходного значения </w:t>
      </w:r>
      <w:r>
        <w:t>[85–88]</w:t>
      </w:r>
      <w:r>
        <w:rPr>
          <w:i/>
        </w:rPr>
        <w:t xml:space="preserve">. Тест более специфичный для диагностики бронхиальной </w:t>
      </w:r>
    </w:p>
    <w:p w:rsidR="00F15F71" w:rsidRDefault="00F974CD">
      <w:pPr>
        <w:spacing w:line="387" w:lineRule="auto"/>
        <w:ind w:left="-15" w:firstLine="0"/>
      </w:pPr>
      <w:r>
        <w:rPr>
          <w:i/>
        </w:rPr>
        <w:t>астмы, но менее чувствительный</w:t>
      </w:r>
      <w:r>
        <w:rPr>
          <w:i/>
        </w:rPr>
        <w:t xml:space="preserve">, чем тест с метахлоином. Отрицательный бронхоконстрикторный тест с физической нагрузкой не исключает диагноз БА. </w:t>
      </w:r>
    </w:p>
    <w:p w:rsidR="00F15F71" w:rsidRDefault="00F974CD">
      <w:pPr>
        <w:spacing w:after="184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10"/>
        </w:numPr>
        <w:spacing w:line="392" w:lineRule="auto"/>
        <w:ind w:right="10" w:hanging="348"/>
      </w:pPr>
      <w:r>
        <w:rPr>
          <w:b/>
        </w:rPr>
        <w:t>Возможно проведение бронхоконстрикторного теста -</w:t>
      </w:r>
      <w:r>
        <w:t xml:space="preserve"> </w:t>
      </w:r>
      <w:r>
        <w:rPr>
          <w:b/>
        </w:rPr>
        <w:t>спирометрии с фармакологической пробой (исследование дыхательных объемов с применением ле</w:t>
      </w:r>
      <w:r>
        <w:rPr>
          <w:b/>
        </w:rPr>
        <w:t>карственных средств) пациентам старше 18 лет с подозрением на БА при нормальных исходных показателях спирометрии, отрицательном бронходилятационном тесте и отрицательном бронхоконстрикторном тесте с физической нагрузкой - для выявления бронхиальной гиперре</w:t>
      </w:r>
      <w:r>
        <w:rPr>
          <w:b/>
        </w:rPr>
        <w:t xml:space="preserve">активности </w:t>
      </w:r>
    </w:p>
    <w:p w:rsidR="00F15F71" w:rsidRDefault="00F974CD">
      <w:pPr>
        <w:spacing w:after="163" w:line="259" w:lineRule="auto"/>
        <w:ind w:left="730" w:right="841"/>
      </w:pPr>
      <w:r>
        <w:t>[21,85,86,88–90]</w:t>
      </w:r>
      <w:r>
        <w:rPr>
          <w:b/>
        </w:rPr>
        <w:t xml:space="preserve">.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 xml:space="preserve">Уровень убедительности рекомендаций -С (уровень достоверности доказательств - 5) </w:t>
      </w:r>
    </w:p>
    <w:p w:rsidR="00F15F71" w:rsidRDefault="00F974CD">
      <w:pPr>
        <w:spacing w:line="387" w:lineRule="auto"/>
        <w:ind w:left="-15" w:right="7" w:firstLine="710"/>
      </w:pPr>
      <w:r>
        <w:rPr>
          <w:b/>
        </w:rPr>
        <w:t xml:space="preserve">Комментарии: </w:t>
      </w:r>
      <w:r>
        <w:rPr>
          <w:i/>
        </w:rPr>
        <w:t xml:space="preserve">Обычно выявление бронхиальной гиперреактивности </w:t>
      </w:r>
      <w:r>
        <w:rPr>
          <w:i/>
        </w:rPr>
        <w:t xml:space="preserve">основано на измерении ответа показателя ОФВ1 на ингаляцию вещества (в том числе в повышающихся концентрациях), вызывающего бронхоконстрикцию (например, 4,5% раствора натрия хлорида, раствор маннитола или метахолина – с учетом доступности). </w:t>
      </w:r>
    </w:p>
    <w:p w:rsidR="00F15F71" w:rsidRDefault="00F974CD">
      <w:pPr>
        <w:spacing w:line="387" w:lineRule="auto"/>
        <w:ind w:left="-15" w:firstLine="0"/>
      </w:pPr>
      <w:r>
        <w:rPr>
          <w:i/>
        </w:rPr>
        <w:t xml:space="preserve">Тест считается </w:t>
      </w:r>
      <w:r>
        <w:rPr>
          <w:i/>
        </w:rPr>
        <w:t xml:space="preserve">положительным в случае снижения ОФВ1 на 20% и более от исходного значения </w:t>
      </w:r>
      <w:r>
        <w:t>[85,86,90,91]</w:t>
      </w:r>
      <w:r>
        <w:rPr>
          <w:i/>
        </w:rPr>
        <w:t xml:space="preserve">. Провокационные тесты проводятся в условиях </w:t>
      </w:r>
    </w:p>
    <w:p w:rsidR="00F15F71" w:rsidRDefault="00F974CD">
      <w:pPr>
        <w:spacing w:line="387" w:lineRule="auto"/>
        <w:ind w:left="-15" w:right="6" w:firstLine="0"/>
      </w:pPr>
      <w:r>
        <w:rPr>
          <w:i/>
        </w:rPr>
        <w:t>специализированного стационара. #Маннитол в данной ситуации будет использоваться вне инструкции. Метахолин – не зарегистрир</w:t>
      </w:r>
      <w:r>
        <w:rPr>
          <w:i/>
        </w:rPr>
        <w:t>ован на территории России как препарат для проведения провокационного ингаляционного теста. Бронхоконстрикторные тесты обладают ограниченной специфичностью при постановке диагноза БА так как гиперреактивность дыхательных путей может встречаться у пациентов</w:t>
      </w:r>
      <w:r>
        <w:rPr>
          <w:i/>
        </w:rPr>
        <w:t xml:space="preserve"> с аллергическим ринитом, муковисцидозом, бронхолегочной дисплазией и ХОБЛ </w:t>
      </w:r>
      <w:r>
        <w:t>[85,92–96].</w:t>
      </w:r>
      <w:r>
        <w:rPr>
          <w:i/>
        </w:rPr>
        <w:t xml:space="preserve">  </w:t>
      </w:r>
    </w:p>
    <w:p w:rsidR="00F15F71" w:rsidRDefault="00F974CD">
      <w:pPr>
        <w:spacing w:after="115" w:line="259" w:lineRule="auto"/>
        <w:ind w:left="-15" w:right="840" w:firstLine="0"/>
      </w:pPr>
      <w:r>
        <w:rPr>
          <w:i/>
        </w:rPr>
        <w:t xml:space="preserve">Отрицательный бронхоконстрикторный тест не исключает диагноз БА. </w:t>
      </w:r>
    </w:p>
    <w:p w:rsidR="00F15F71" w:rsidRDefault="00F974CD">
      <w:pPr>
        <w:spacing w:after="185" w:line="259" w:lineRule="auto"/>
        <w:ind w:left="720" w:firstLine="0"/>
        <w:jc w:val="left"/>
      </w:pPr>
      <w:r>
        <w:t xml:space="preserve"> </w:t>
      </w:r>
    </w:p>
    <w:p w:rsidR="00F15F71" w:rsidRDefault="00F974CD">
      <w:pPr>
        <w:tabs>
          <w:tab w:val="center" w:pos="1344"/>
          <w:tab w:val="center" w:pos="3779"/>
          <w:tab w:val="center" w:pos="6104"/>
          <w:tab w:val="right" w:pos="9362"/>
        </w:tabs>
        <w:spacing w:after="125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 xml:space="preserve">Рекомендуется </w:t>
      </w:r>
      <w:r>
        <w:rPr>
          <w:b/>
        </w:rPr>
        <w:tab/>
        <w:t xml:space="preserve">проведение </w:t>
      </w:r>
      <w:r>
        <w:rPr>
          <w:b/>
        </w:rPr>
        <w:tab/>
        <w:t xml:space="preserve">пикфлоуметрии </w:t>
      </w:r>
      <w:r>
        <w:rPr>
          <w:b/>
        </w:rPr>
        <w:tab/>
        <w:t xml:space="preserve">(исследование </w:t>
      </w:r>
    </w:p>
    <w:p w:rsidR="00F15F71" w:rsidRDefault="00F974CD">
      <w:pPr>
        <w:spacing w:line="401" w:lineRule="auto"/>
        <w:ind w:left="730" w:right="10"/>
      </w:pPr>
      <w:r>
        <w:rPr>
          <w:b/>
        </w:rPr>
        <w:t xml:space="preserve">неспровоцированных дыхательных объемов и потоков с использованием пикфлоуметра) пациентам старше 5 лет при невозможности проведения спирометрии при установке диагноза БА – для подтверждения </w:t>
      </w:r>
    </w:p>
    <w:p w:rsidR="00F15F71" w:rsidRDefault="00F974CD">
      <w:pPr>
        <w:spacing w:line="394" w:lineRule="auto"/>
        <w:ind w:left="730" w:right="10"/>
      </w:pPr>
      <w:r>
        <w:rPr>
          <w:b/>
        </w:rPr>
        <w:t>вариабельности скорости воздушного потока, при диспансерном наблю</w:t>
      </w:r>
      <w:r>
        <w:rPr>
          <w:b/>
        </w:rPr>
        <w:t xml:space="preserve">дении – для оценки контроля и выявления рисков обострения </w:t>
      </w:r>
      <w:r>
        <w:t>[47,71,77–79]</w:t>
      </w:r>
      <w:r>
        <w:rPr>
          <w:b/>
        </w:rPr>
        <w:t xml:space="preserve">. </w:t>
      </w:r>
    </w:p>
    <w:p w:rsidR="00F15F71" w:rsidRDefault="00F974CD">
      <w:pPr>
        <w:spacing w:after="151" w:line="270" w:lineRule="auto"/>
        <w:ind w:left="-5" w:right="10"/>
      </w:pPr>
      <w:r>
        <w:rPr>
          <w:b/>
        </w:rPr>
        <w:t xml:space="preserve">Уровень убедительности рекомендаций -С (уровень достоверности доказательств - 5) </w:t>
      </w:r>
    </w:p>
    <w:p w:rsidR="00F15F71" w:rsidRDefault="00F974CD">
      <w:pPr>
        <w:spacing w:line="387" w:lineRule="auto"/>
        <w:ind w:left="-15" w:right="3" w:firstLine="710"/>
      </w:pPr>
      <w:r>
        <w:rPr>
          <w:b/>
        </w:rPr>
        <w:t>Комментарии:</w:t>
      </w:r>
      <w:r>
        <w:rPr>
          <w:i/>
        </w:rPr>
        <w:t xml:space="preserve"> вариабельность воздушного потока определяется при наличии разницы между средними суточн</w:t>
      </w:r>
      <w:r>
        <w:rPr>
          <w:i/>
        </w:rPr>
        <w:t>ыми показателями пиковой скорости выдоха (ПСВ)</w:t>
      </w:r>
      <w:r>
        <w:t xml:space="preserve"> </w:t>
      </w:r>
      <w:r>
        <w:rPr>
          <w:i/>
        </w:rPr>
        <w:t>при двукратном (утром и вечером)</w:t>
      </w:r>
      <w:r>
        <w:t xml:space="preserve"> </w:t>
      </w:r>
      <w:r>
        <w:rPr>
          <w:i/>
        </w:rPr>
        <w:t>измерении на ≥20%. Многими исследователями была выявлена корреляция между значениями утреннего ПСВ и ОФВ1, полученного при спирометрии. Пикфлоуметрия не может заменить спиромет</w:t>
      </w:r>
      <w:r>
        <w:rPr>
          <w:i/>
        </w:rPr>
        <w:t>рию, но неоценима для ежедневного мониторинга функции легких в домашних условиях при длительном наблюдении и лечении БА. Увеличение среднесуточных колебаний ПСВ на ≥30% или снижение индивидуального лучшего показателя на ≥20% свидетельствует об ухудшении ко</w:t>
      </w:r>
      <w:r>
        <w:rPr>
          <w:i/>
        </w:rPr>
        <w:t xml:space="preserve">нтроля БА и повышенном риске обострения </w:t>
      </w:r>
      <w:r>
        <w:t>[97,98]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5" w:firstLine="427"/>
      </w:pPr>
      <w:r>
        <w:rPr>
          <w:i/>
        </w:rPr>
        <w:t xml:space="preserve">В некоторых работах описывается проведение импульсной осциллометрии или бронхофонографии пациентам младше 5 лет с подозрением на БА с целью выявления бронхиальной обструкции </w:t>
      </w:r>
      <w:r>
        <w:t>[99–102].</w:t>
      </w:r>
      <w:r>
        <w:rPr>
          <w:i/>
        </w:rPr>
        <w:t xml:space="preserve">  </w:t>
      </w:r>
    </w:p>
    <w:p w:rsidR="00F15F71" w:rsidRDefault="00F974CD">
      <w:pPr>
        <w:spacing w:after="186" w:line="259" w:lineRule="auto"/>
        <w:ind w:left="720" w:firstLine="0"/>
        <w:jc w:val="left"/>
      </w:pPr>
      <w:r>
        <w:t xml:space="preserve"> </w:t>
      </w:r>
    </w:p>
    <w:p w:rsidR="00F15F71" w:rsidRDefault="00F974CD">
      <w:pPr>
        <w:numPr>
          <w:ilvl w:val="0"/>
          <w:numId w:val="11"/>
        </w:numPr>
        <w:spacing w:line="379" w:lineRule="auto"/>
        <w:ind w:right="10" w:hanging="348"/>
      </w:pPr>
      <w:r>
        <w:rPr>
          <w:b/>
        </w:rPr>
        <w:t>Рекомендуется расс</w:t>
      </w:r>
      <w:r>
        <w:rPr>
          <w:b/>
        </w:rPr>
        <w:t xml:space="preserve">мотреть возможность определения уровня оксида азота в выдыхаемом воздухе (FeNO) пациентам старше 5 лет при установке диагноза и определения фенотипа БА – для выявления признаков эозинофильного </w:t>
      </w:r>
    </w:p>
    <w:p w:rsidR="00F15F71" w:rsidRDefault="00F974CD">
      <w:pPr>
        <w:spacing w:after="12" w:line="388" w:lineRule="auto"/>
        <w:ind w:left="720" w:firstLine="0"/>
        <w:jc w:val="left"/>
      </w:pPr>
      <w:r>
        <w:rPr>
          <w:b/>
        </w:rPr>
        <w:t xml:space="preserve">воспаления </w:t>
      </w:r>
      <w:r>
        <w:rPr>
          <w:b/>
        </w:rPr>
        <w:tab/>
        <w:t xml:space="preserve">дыхательных </w:t>
      </w:r>
      <w:r>
        <w:rPr>
          <w:b/>
        </w:rPr>
        <w:tab/>
        <w:t xml:space="preserve">путей, </w:t>
      </w:r>
      <w:r>
        <w:rPr>
          <w:b/>
        </w:rPr>
        <w:tab/>
        <w:t xml:space="preserve">при </w:t>
      </w:r>
      <w:r>
        <w:rPr>
          <w:b/>
        </w:rPr>
        <w:tab/>
        <w:t xml:space="preserve">дальнейшем </w:t>
      </w:r>
      <w:r>
        <w:rPr>
          <w:b/>
        </w:rPr>
        <w:tab/>
        <w:t xml:space="preserve">наблюдении </w:t>
      </w:r>
      <w:r>
        <w:rPr>
          <w:b/>
        </w:rPr>
        <w:tab/>
        <w:t xml:space="preserve">с установленным диагнозом – для оценки эффективности ИГКС, контроля БА и выявления рисков обострения </w:t>
      </w:r>
      <w:r>
        <w:t>[47,79,103–105]</w:t>
      </w:r>
      <w:r>
        <w:rPr>
          <w:b/>
        </w:rPr>
        <w:t xml:space="preserve">.  </w:t>
      </w:r>
    </w:p>
    <w:p w:rsidR="00F15F71" w:rsidRDefault="00F974CD">
      <w:pPr>
        <w:spacing w:after="146" w:line="270" w:lineRule="auto"/>
        <w:ind w:left="-5" w:right="10"/>
      </w:pPr>
      <w:r>
        <w:rPr>
          <w:b/>
        </w:rPr>
        <w:t>Уровень убедительности рекомендаций -С (уровень достоверности доказательст</w:t>
      </w:r>
      <w:r>
        <w:rPr>
          <w:b/>
        </w:rPr>
        <w:t xml:space="preserve">в - 5) </w:t>
      </w:r>
    </w:p>
    <w:p w:rsidR="00F15F71" w:rsidRDefault="00F974CD">
      <w:pPr>
        <w:spacing w:line="387" w:lineRule="auto"/>
        <w:ind w:left="-15" w:right="4" w:firstLine="710"/>
      </w:pPr>
      <w:r>
        <w:rPr>
          <w:b/>
        </w:rPr>
        <w:t xml:space="preserve">Комментарии: </w:t>
      </w:r>
      <w:r>
        <w:rPr>
          <w:i/>
        </w:rPr>
        <w:t>Уровень оксида азота выдыхаемого воздуха (FeNO) ≥20-25 ppb, наряду с эозинофилией мокроты и эозинофилией периферической крови, является характерным биомаркером активного эозинофильного воспаления. Повышенный уровень FeNO ассоциирован с</w:t>
      </w:r>
      <w:r>
        <w:rPr>
          <w:i/>
        </w:rPr>
        <w:t xml:space="preserve"> хорошим и быстрым ответом на ИГКС. У детей дошкольного возраста с рецидивирующими эпизодами кашля и свистящего дыхания повышенный уровень FeNO, зафиксированный в сроки более 4 недель после перенесенной ОРИ, может быть рассмотрен как один из предикторов ра</w:t>
      </w:r>
      <w:r>
        <w:rPr>
          <w:i/>
        </w:rPr>
        <w:t xml:space="preserve">звития БА </w:t>
      </w:r>
      <w:r>
        <w:t>[106].</w:t>
      </w:r>
      <w:r>
        <w:rPr>
          <w:i/>
        </w:rPr>
        <w:t xml:space="preserve"> </w:t>
      </w:r>
    </w:p>
    <w:p w:rsidR="00F15F71" w:rsidRDefault="00F974CD">
      <w:pPr>
        <w:spacing w:after="187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11"/>
        </w:numPr>
        <w:spacing w:line="394" w:lineRule="auto"/>
        <w:ind w:right="10" w:hanging="348"/>
      </w:pPr>
      <w:r>
        <w:rPr>
          <w:b/>
        </w:rPr>
        <w:t xml:space="preserve">Рекомендуется  проведение пульсоксиметрии всем пациентам с БА при обострении для выявления степени дыхательной недостаточности </w:t>
      </w:r>
      <w:r>
        <w:t>[24,107]</w:t>
      </w:r>
      <w:r>
        <w:rPr>
          <w:b/>
        </w:rPr>
        <w:t>.</w:t>
      </w:r>
      <w:r>
        <w:t xml:space="preserve">  </w:t>
      </w:r>
    </w:p>
    <w:p w:rsidR="00F15F71" w:rsidRDefault="00F974CD">
      <w:pPr>
        <w:spacing w:after="101" w:line="270" w:lineRule="auto"/>
        <w:ind w:left="-5" w:right="10"/>
      </w:pPr>
      <w:r>
        <w:rPr>
          <w:b/>
        </w:rPr>
        <w:t xml:space="preserve">Уровень убедительности рекомендаций -C (уровень достоверности доказательств - 5) </w:t>
      </w:r>
    </w:p>
    <w:p w:rsidR="00F15F71" w:rsidRDefault="00F974CD">
      <w:pPr>
        <w:spacing w:after="188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11"/>
        </w:numPr>
        <w:spacing w:line="394" w:lineRule="auto"/>
        <w:ind w:right="10" w:hanging="348"/>
      </w:pPr>
      <w:r>
        <w:rPr>
          <w:b/>
        </w:rPr>
        <w:t>Рекомендуется</w:t>
      </w:r>
      <w:r>
        <w:rPr>
          <w:b/>
        </w:rPr>
        <w:t xml:space="preserve"> проведение рентгенографии легких или компьютерной томографии органов грудной полости пациентам при установке диагноза БА или с ранее установленным диагнозом БА при наличии симптомов и/или маркеров инфекционного воспаления, нехарактерной для астмы аускульт</w:t>
      </w:r>
      <w:r>
        <w:rPr>
          <w:b/>
        </w:rPr>
        <w:t xml:space="preserve">ативной картины, тяжелым торпидным к традиционной терапии течении БА с целью выявления сопутствующих заболеваний, влияющих на течение и выбор терапии БА, или с целью дифференциальной диагностики с другой патологией нижних дыхательных путей </w:t>
      </w:r>
      <w:r>
        <w:t>[108,109]</w:t>
      </w:r>
      <w:r>
        <w:rPr>
          <w:b/>
        </w:rPr>
        <w:t xml:space="preserve">.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>Уров</w:t>
      </w:r>
      <w:r>
        <w:rPr>
          <w:b/>
        </w:rPr>
        <w:t xml:space="preserve">ень убедительности рекомендаций -C (уровень достоверности доказательств - 5) </w:t>
      </w:r>
    </w:p>
    <w:p w:rsidR="00F15F71" w:rsidRDefault="00F974CD">
      <w:pPr>
        <w:spacing w:after="187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numPr>
          <w:ilvl w:val="0"/>
          <w:numId w:val="11"/>
        </w:numPr>
        <w:spacing w:line="378" w:lineRule="auto"/>
        <w:ind w:right="10" w:hanging="348"/>
      </w:pPr>
      <w:r>
        <w:rPr>
          <w:b/>
        </w:rPr>
        <w:t>Рекомендуется рассмотреть проведение бронхоскопии пациентам с тяжелым торпидным к традиционной терапии течением БА с целью выявления сопутствующих заболеваний, усугубляющих теч</w:t>
      </w:r>
      <w:r>
        <w:rPr>
          <w:b/>
        </w:rPr>
        <w:t xml:space="preserve">ение БА, или с целью дифференциальной диагностики с другой патологией нижних дыхательных путей.  </w:t>
      </w:r>
    </w:p>
    <w:p w:rsidR="00F15F71" w:rsidRDefault="00F974CD">
      <w:pPr>
        <w:spacing w:after="101" w:line="270" w:lineRule="auto"/>
        <w:ind w:left="-5" w:right="10"/>
      </w:pPr>
      <w:r>
        <w:rPr>
          <w:b/>
        </w:rPr>
        <w:t xml:space="preserve">Уровень убедительности рекомендаций -C (уровень достоверности доказательств - 5) </w:t>
      </w:r>
    </w:p>
    <w:p w:rsidR="00F15F71" w:rsidRDefault="00F974CD">
      <w:pPr>
        <w:spacing w:after="189" w:line="259" w:lineRule="auto"/>
        <w:ind w:left="720" w:firstLine="0"/>
        <w:jc w:val="left"/>
      </w:pPr>
      <w:r>
        <w:rPr>
          <w:b/>
        </w:rPr>
        <w:t xml:space="preserve"> </w:t>
      </w:r>
    </w:p>
    <w:p w:rsidR="00F15F71" w:rsidRDefault="00F974CD">
      <w:pPr>
        <w:numPr>
          <w:ilvl w:val="0"/>
          <w:numId w:val="11"/>
        </w:numPr>
        <w:spacing w:after="166" w:line="399" w:lineRule="auto"/>
        <w:ind w:right="10" w:hanging="348"/>
      </w:pPr>
      <w:r>
        <w:rPr>
          <w:b/>
        </w:rPr>
        <w:t xml:space="preserve">Рекомендуется проведение эзофагогастроскопии пациентам с установленным ранее диагнозом БА при наличии жалоб и симптомов гастро-эзофагального рефлюкса с целью выявления сопутствующих заболеваний, влияющих на </w:t>
      </w:r>
    </w:p>
    <w:p w:rsidR="00F15F71" w:rsidRDefault="00F974CD">
      <w:pPr>
        <w:spacing w:after="149" w:line="270" w:lineRule="auto"/>
        <w:ind w:left="730" w:right="10"/>
      </w:pPr>
      <w:r>
        <w:rPr>
          <w:b/>
        </w:rPr>
        <w:t>течение и выбор терапии БА, или с целью дифферен</w:t>
      </w:r>
      <w:r>
        <w:rPr>
          <w:b/>
        </w:rPr>
        <w:t xml:space="preserve">циальной диагностики. </w:t>
      </w:r>
    </w:p>
    <w:p w:rsidR="00F15F71" w:rsidRDefault="00F974CD">
      <w:pPr>
        <w:spacing w:after="104" w:line="270" w:lineRule="auto"/>
        <w:ind w:left="-5" w:right="10"/>
      </w:pPr>
      <w:r>
        <w:rPr>
          <w:b/>
        </w:rPr>
        <w:t xml:space="preserve">Уровень убедительности рекомендаций -C (уровень достоверности доказательств - 5) </w:t>
      </w:r>
    </w:p>
    <w:p w:rsidR="00F15F71" w:rsidRDefault="00F974CD">
      <w:pPr>
        <w:spacing w:after="186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numPr>
          <w:ilvl w:val="0"/>
          <w:numId w:val="11"/>
        </w:numPr>
        <w:spacing w:line="379" w:lineRule="auto"/>
        <w:ind w:right="10" w:hanging="348"/>
      </w:pPr>
      <w:r>
        <w:rPr>
          <w:b/>
        </w:rPr>
        <w:t>Рекомендуется регистрация с расшифровкой, описанием и интерпретацией данных электрокардиограммы пациентам при установке диагноза БА и с ранее установ</w:t>
      </w:r>
      <w:r>
        <w:rPr>
          <w:b/>
        </w:rPr>
        <w:t>ленным диагнозом при обострении БА с целью выявления сопутствующих заболеваний, влияющих на течение и выбор терапии БА, и проведения дифференциальной диагностики с кардиопатологией.</w:t>
      </w:r>
      <w:r>
        <w:t xml:space="preserve">  </w:t>
      </w:r>
    </w:p>
    <w:p w:rsidR="00F15F71" w:rsidRDefault="00F974CD">
      <w:pPr>
        <w:spacing w:after="104" w:line="270" w:lineRule="auto"/>
        <w:ind w:left="-5" w:right="10"/>
      </w:pPr>
      <w:r>
        <w:rPr>
          <w:b/>
        </w:rPr>
        <w:t>Уровень убедительности рекомендаций -C (уровень достоверности доказатель</w:t>
      </w:r>
      <w:r>
        <w:rPr>
          <w:b/>
        </w:rPr>
        <w:t xml:space="preserve">ств - 5) </w:t>
      </w:r>
    </w:p>
    <w:p w:rsidR="00F15F71" w:rsidRDefault="00F974CD">
      <w:pPr>
        <w:spacing w:after="403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pStyle w:val="Heading4"/>
        <w:spacing w:after="112" w:line="259" w:lineRule="auto"/>
        <w:ind w:left="703"/>
        <w:jc w:val="left"/>
      </w:pPr>
      <w:bookmarkStart w:id="18" w:name="_Toc275175"/>
      <w:r>
        <w:rPr>
          <w:u w:val="single" w:color="000000"/>
        </w:rPr>
        <w:t>2.5 Иные диагностические исследования</w:t>
      </w:r>
      <w:r>
        <w:t xml:space="preserve"> </w:t>
      </w:r>
      <w:bookmarkEnd w:id="18"/>
    </w:p>
    <w:p w:rsidR="00F15F71" w:rsidRDefault="00F974CD">
      <w:pPr>
        <w:spacing w:after="162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5" w:firstLine="710"/>
      </w:pPr>
      <w:r>
        <w:rPr>
          <w:i/>
        </w:rPr>
        <w:t xml:space="preserve">Проведение аллергообследования необходимо для подтверждения аллергической природы бронхиальной астмы, выявления причинно-значимых аллергенов с целью выработки рекомендаций по образу жизни, </w:t>
      </w:r>
      <w:r>
        <w:rPr>
          <w:i/>
        </w:rPr>
        <w:t>питанию и определения целесообразности проведения аллерген-специфической иммунотерапии. Аллергологическое обследование может проводиться методом кожного тестирования с небактериальными аллергенами (кожные тесты с аллергенами) и/или определения уровня специ</w:t>
      </w:r>
      <w:r>
        <w:rPr>
          <w:i/>
        </w:rPr>
        <w:t xml:space="preserve">фических IgE в сыворотке крови (см. главу 2.3). Выбор метода аллергологического обследования определяется доступностью и оснащенностью аллергологического кабинета и наличием/отсутствием противопоказаний к проведению кожного тестирования.   </w:t>
      </w:r>
    </w:p>
    <w:p w:rsidR="00F15F71" w:rsidRDefault="00F974CD">
      <w:pPr>
        <w:spacing w:after="189" w:line="259" w:lineRule="auto"/>
        <w:ind w:left="708" w:firstLine="0"/>
        <w:jc w:val="left"/>
      </w:pPr>
      <w:r>
        <w:rPr>
          <w:i/>
        </w:rPr>
        <w:t xml:space="preserve">  </w:t>
      </w:r>
    </w:p>
    <w:p w:rsidR="00F15F71" w:rsidRDefault="00F974CD">
      <w:pPr>
        <w:spacing w:line="378" w:lineRule="auto"/>
        <w:ind w:left="720" w:right="10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</w:t>
      </w:r>
      <w:r>
        <w:rPr>
          <w:b/>
        </w:rPr>
        <w:t>тся проводить кожные тесты с аллергенами (накожные исследования реакции на аллергены) пациентам старше 5 лет при отсутствии противопоказаний к тестированию при первичной диагностике БА и в процессе динамического наблюдения с целью подтверждения аллергическ</w:t>
      </w:r>
      <w:r>
        <w:rPr>
          <w:b/>
        </w:rPr>
        <w:t xml:space="preserve">ого фенотипа БА, выявления причинно-значимых аллергенов с целью выработки рекомендаций по образу жизни, питанию и определения целесообразности проведения аллерген-специфической иммунотерапии </w:t>
      </w:r>
      <w:r>
        <w:t>[58,110–112]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05" w:line="270" w:lineRule="auto"/>
        <w:ind w:left="-5" w:right="10"/>
      </w:pPr>
      <w:r>
        <w:rPr>
          <w:b/>
        </w:rPr>
        <w:t>Уровень убедительности рекомендаций -А (уровень до</w:t>
      </w:r>
      <w:r>
        <w:rPr>
          <w:b/>
        </w:rPr>
        <w:t xml:space="preserve">стоверности доказательств - 1) </w:t>
      </w:r>
    </w:p>
    <w:p w:rsidR="00F15F71" w:rsidRDefault="00F974CD">
      <w:pPr>
        <w:spacing w:line="387" w:lineRule="auto"/>
        <w:ind w:left="-15" w:right="3" w:firstLine="710"/>
      </w:pPr>
      <w:r>
        <w:rPr>
          <w:b/>
        </w:rPr>
        <w:t xml:space="preserve">Комментарии: </w:t>
      </w:r>
      <w:r>
        <w:rPr>
          <w:i/>
        </w:rPr>
        <w:t>Кожные пробы проводят в условиях аллергологического кабинета специально обученная медицинская сестра или врач-аллерголог-иммунолог. Наиболее часто применяют prick-тесты (тесты уколом) или скарификационные тесты</w:t>
      </w:r>
      <w:r>
        <w:rPr>
          <w:b/>
          <w:i/>
        </w:rPr>
        <w:t>.</w:t>
      </w:r>
      <w:r>
        <w:rPr>
          <w:i/>
        </w:rPr>
        <w:t xml:space="preserve"> </w:t>
      </w:r>
    </w:p>
    <w:p w:rsidR="00F15F71" w:rsidRDefault="00F974CD">
      <w:pPr>
        <w:spacing w:after="252" w:line="387" w:lineRule="auto"/>
        <w:ind w:left="-15" w:right="4" w:firstLine="0"/>
      </w:pPr>
      <w:r>
        <w:rPr>
          <w:i/>
        </w:rPr>
        <w:t xml:space="preserve">Результаты тестирования с аллергенами соотносят с результатами отрицательного и положительного тест-контроля. Результаты кожных проб очень важны для диагностики атопических заболеваний, однако они не являются абсолютными, имеют противопоказания </w:t>
      </w:r>
      <w:r>
        <w:t>[58]</w:t>
      </w:r>
      <w:r>
        <w:rPr>
          <w:i/>
        </w:rPr>
        <w:t xml:space="preserve">. На </w:t>
      </w:r>
      <w:r>
        <w:rPr>
          <w:i/>
        </w:rPr>
        <w:t xml:space="preserve">достоверность результатов могут влиять ранний детский (до 5 лет) или, наоборот, преклонный (старше 60 лет) возраст пациента, прием глюкокортикоидов (системного действия), антигистаминных средств системного действия, психотропных препаратов (снижают кожную </w:t>
      </w:r>
      <w:r>
        <w:rPr>
          <w:i/>
        </w:rPr>
        <w:t>чувствительность), дермографизм (ложноположительный результат), непродолжительный период после острой аллергической реакции (ложноотрицательный результат) и др. При динамическом наблюдении в течение года возможно повторное проведение исследования при подоз</w:t>
      </w:r>
      <w:r>
        <w:rPr>
          <w:i/>
        </w:rPr>
        <w:t xml:space="preserve">рении на появление новой клинически значимой сенсибилизации. </w:t>
      </w:r>
    </w:p>
    <w:p w:rsidR="00F15F71" w:rsidRDefault="00F974CD">
      <w:pPr>
        <w:pStyle w:val="Heading5"/>
        <w:spacing w:after="112"/>
        <w:ind w:left="703"/>
      </w:pPr>
      <w:bookmarkStart w:id="19" w:name="_Toc275176"/>
      <w:r>
        <w:t>2.5.1 Диагностика профессиональной БА</w:t>
      </w:r>
      <w:r>
        <w:rPr>
          <w:u w:val="none"/>
        </w:rPr>
        <w:t xml:space="preserve"> </w:t>
      </w:r>
      <w:bookmarkEnd w:id="19"/>
    </w:p>
    <w:p w:rsidR="00F15F71" w:rsidRDefault="00F974CD">
      <w:pPr>
        <w:spacing w:line="387" w:lineRule="auto"/>
        <w:ind w:left="-15" w:right="6" w:firstLine="710"/>
      </w:pPr>
      <w:r>
        <w:rPr>
          <w:i/>
        </w:rPr>
        <w:t>Диагностическое тестирование профессиональной БА рекомендуется проводить с учетом основных ее фенотипов (Приложение Б7): аллергическая астма (от воздействи</w:t>
      </w:r>
      <w:r>
        <w:rPr>
          <w:i/>
        </w:rPr>
        <w:t xml:space="preserve">я высоко- или низкомолекулярных сенситизаторов) и/или ирритативная – неаллергическая астма (от воздействия веществ токсического и раздражающего действия) </w:t>
      </w:r>
      <w:r>
        <w:t>[113,114]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firstLine="710"/>
      </w:pPr>
      <w:r>
        <w:rPr>
          <w:i/>
        </w:rPr>
        <w:t xml:space="preserve">Диагностику профессиональной астмы рекомендуется проводить в 3 основных этапа: </w:t>
      </w:r>
    </w:p>
    <w:p w:rsidR="00F15F71" w:rsidRDefault="00F974CD">
      <w:pPr>
        <w:numPr>
          <w:ilvl w:val="0"/>
          <w:numId w:val="12"/>
        </w:numPr>
        <w:spacing w:after="161" w:line="259" w:lineRule="auto"/>
        <w:ind w:firstLine="710"/>
      </w:pPr>
      <w:r>
        <w:rPr>
          <w:i/>
        </w:rPr>
        <w:t>этап – вер</w:t>
      </w:r>
      <w:r>
        <w:rPr>
          <w:i/>
        </w:rPr>
        <w:t xml:space="preserve">ификация диагноза БА; </w:t>
      </w:r>
    </w:p>
    <w:p w:rsidR="00F15F71" w:rsidRDefault="00F974CD">
      <w:pPr>
        <w:numPr>
          <w:ilvl w:val="0"/>
          <w:numId w:val="12"/>
        </w:numPr>
        <w:spacing w:line="387" w:lineRule="auto"/>
        <w:ind w:firstLine="710"/>
      </w:pPr>
      <w:r>
        <w:rPr>
          <w:i/>
        </w:rPr>
        <w:t xml:space="preserve">этап – установление причинно-следственной связи между развитием симптомов БА и условиями труда; </w:t>
      </w:r>
    </w:p>
    <w:p w:rsidR="00F15F71" w:rsidRDefault="00F974CD">
      <w:pPr>
        <w:numPr>
          <w:ilvl w:val="0"/>
          <w:numId w:val="12"/>
        </w:numPr>
        <w:spacing w:line="387" w:lineRule="auto"/>
        <w:ind w:firstLine="710"/>
      </w:pPr>
      <w:r>
        <w:rPr>
          <w:i/>
        </w:rPr>
        <w:t xml:space="preserve">этап – выявление специфического агента или комплекса факторов развития профессоинальной БА. </w:t>
      </w:r>
    </w:p>
    <w:p w:rsidR="00F15F71" w:rsidRDefault="00F974CD">
      <w:pPr>
        <w:spacing w:after="156" w:line="259" w:lineRule="auto"/>
        <w:ind w:left="708" w:right="840" w:firstLine="0"/>
      </w:pPr>
      <w:r>
        <w:rPr>
          <w:i/>
        </w:rPr>
        <w:t xml:space="preserve"> </w:t>
      </w:r>
      <w:r>
        <w:rPr>
          <w:i/>
        </w:rPr>
        <w:t xml:space="preserve">«Золотым стандартом» диагностики ПБА являются: </w:t>
      </w:r>
    </w:p>
    <w:p w:rsidR="00F15F71" w:rsidRDefault="00F974CD">
      <w:pPr>
        <w:numPr>
          <w:ilvl w:val="0"/>
          <w:numId w:val="13"/>
        </w:numPr>
        <w:spacing w:after="161" w:line="259" w:lineRule="auto"/>
        <w:ind w:right="5" w:firstLine="710"/>
      </w:pPr>
      <w:r>
        <w:rPr>
          <w:i/>
        </w:rPr>
        <w:t xml:space="preserve">анкетный скрининг; </w:t>
      </w:r>
    </w:p>
    <w:p w:rsidR="00F15F71" w:rsidRDefault="00F974CD">
      <w:pPr>
        <w:numPr>
          <w:ilvl w:val="0"/>
          <w:numId w:val="13"/>
        </w:numPr>
        <w:spacing w:line="387" w:lineRule="auto"/>
        <w:ind w:right="5" w:firstLine="710"/>
      </w:pPr>
      <w:r>
        <w:rPr>
          <w:i/>
        </w:rPr>
        <w:t xml:space="preserve">иммунологические тесты in vivo и in vitro с предполагаемыми производственными агентами; </w:t>
      </w:r>
    </w:p>
    <w:p w:rsidR="00F15F71" w:rsidRDefault="00F974CD">
      <w:pPr>
        <w:numPr>
          <w:ilvl w:val="0"/>
          <w:numId w:val="13"/>
        </w:numPr>
        <w:spacing w:line="387" w:lineRule="auto"/>
        <w:ind w:right="5" w:firstLine="710"/>
      </w:pPr>
      <w:r>
        <w:rPr>
          <w:i/>
        </w:rPr>
        <w:t>мониторинг ПСВ (Исследование неспровоцированных дыхательных объемов и потоков с использованием пикф</w:t>
      </w:r>
      <w:r>
        <w:rPr>
          <w:i/>
        </w:rPr>
        <w:t xml:space="preserve">лоуметра) в условиях экспозиции и элиминации факторов производственной среды: не менее 4-х раз в течение рабочей смены на протяжении 3-4-х рабочих недель с последующим сравнением показателей в выходные дни и/или отпускной период </w:t>
      </w:r>
      <w:r>
        <w:t>[113–117]</w:t>
      </w:r>
      <w:r>
        <w:rPr>
          <w:i/>
        </w:rPr>
        <w:t xml:space="preserve">. </w:t>
      </w:r>
      <w:r>
        <w:rPr>
          <w:b/>
          <w:i/>
        </w:rPr>
        <w:t>Уровень убедител</w:t>
      </w:r>
      <w:r>
        <w:rPr>
          <w:b/>
          <w:i/>
        </w:rPr>
        <w:t xml:space="preserve">ьности рекомендаций В (уровень достоверности доказательств – 3) </w:t>
      </w:r>
    </w:p>
    <w:p w:rsidR="00F15F71" w:rsidRDefault="00F974CD">
      <w:pPr>
        <w:numPr>
          <w:ilvl w:val="0"/>
          <w:numId w:val="13"/>
        </w:numPr>
        <w:spacing w:after="254" w:line="387" w:lineRule="auto"/>
        <w:ind w:right="5" w:firstLine="710"/>
      </w:pPr>
      <w:r>
        <w:rPr>
          <w:i/>
        </w:rPr>
        <w:t>специфический бронхопровокационный тест (Исследование дыхательных объемов с применением лекарственных препаратов) с модификацией экспозиции производственных агентов, рекомендуется проводить т</w:t>
      </w:r>
      <w:r>
        <w:rPr>
          <w:i/>
        </w:rPr>
        <w:t xml:space="preserve">олько в специализированных центрах с использованием экспозиционных камер при отсутствии возможности подтвердить диагноз профессиональной астмы другими методами </w:t>
      </w:r>
      <w:r>
        <w:t>[113]</w:t>
      </w:r>
      <w:r>
        <w:rPr>
          <w:i/>
        </w:rPr>
        <w:t>.</w:t>
      </w:r>
      <w:r>
        <w:rPr>
          <w:b/>
          <w:i/>
        </w:rPr>
        <w:t xml:space="preserve"> Уровень убедительности рекомендаций B (уровень достоверности доказательств – 2).</w:t>
      </w:r>
      <w:r>
        <w:rPr>
          <w:i/>
        </w:rPr>
        <w:t xml:space="preserve"> Исследов</w:t>
      </w:r>
      <w:r>
        <w:rPr>
          <w:i/>
        </w:rPr>
        <w:t>ание с бронхоконстриктором может быть рассмотрено как альтернатива теста специфической бронхопровокации. Исследование проводят в первые часы после рабочей смены и в первый день после продолжительного перерыва в работе. Результаты теста, как правило, коррел</w:t>
      </w:r>
      <w:r>
        <w:rPr>
          <w:i/>
        </w:rPr>
        <w:t>ируют с дозой ингалированных веществ и ухудшением течения БА на рабочем месте. Отсутствие бронхиальной гиперреактивности не позволяет исключить диагноз профессиональной БА. Для уточнения наличия бронхиальной гипервосприимчивости к профессиональным факторам</w:t>
      </w:r>
      <w:r>
        <w:rPr>
          <w:i/>
        </w:rPr>
        <w:t xml:space="preserve">, показано повторное проведение теста в периоды элиминации агентов (после 7-14 дневного перерыва в работе) </w:t>
      </w:r>
      <w:r>
        <w:t>[113–117]</w:t>
      </w:r>
      <w:r>
        <w:rPr>
          <w:i/>
        </w:rPr>
        <w:t>.</w:t>
      </w:r>
      <w:r>
        <w:rPr>
          <w:b/>
          <w:i/>
        </w:rPr>
        <w:t xml:space="preserve"> </w:t>
      </w:r>
    </w:p>
    <w:p w:rsidR="00F15F71" w:rsidRDefault="00F974CD">
      <w:pPr>
        <w:pStyle w:val="Heading5"/>
        <w:spacing w:after="0" w:line="400" w:lineRule="auto"/>
        <w:ind w:left="0" w:firstLine="708"/>
      </w:pPr>
      <w:bookmarkStart w:id="20" w:name="_Toc275177"/>
      <w:r>
        <w:t>2.5.2 Подтверждение диагноза БА у лиц, подлежащих призыву на военную</w:t>
      </w:r>
      <w:r>
        <w:rPr>
          <w:u w:val="none"/>
        </w:rPr>
        <w:t xml:space="preserve"> </w:t>
      </w:r>
      <w:r>
        <w:t>службу</w:t>
      </w:r>
      <w:r>
        <w:rPr>
          <w:u w:val="none"/>
        </w:rPr>
        <w:t xml:space="preserve"> </w:t>
      </w:r>
      <w:bookmarkEnd w:id="20"/>
    </w:p>
    <w:p w:rsidR="00F15F71" w:rsidRDefault="00F974CD">
      <w:pPr>
        <w:spacing w:line="387" w:lineRule="auto"/>
        <w:ind w:left="-15" w:right="4" w:firstLine="710"/>
      </w:pPr>
      <w:r>
        <w:rPr>
          <w:i/>
        </w:rPr>
        <w:t xml:space="preserve">Обследование и освидетельствование пациентов </w:t>
      </w:r>
      <w:r>
        <w:rPr>
          <w:i/>
        </w:rPr>
        <w:t>при первоначальной постановке на воинский учет, призыве на военную службу (военные сборы), поступлении на военную службу по контракту и в военно-учебные заведения, а также у военнослужащих, проходящих военную службу по призыву или по контракту на предмет в</w:t>
      </w:r>
      <w:r>
        <w:rPr>
          <w:i/>
        </w:rPr>
        <w:t>ыявления ограничений к прохождению военной службы регламентировано</w:t>
      </w:r>
      <w:r>
        <w:t xml:space="preserve"> </w:t>
      </w:r>
      <w:r>
        <w:rPr>
          <w:i/>
        </w:rPr>
        <w:t xml:space="preserve">Постановлением Правительства РФ от 04.07.2013 N 565 (ред. от 23.11.2023) "Об утверждении </w:t>
      </w:r>
    </w:p>
    <w:p w:rsidR="00F15F71" w:rsidRDefault="00F974CD">
      <w:pPr>
        <w:spacing w:after="115" w:line="259" w:lineRule="auto"/>
        <w:ind w:left="-15" w:right="840" w:firstLine="0"/>
      </w:pPr>
      <w:r>
        <w:rPr>
          <w:i/>
        </w:rPr>
        <w:t xml:space="preserve">Положения о военно-врачебной экспертизе" и, относительно БА, согласно Табл. 6. </w:t>
      </w:r>
    </w:p>
    <w:p w:rsidR="00F15F71" w:rsidRDefault="00F974CD">
      <w:pPr>
        <w:spacing w:after="162" w:line="259" w:lineRule="auto"/>
        <w:ind w:left="0" w:firstLine="0"/>
        <w:jc w:val="left"/>
      </w:pPr>
      <w:r>
        <w:t xml:space="preserve"> </w:t>
      </w:r>
    </w:p>
    <w:p w:rsidR="00F15F71" w:rsidRDefault="00F974CD">
      <w:pPr>
        <w:spacing w:line="270" w:lineRule="auto"/>
        <w:ind w:left="-5" w:right="10"/>
      </w:pPr>
      <w:r>
        <w:rPr>
          <w:b/>
        </w:rPr>
        <w:t xml:space="preserve">Таблица 6. </w:t>
      </w:r>
      <w:r>
        <w:rPr>
          <w:b/>
        </w:rPr>
        <w:t xml:space="preserve">Категории годности к военной службе у пациентов, страдающих БА </w:t>
      </w:r>
    </w:p>
    <w:tbl>
      <w:tblPr>
        <w:tblStyle w:val="TableGrid"/>
        <w:tblW w:w="9275" w:type="dxa"/>
        <w:tblInd w:w="-60" w:type="dxa"/>
        <w:tblCellMar>
          <w:top w:w="0" w:type="dxa"/>
          <w:left w:w="60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1291"/>
        <w:gridCol w:w="4299"/>
        <w:gridCol w:w="1131"/>
        <w:gridCol w:w="1138"/>
        <w:gridCol w:w="1416"/>
      </w:tblGrid>
      <w:tr w:rsidR="00F15F71">
        <w:trPr>
          <w:trHeight w:val="738"/>
        </w:trPr>
        <w:tc>
          <w:tcPr>
            <w:tcW w:w="1291" w:type="dxa"/>
            <w:vMerge w:val="restart"/>
            <w:tcBorders>
              <w:top w:val="single" w:sz="36" w:space="0" w:color="FFFFFF"/>
              <w:left w:val="nil"/>
              <w:bottom w:val="single" w:sz="6" w:space="0" w:color="000000"/>
              <w:right w:val="single" w:sz="6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Статья расписания болезней </w:t>
            </w:r>
          </w:p>
        </w:tc>
        <w:tc>
          <w:tcPr>
            <w:tcW w:w="4299" w:type="dxa"/>
            <w:vMerge w:val="restart"/>
            <w:tcBorders>
              <w:top w:val="single" w:sz="36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Наименование </w:t>
            </w:r>
            <w:r>
              <w:tab/>
              <w:t xml:space="preserve">болезней, </w:t>
            </w:r>
            <w:r>
              <w:tab/>
              <w:t xml:space="preserve">степень нарушения функции </w:t>
            </w:r>
          </w:p>
        </w:tc>
        <w:tc>
          <w:tcPr>
            <w:tcW w:w="3685" w:type="dxa"/>
            <w:gridSpan w:val="3"/>
            <w:tcBorders>
              <w:top w:val="single" w:sz="36" w:space="0" w:color="FFFFFF"/>
              <w:left w:val="single" w:sz="6" w:space="0" w:color="000000"/>
              <w:bottom w:val="single" w:sz="31" w:space="0" w:color="FFFFFF"/>
              <w:right w:val="nil"/>
            </w:tcBorders>
            <w:vAlign w:val="center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Категория годности к военной службе </w:t>
            </w:r>
          </w:p>
        </w:tc>
      </w:tr>
      <w:tr w:rsidR="00F15F71">
        <w:trPr>
          <w:trHeight w:val="425"/>
        </w:trPr>
        <w:tc>
          <w:tcPr>
            <w:tcW w:w="0" w:type="auto"/>
            <w:vMerge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I графа </w:t>
            </w:r>
          </w:p>
        </w:tc>
        <w:tc>
          <w:tcPr>
            <w:tcW w:w="1138" w:type="dxa"/>
            <w:tcBorders>
              <w:top w:val="single" w:sz="31" w:space="0" w:color="FFFFFF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II графа </w:t>
            </w:r>
          </w:p>
        </w:tc>
        <w:tc>
          <w:tcPr>
            <w:tcW w:w="1416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</w:tcPr>
          <w:p w:rsidR="00F15F71" w:rsidRDefault="00F974CD">
            <w:pPr>
              <w:spacing w:after="51" w:line="259" w:lineRule="auto"/>
              <w:ind w:left="1078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9144" cy="57912"/>
                      <wp:effectExtent l="0" t="0" r="0" b="0"/>
                      <wp:docPr id="224201" name="Group 2242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44" cy="57912"/>
                                <a:chOff x="0" y="0"/>
                                <a:chExt cx="9144" cy="57912"/>
                              </a:xfrm>
                            </wpg:grpSpPr>
                            <wps:wsp>
                              <wps:cNvPr id="277615" name="Shape 277615"/>
                              <wps:cNvSpPr/>
                              <wps:spPr>
                                <a:xfrm>
                                  <a:off x="0" y="0"/>
                                  <a:ext cx="9144" cy="579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57912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57912"/>
                                      </a:lnTo>
                                      <a:lnTo>
                                        <a:pt x="0" y="5791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224201" style="width:0.720032pt;height:4.56pt;mso-position-horizontal-relative:char;mso-position-vertical-relative:line" coordsize="91,579">
                      <v:shape id="Shape 277616" style="position:absolute;width:91;height:579;left:0;top:0;" coordsize="9144,57912" path="m0,0l9144,0l9144,57912l0,57912l0,0">
                        <v:stroke weight="0pt" endcap="flat" joinstyle="miter" miterlimit="10" on="false" color="#000000" opacity="0"/>
                        <v:fill on="true" color="#ffffff"/>
                      </v:shape>
                    </v:group>
                  </w:pict>
                </mc:Fallback>
              </mc:AlternateConten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III графа </w:t>
            </w:r>
          </w:p>
        </w:tc>
      </w:tr>
      <w:tr w:rsidR="00F15F71">
        <w:trPr>
          <w:trHeight w:val="488"/>
        </w:trPr>
        <w:tc>
          <w:tcPr>
            <w:tcW w:w="1291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shd w:val="clear" w:color="auto" w:fill="FFFFFF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52 </w:t>
            </w:r>
          </w:p>
        </w:tc>
        <w:tc>
          <w:tcPr>
            <w:tcW w:w="6568" w:type="dxa"/>
            <w:gridSpan w:val="3"/>
            <w:tcBorders>
              <w:top w:val="single" w:sz="6" w:space="0" w:color="000000"/>
              <w:left w:val="nil"/>
              <w:bottom w:val="single" w:sz="31" w:space="0" w:color="FFFFFF"/>
              <w:right w:val="nil"/>
            </w:tcBorders>
            <w:shd w:val="clear" w:color="auto" w:fill="FFFFFF"/>
          </w:tcPr>
          <w:p w:rsidR="00F15F71" w:rsidRDefault="00F974CD">
            <w:pPr>
              <w:spacing w:after="0" w:line="259" w:lineRule="auto"/>
              <w:ind w:left="4299" w:firstLine="0"/>
              <w:jc w:val="left"/>
            </w:pPr>
            <w:r>
              <w:t xml:space="preserve"> </w:t>
            </w:r>
            <w:r>
              <w:tab/>
              <w:t xml:space="preserve">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Бронхиальная астма: </w:t>
            </w:r>
          </w:p>
        </w:tc>
        <w:tc>
          <w:tcPr>
            <w:tcW w:w="1416" w:type="dxa"/>
            <w:tcBorders>
              <w:top w:val="single" w:sz="6" w:space="0" w:color="000000"/>
              <w:left w:val="nil"/>
              <w:bottom w:val="single" w:sz="31" w:space="0" w:color="FFFFFF"/>
              <w:right w:val="nil"/>
            </w:tcBorders>
            <w:shd w:val="clear" w:color="auto" w:fill="FFFFFF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15F71">
        <w:trPr>
          <w:trHeight w:val="1827"/>
        </w:trPr>
        <w:tc>
          <w:tcPr>
            <w:tcW w:w="0" w:type="auto"/>
            <w:vMerge/>
            <w:tcBorders>
              <w:top w:val="nil"/>
              <w:left w:val="nil"/>
              <w:bottom w:val="single" w:sz="6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984" w:type="dxa"/>
            <w:gridSpan w:val="4"/>
            <w:tcBorders>
              <w:top w:val="single" w:sz="31" w:space="0" w:color="FFFFFF"/>
              <w:left w:val="nil"/>
              <w:bottom w:val="single" w:sz="6" w:space="0" w:color="000000"/>
              <w:right w:val="nil"/>
            </w:tcBorders>
          </w:tcPr>
          <w:p w:rsidR="00F15F71" w:rsidRDefault="00F974CD">
            <w:pPr>
              <w:tabs>
                <w:tab w:val="center" w:pos="4381"/>
                <w:tab w:val="center" w:pos="5514"/>
                <w:tab w:val="center" w:pos="6650"/>
              </w:tabs>
              <w:spacing w:after="191" w:line="259" w:lineRule="auto"/>
              <w:ind w:left="0" w:firstLine="0"/>
              <w:jc w:val="left"/>
            </w:pPr>
            <w:r>
              <w:t xml:space="preserve">а) тяжелой степени </w:t>
            </w:r>
            <w:r>
              <w:tab/>
              <w:t xml:space="preserve">Д </w:t>
            </w:r>
            <w:r>
              <w:tab/>
              <w:t xml:space="preserve">Д </w:t>
            </w:r>
            <w:r>
              <w:tab/>
              <w:t xml:space="preserve">Д </w:t>
            </w:r>
          </w:p>
          <w:p w:rsidR="00F15F71" w:rsidRDefault="00F974CD">
            <w:pPr>
              <w:tabs>
                <w:tab w:val="center" w:pos="4379"/>
                <w:tab w:val="center" w:pos="5512"/>
                <w:tab w:val="right" w:pos="7923"/>
              </w:tabs>
              <w:spacing w:after="193" w:line="259" w:lineRule="auto"/>
              <w:ind w:left="0" w:firstLine="0"/>
              <w:jc w:val="left"/>
            </w:pPr>
            <w:r>
              <w:t xml:space="preserve">б) средней степени тяжести </w:t>
            </w:r>
            <w:r>
              <w:tab/>
              <w:t xml:space="preserve">В </w:t>
            </w:r>
            <w:r>
              <w:tab/>
              <w:t xml:space="preserve">В </w:t>
            </w:r>
            <w:r>
              <w:tab/>
              <w:t xml:space="preserve">Б (В - ИНД) </w:t>
            </w:r>
          </w:p>
          <w:p w:rsidR="00F15F71" w:rsidRDefault="00F974CD">
            <w:pPr>
              <w:tabs>
                <w:tab w:val="center" w:pos="805"/>
                <w:tab w:val="center" w:pos="1855"/>
                <w:tab w:val="center" w:pos="2610"/>
                <w:tab w:val="center" w:pos="3231"/>
                <w:tab w:val="center" w:pos="4129"/>
                <w:tab w:val="center" w:pos="5512"/>
                <w:tab w:val="center" w:pos="6637"/>
              </w:tabs>
              <w:spacing w:after="0" w:line="259" w:lineRule="auto"/>
              <w:ind w:left="0" w:firstLine="0"/>
              <w:jc w:val="left"/>
            </w:pPr>
            <w:r>
              <w:t xml:space="preserve">в) </w:t>
            </w:r>
            <w:r>
              <w:tab/>
              <w:t xml:space="preserve">легкой </w:t>
            </w:r>
            <w:r>
              <w:tab/>
              <w:t xml:space="preserve">степени, </w:t>
            </w:r>
            <w:r>
              <w:tab/>
              <w:t xml:space="preserve">а </w:t>
            </w:r>
            <w:r>
              <w:tab/>
              <w:t xml:space="preserve">также </w:t>
            </w:r>
            <w:r>
              <w:tab/>
              <w:t xml:space="preserve">при В </w:t>
            </w:r>
            <w:r>
              <w:tab/>
              <w:t xml:space="preserve">В </w:t>
            </w:r>
            <w:r>
              <w:tab/>
              <w:t xml:space="preserve">Б </w:t>
            </w:r>
          </w:p>
          <w:p w:rsidR="00F15F71" w:rsidRDefault="00F974CD">
            <w:pPr>
              <w:spacing w:after="0" w:line="259" w:lineRule="auto"/>
              <w:ind w:left="0" w:right="3115" w:firstLine="0"/>
            </w:pPr>
            <w:r>
              <w:t xml:space="preserve">отсутствии симптомов в течение 5 лет и более при сохраняющейся измененной </w:t>
            </w:r>
          </w:p>
        </w:tc>
      </w:tr>
    </w:tbl>
    <w:p w:rsidR="00F15F71" w:rsidRDefault="00F974CD">
      <w:pPr>
        <w:spacing w:line="259" w:lineRule="auto"/>
        <w:ind w:left="1301" w:right="841"/>
      </w:pPr>
      <w:r>
        <w:t xml:space="preserve">реактивности бронхов </w:t>
      </w:r>
    </w:p>
    <w:p w:rsidR="00F15F71" w:rsidRDefault="00F974CD">
      <w:pPr>
        <w:spacing w:after="49" w:line="259" w:lineRule="auto"/>
        <w:ind w:left="-6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889701" cy="9144"/>
                <wp:effectExtent l="0" t="0" r="0" b="0"/>
                <wp:docPr id="223068" name="Group 2230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89701" cy="9144"/>
                          <a:chOff x="0" y="0"/>
                          <a:chExt cx="5889701" cy="9144"/>
                        </a:xfrm>
                      </wpg:grpSpPr>
                      <wps:wsp>
                        <wps:cNvPr id="277617" name="Shape 277617"/>
                        <wps:cNvSpPr/>
                        <wps:spPr>
                          <a:xfrm>
                            <a:off x="0" y="0"/>
                            <a:ext cx="81991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9912" h="9144">
                                <a:moveTo>
                                  <a:pt x="0" y="0"/>
                                </a:moveTo>
                                <a:lnTo>
                                  <a:pt x="819912" y="0"/>
                                </a:lnTo>
                                <a:lnTo>
                                  <a:pt x="81991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7618" name="Shape 277618"/>
                        <wps:cNvSpPr/>
                        <wps:spPr>
                          <a:xfrm>
                            <a:off x="819861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7619" name="Shape 277619"/>
                        <wps:cNvSpPr/>
                        <wps:spPr>
                          <a:xfrm>
                            <a:off x="829005" y="0"/>
                            <a:ext cx="272097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0975" h="9144">
                                <a:moveTo>
                                  <a:pt x="0" y="0"/>
                                </a:moveTo>
                                <a:lnTo>
                                  <a:pt x="2720975" y="0"/>
                                </a:lnTo>
                                <a:lnTo>
                                  <a:pt x="272097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7620" name="Shape 277620"/>
                        <wps:cNvSpPr/>
                        <wps:spPr>
                          <a:xfrm>
                            <a:off x="354998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7621" name="Shape 277621"/>
                        <wps:cNvSpPr/>
                        <wps:spPr>
                          <a:xfrm>
                            <a:off x="3559124" y="0"/>
                            <a:ext cx="71018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0184" h="9144">
                                <a:moveTo>
                                  <a:pt x="0" y="0"/>
                                </a:moveTo>
                                <a:lnTo>
                                  <a:pt x="710184" y="0"/>
                                </a:lnTo>
                                <a:lnTo>
                                  <a:pt x="71018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7622" name="Shape 277622"/>
                        <wps:cNvSpPr/>
                        <wps:spPr>
                          <a:xfrm>
                            <a:off x="4269308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7623" name="Shape 277623"/>
                        <wps:cNvSpPr/>
                        <wps:spPr>
                          <a:xfrm>
                            <a:off x="4278452" y="0"/>
                            <a:ext cx="71201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013" h="9144">
                                <a:moveTo>
                                  <a:pt x="0" y="0"/>
                                </a:moveTo>
                                <a:lnTo>
                                  <a:pt x="712013" y="0"/>
                                </a:lnTo>
                                <a:lnTo>
                                  <a:pt x="71201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7624" name="Shape 277624"/>
                        <wps:cNvSpPr/>
                        <wps:spPr>
                          <a:xfrm>
                            <a:off x="4990541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7625" name="Shape 277625"/>
                        <wps:cNvSpPr/>
                        <wps:spPr>
                          <a:xfrm>
                            <a:off x="4999685" y="0"/>
                            <a:ext cx="8900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0016" h="9144">
                                <a:moveTo>
                                  <a:pt x="0" y="0"/>
                                </a:moveTo>
                                <a:lnTo>
                                  <a:pt x="890016" y="0"/>
                                </a:lnTo>
                                <a:lnTo>
                                  <a:pt x="8900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23068" style="width:463.756pt;height:0.719971pt;mso-position-horizontal-relative:char;mso-position-vertical-relative:line" coordsize="58897,91">
                <v:shape id="Shape 277626" style="position:absolute;width:8199;height:91;left:0;top:0;" coordsize="819912,9144" path="m0,0l819912,0l819912,9144l0,9144l0,0">
                  <v:stroke weight="0pt" endcap="flat" joinstyle="miter" miterlimit="10" on="false" color="#000000" opacity="0"/>
                  <v:fill on="true" color="#000000"/>
                </v:shape>
                <v:shape id="Shape 277627" style="position:absolute;width:91;height:91;left:8198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7628" style="position:absolute;width:27209;height:91;left:8290;top:0;" coordsize="2720975,9144" path="m0,0l2720975,0l2720975,9144l0,9144l0,0">
                  <v:stroke weight="0pt" endcap="flat" joinstyle="miter" miterlimit="10" on="false" color="#000000" opacity="0"/>
                  <v:fill on="true" color="#000000"/>
                </v:shape>
                <v:shape id="Shape 277629" style="position:absolute;width:91;height:91;left:35499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7630" style="position:absolute;width:7101;height:91;left:35591;top:0;" coordsize="710184,9144" path="m0,0l710184,0l710184,9144l0,9144l0,0">
                  <v:stroke weight="0pt" endcap="flat" joinstyle="miter" miterlimit="10" on="false" color="#000000" opacity="0"/>
                  <v:fill on="true" color="#000000"/>
                </v:shape>
                <v:shape id="Shape 277631" style="position:absolute;width:91;height:91;left:42693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7632" style="position:absolute;width:7120;height:91;left:42784;top:0;" coordsize="712013,9144" path="m0,0l712013,0l712013,9144l0,9144l0,0">
                  <v:stroke weight="0pt" endcap="flat" joinstyle="miter" miterlimit="10" on="false" color="#000000" opacity="0"/>
                  <v:fill on="true" color="#000000"/>
                </v:shape>
                <v:shape id="Shape 277633" style="position:absolute;width:91;height:91;left:49905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7634" style="position:absolute;width:8900;height:91;left:49996;top:0;" coordsize="890016,9144" path="m0,0l890016,0l890016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F15F71" w:rsidRDefault="00F974CD">
      <w:pPr>
        <w:spacing w:after="0" w:line="281" w:lineRule="auto"/>
        <w:ind w:left="0" w:right="5" w:firstLine="0"/>
      </w:pPr>
      <w:r>
        <w:rPr>
          <w:i/>
          <w:sz w:val="20"/>
        </w:rPr>
        <w:t xml:space="preserve">Примечания: I графа – </w:t>
      </w:r>
      <w:r>
        <w:rPr>
          <w:i/>
          <w:sz w:val="20"/>
        </w:rPr>
        <w:t>граждане при первоначальной постановке на воинский учет, призыве на военную службу, и др., II графа - военнослужащие, не имеющие воинского звания офицера, проходящие или прошедшие военную службу по призыву и др.,</w:t>
      </w:r>
      <w:r>
        <w:rPr>
          <w:sz w:val="20"/>
        </w:rPr>
        <w:t xml:space="preserve"> </w:t>
      </w:r>
      <w:r>
        <w:rPr>
          <w:i/>
          <w:sz w:val="20"/>
        </w:rPr>
        <w:t>III графа - граждане, проходящие или прошед</w:t>
      </w:r>
      <w:r>
        <w:rPr>
          <w:i/>
          <w:sz w:val="20"/>
        </w:rPr>
        <w:t>шие военную службу по контракту, офицеры запаса (подробнее данные категории см. Положение о военно-врачебной службе). Категории годности к военной службе: Б - годен к военной службе с незначительными ограничениями; В - ограниченно годен к военной службе; Г</w:t>
      </w:r>
      <w:r>
        <w:rPr>
          <w:i/>
          <w:sz w:val="20"/>
        </w:rPr>
        <w:t xml:space="preserve"> - временно не годен к военной службе; Д - не годен к военной службе</w:t>
      </w:r>
      <w:r>
        <w:rPr>
          <w:i/>
        </w:rPr>
        <w:t xml:space="preserve">. </w:t>
      </w:r>
    </w:p>
    <w:p w:rsidR="00F15F71" w:rsidRDefault="00F974CD">
      <w:pPr>
        <w:spacing w:after="0" w:line="259" w:lineRule="auto"/>
        <w:ind w:left="0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3" w:firstLine="710"/>
      </w:pPr>
      <w:r>
        <w:rPr>
          <w:i/>
        </w:rPr>
        <w:t>Основополагающим является сбор и анализ медицинской документации, сбор жалоб и анамнеза, проведение спирометрии (исследование неспровоцированных дыхательных объемов и потоков), бронхо</w:t>
      </w:r>
      <w:r>
        <w:rPr>
          <w:i/>
        </w:rPr>
        <w:t>дилятационного теста, и, при необходимости, бронхоконстрикторного теста с физической нагрузкой. Следует учитывать физиологические особенности течения БА и частую спонтанную ремиссию в пубертатном периоде, ассоциированную с нормальным показателями при иссле</w:t>
      </w:r>
      <w:r>
        <w:rPr>
          <w:i/>
        </w:rPr>
        <w:t xml:space="preserve">довании функции внешнего дыхания. Нормальные исходные показатели ФВД, отрицательные бронхолитические и бронхоконстрикторные тесты при наличии медицинской документации о ранее установленном диагнозе БА не являются основанием для снятия диагноза БА. </w:t>
      </w:r>
    </w:p>
    <w:p w:rsidR="00F15F71" w:rsidRDefault="00F974CD">
      <w:pPr>
        <w:spacing w:after="253" w:line="387" w:lineRule="auto"/>
        <w:ind w:left="-15" w:right="4" w:firstLine="710"/>
      </w:pPr>
      <w:r>
        <w:rPr>
          <w:i/>
        </w:rPr>
        <w:t>Освидет</w:t>
      </w:r>
      <w:r>
        <w:rPr>
          <w:i/>
        </w:rPr>
        <w:t>ельствование при впервые выявленных признаках БА проводится только после обследования в стационарных условиях. При наличии БА, подтвержденной медицинскими документами о лечении в стационарных условиях и обращениях за медицинской помощью, заключение о катег</w:t>
      </w:r>
      <w:r>
        <w:rPr>
          <w:i/>
        </w:rPr>
        <w:t>ории годности к военной службе граждан, освидетельствуемых по графам I, II, III расписания болезней (за исключением военнослужащих, проходящих военную службу по призыву), может быть вынесено без обследования в стационарных условиях. При отсутствии документ</w:t>
      </w:r>
      <w:r>
        <w:rPr>
          <w:i/>
        </w:rPr>
        <w:t xml:space="preserve">ального подтверждения анамнеза заболевания верифицирующими тестами диагноза бронхиальной астмы при стойкой ремиссии являются фармакологические и (или) физические бронхопровокационные тесты. </w:t>
      </w:r>
    </w:p>
    <w:p w:rsidR="00F15F71" w:rsidRDefault="00F974CD">
      <w:pPr>
        <w:pStyle w:val="Heading4"/>
        <w:spacing w:after="161" w:line="259" w:lineRule="auto"/>
        <w:ind w:left="703"/>
        <w:jc w:val="left"/>
      </w:pPr>
      <w:bookmarkStart w:id="21" w:name="_Toc275178"/>
      <w:r>
        <w:rPr>
          <w:u w:val="single" w:color="000000"/>
        </w:rPr>
        <w:t>2.6 Дифференциальная диагностика БА</w:t>
      </w:r>
      <w:r>
        <w:t xml:space="preserve"> </w:t>
      </w:r>
      <w:bookmarkEnd w:id="21"/>
    </w:p>
    <w:p w:rsidR="00F15F71" w:rsidRDefault="00F974CD">
      <w:pPr>
        <w:spacing w:line="387" w:lineRule="auto"/>
        <w:ind w:left="-15" w:right="3" w:firstLine="710"/>
      </w:pPr>
      <w:r>
        <w:rPr>
          <w:i/>
        </w:rPr>
        <w:t>Дифференциальную диагностику</w:t>
      </w:r>
      <w:r>
        <w:rPr>
          <w:i/>
        </w:rPr>
        <w:t xml:space="preserve"> БА у детей младше 5 лет рекомендовано проводить со следующими заболеваниями: рецидивирующие респираторные инфекции, гастроэзофагальный рефлюкс, коклюш, аспирация инородного тела, персистирующий бактериальный бронхит, врожденные структурные аномалии (напри</w:t>
      </w:r>
      <w:r>
        <w:rPr>
          <w:i/>
        </w:rPr>
        <w:t>мер, трахеомаляция, врожденная бронхогенная киста), туберкулез, кистозный фиброз, врожденные пороки сердца, первичная цилиарная дискинезия, сосудистое кольцо, бронхолегочная дисплазия, первичный иммунодефицит, ларингеальная дисфункция. У детей старше 6 лет</w:t>
      </w:r>
      <w:r>
        <w:rPr>
          <w:i/>
        </w:rPr>
        <w:t>, кроме вышеуказанных, также с индуцированной ларингеальной обструкцией, гипервентиляцией, дисфункциональным дыханием, дефицитом альфа1антитрипсина,</w:t>
      </w:r>
      <w:r>
        <w:t xml:space="preserve"> </w:t>
      </w:r>
      <w:r>
        <w:rPr>
          <w:i/>
        </w:rPr>
        <w:t>эозинофильный гранулематоз с полиангиитом (ЭГПА). У лиц старше 18 лет, кроме вышеуказанных: хроническая обс</w:t>
      </w:r>
      <w:r>
        <w:rPr>
          <w:i/>
        </w:rPr>
        <w:t xml:space="preserve">труктивная болезнь легких (ХОБЛ), гиперэозинофильный синдром, аллергический бронхолегочный аспергилез (АБЛА), тромбоэмболия легочной артерии, сердечная недостаточность, интерстициальные заболевания легких, центральная обструкция дыхательных путей, кашель, </w:t>
      </w:r>
      <w:r>
        <w:rPr>
          <w:i/>
        </w:rPr>
        <w:t xml:space="preserve">связанный с приемом лекарств (например, ингибиторов АПФ). Типичные проявления некоторых патологических процессов, с которыми следует проводить дифференциальную диагностику предоставлены в Приложении Б9 и Б10. </w:t>
      </w:r>
    </w:p>
    <w:p w:rsidR="00F15F71" w:rsidRDefault="00F974CD">
      <w:pPr>
        <w:spacing w:after="393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pStyle w:val="Heading1"/>
        <w:spacing w:after="0" w:line="376" w:lineRule="auto"/>
        <w:ind w:right="0"/>
      </w:pPr>
      <w:bookmarkStart w:id="22" w:name="_Toc275179"/>
      <w:r>
        <w:t xml:space="preserve">3. Лечение, включая медикаментозную и немедикаментозную терапии, диетотерапию, обезболивание, медицинские показания и противопоказания к применению методов лечения </w:t>
      </w:r>
      <w:bookmarkEnd w:id="22"/>
    </w:p>
    <w:p w:rsidR="00F15F71" w:rsidRDefault="00F974CD">
      <w:pPr>
        <w:spacing w:after="113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line="387" w:lineRule="auto"/>
        <w:ind w:left="-15" w:right="3" w:firstLine="710"/>
      </w:pPr>
      <w:r>
        <w:rPr>
          <w:i/>
        </w:rPr>
        <w:t>Основной целью современной терапии БА является достижение и поддержание контроля над симп</w:t>
      </w:r>
      <w:r>
        <w:rPr>
          <w:i/>
        </w:rPr>
        <w:t xml:space="preserve">томами БА в течение длительного времени и минимизация рисков будущих обострений БА, фиксированной обструкции и нежелательных побочных эффектов от проводимой терапии.  </w:t>
      </w:r>
    </w:p>
    <w:p w:rsidR="00F15F71" w:rsidRDefault="00F974CD">
      <w:pPr>
        <w:pStyle w:val="Heading4"/>
        <w:spacing w:after="161" w:line="259" w:lineRule="auto"/>
        <w:ind w:left="703"/>
        <w:jc w:val="left"/>
      </w:pPr>
      <w:bookmarkStart w:id="23" w:name="_Toc275180"/>
      <w:r>
        <w:rPr>
          <w:u w:val="single" w:color="000000"/>
        </w:rPr>
        <w:t>3.1 Медикаментозная терапия</w:t>
      </w:r>
      <w:r>
        <w:t xml:space="preserve"> </w:t>
      </w:r>
      <w:bookmarkEnd w:id="23"/>
    </w:p>
    <w:p w:rsidR="00F15F71" w:rsidRDefault="00F974CD">
      <w:pPr>
        <w:pStyle w:val="Heading5"/>
        <w:spacing w:after="115"/>
        <w:ind w:left="703"/>
      </w:pPr>
      <w:bookmarkStart w:id="24" w:name="_Toc275181"/>
      <w:r>
        <w:t>3.1.1 Лечение стабильной астмы</w:t>
      </w:r>
      <w:r>
        <w:rPr>
          <w:u w:val="none"/>
        </w:rPr>
        <w:t xml:space="preserve"> </w:t>
      </w:r>
      <w:bookmarkEnd w:id="24"/>
    </w:p>
    <w:p w:rsidR="00F15F71" w:rsidRDefault="00F974CD">
      <w:pPr>
        <w:spacing w:line="387" w:lineRule="auto"/>
        <w:ind w:left="-15" w:right="13" w:firstLine="710"/>
      </w:pPr>
      <w:r>
        <w:rPr>
          <w:i/>
        </w:rPr>
        <w:t xml:space="preserve">При лечении БА рекомендуется использовать ступенчатый подход, корректируя объем терапии в зависимости от уровня контроля и наличия факторов риска обострений БА (Рис. 1-3, Табл. 7-8). </w:t>
      </w:r>
    </w:p>
    <w:p w:rsidR="00F15F71" w:rsidRDefault="00F974CD">
      <w:pPr>
        <w:spacing w:line="387" w:lineRule="auto"/>
        <w:ind w:left="-15" w:right="5" w:firstLine="710"/>
      </w:pPr>
      <w:r>
        <w:rPr>
          <w:i/>
        </w:rPr>
        <w:t>Каждая ступень включает варианты терапии, которые могут служить альтерна</w:t>
      </w:r>
      <w:r>
        <w:rPr>
          <w:i/>
        </w:rPr>
        <w:t xml:space="preserve">тивами при выборе поддерживающей терапии БА, хотя и не являются одинаковыми по эффективности (Рис. 1-3). Первоначальный выбор ступени терапии зависит от выраженности клинических проявлений БА и наличия факторов риска обострений заболевания (Табл 7-8). </w:t>
      </w:r>
    </w:p>
    <w:p w:rsidR="00F15F71" w:rsidRDefault="00F974CD">
      <w:pPr>
        <w:spacing w:line="387" w:lineRule="auto"/>
        <w:ind w:left="-15" w:right="12" w:firstLine="710"/>
      </w:pPr>
      <w:r>
        <w:rPr>
          <w:i/>
        </w:rPr>
        <w:t>Пре</w:t>
      </w:r>
      <w:r>
        <w:rPr>
          <w:i/>
        </w:rPr>
        <w:t>длагается на выбор две схемы выбора препаратов для контролирующей (базисной) и симптоматической (для купирования симптомов) терапии. Первая схема является предпочтительной (Рис.1-3)</w:t>
      </w:r>
      <w:r>
        <w:t xml:space="preserve"> </w:t>
      </w: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10" w:firstLine="710"/>
      </w:pPr>
      <w:r>
        <w:rPr>
          <w:i/>
        </w:rPr>
        <w:t>Увеличение объема терапии (шаг вверх согласно ступенчатому подходу к леч</w:t>
      </w:r>
      <w:r>
        <w:rPr>
          <w:i/>
        </w:rPr>
        <w:t>ению) следует проводить, если БА остается неконтролируемой, несмотря на хорошую приверженность к лечению и правильную технику использования ингалятора. Прежде чем пересмотреть объем лечения необходимо убедиться, что пациент выполняет все рекомендации, не д</w:t>
      </w:r>
      <w:r>
        <w:rPr>
          <w:i/>
        </w:rPr>
        <w:t xml:space="preserve">опускает ошибок при использовании устройства доставки лекарственного средства, симптомы пациента вызваны именно БА, отсутствует воздействие причинно-значимого аллергена и фактор мультиморбидности. </w:t>
      </w:r>
    </w:p>
    <w:p w:rsidR="00F15F71" w:rsidRDefault="00F974CD">
      <w:pPr>
        <w:spacing w:line="387" w:lineRule="auto"/>
        <w:ind w:left="-15" w:right="5" w:firstLine="710"/>
      </w:pPr>
      <w:r>
        <w:rPr>
          <w:i/>
        </w:rPr>
        <w:t>Снижение объема терапии показано при достижении и сохранен</w:t>
      </w:r>
      <w:r>
        <w:rPr>
          <w:i/>
        </w:rPr>
        <w:t>ии стабильного контроля ≥ 3 месяцев и отсутствии факторов риска с целью установления минимального объема терапии и наименьших доз препаратов, достаточных для поддержания контроля.</w:t>
      </w:r>
      <w:r>
        <w:t xml:space="preserve"> </w:t>
      </w:r>
      <w:r>
        <w:rPr>
          <w:i/>
        </w:rPr>
        <w:t>При принятии решения, какой препарат снижать первым и с какой скоростью, рек</w:t>
      </w:r>
      <w:r>
        <w:rPr>
          <w:i/>
        </w:rPr>
        <w:t>омендуется принять во внимание тяжесть БА, побочные эффекты лечения, продолжительность приема текущей дозы, достигнутый положительный эффект и предпочтения пациента. Снижение дозы ИГКС должно быть медленным в связи с возможностью развития обострения. При д</w:t>
      </w:r>
      <w:r>
        <w:rPr>
          <w:i/>
        </w:rPr>
        <w:t xml:space="preserve">остаточном контроле возможно снижение дозы каждые три месяца, примерно на 25-50%. </w:t>
      </w:r>
    </w:p>
    <w:p w:rsidR="00F15F71" w:rsidRDefault="00F974CD">
      <w:pPr>
        <w:spacing w:line="387" w:lineRule="auto"/>
        <w:ind w:left="-15" w:right="5" w:firstLine="710"/>
      </w:pPr>
      <w:r>
        <w:rPr>
          <w:i/>
        </w:rPr>
        <w:t>К факторам риска обострений после уменьшения объема терапии относят наличие обострений в анамнезе и/или госпитализаций по поводу обострения БА в течение предыдущих 12 месяце</w:t>
      </w:r>
      <w:r>
        <w:rPr>
          <w:i/>
        </w:rPr>
        <w:t xml:space="preserve">в, низкий исходный уровень ОФВ1 </w:t>
      </w:r>
      <w:r>
        <w:t>[118–124]</w:t>
      </w:r>
      <w:r>
        <w:rPr>
          <w:i/>
        </w:rPr>
        <w:t xml:space="preserve">. Бронхиальная гиперреактивность и эозинофилия в мокроте так же являются предикторами возможной потери контроля над БА при снижении дозы поддерживающего лечения </w:t>
      </w:r>
    </w:p>
    <w:p w:rsidR="00F15F71" w:rsidRDefault="00F974CD">
      <w:pPr>
        <w:spacing w:after="159" w:line="259" w:lineRule="auto"/>
        <w:ind w:left="10" w:right="841"/>
      </w:pPr>
      <w:r>
        <w:t>[125]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firstLine="710"/>
      </w:pPr>
      <w:r>
        <w:rPr>
          <w:i/>
        </w:rPr>
        <w:t xml:space="preserve">План действий по уменьшению объема терапии - </w:t>
      </w:r>
      <w:r>
        <w:rPr>
          <w:i/>
        </w:rPr>
        <w:t xml:space="preserve">снижению ступени лечения, у взрослых и подростков с хорошо контролируемой астмой представлен в Приложении </w:t>
      </w:r>
    </w:p>
    <w:p w:rsidR="00F15F71" w:rsidRDefault="00F974CD">
      <w:pPr>
        <w:spacing w:after="115" w:line="259" w:lineRule="auto"/>
        <w:ind w:left="-15" w:right="840" w:firstLine="0"/>
      </w:pPr>
      <w:r>
        <w:rPr>
          <w:i/>
        </w:rPr>
        <w:t xml:space="preserve">Б16.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15F71">
      <w:pPr>
        <w:sectPr w:rsidR="00F15F71">
          <w:footerReference w:type="even" r:id="rId8"/>
          <w:footerReference w:type="default" r:id="rId9"/>
          <w:footerReference w:type="first" r:id="rId10"/>
          <w:footnotePr>
            <w:numRestart w:val="eachPage"/>
          </w:footnotePr>
          <w:pgSz w:w="11906" w:h="16838"/>
          <w:pgMar w:top="482" w:right="842" w:bottom="1158" w:left="1702" w:header="720" w:footer="720" w:gutter="0"/>
          <w:cols w:space="720"/>
          <w:titlePg/>
        </w:sectPr>
      </w:pPr>
    </w:p>
    <w:p w:rsidR="00F15F71" w:rsidRDefault="00F974CD">
      <w:pPr>
        <w:spacing w:after="94" w:line="270" w:lineRule="auto"/>
        <w:ind w:left="718" w:right="10"/>
      </w:pPr>
      <w:r>
        <w:rPr>
          <w:b/>
        </w:rPr>
        <w:t xml:space="preserve">Рис. 1 Ступенчатая терапия БА для подростков с 12 лет и взрослых </w:t>
      </w:r>
    </w:p>
    <w:p w:rsidR="00F15F71" w:rsidRDefault="00F974CD">
      <w:pPr>
        <w:spacing w:after="60" w:line="259" w:lineRule="auto"/>
        <w:ind w:left="0" w:right="914" w:firstLine="0"/>
        <w:jc w:val="right"/>
      </w:pPr>
      <w:r>
        <w:rPr>
          <w:noProof/>
        </w:rPr>
        <w:drawing>
          <wp:inline distT="0" distB="0" distL="0" distR="0">
            <wp:extent cx="8633460" cy="4850765"/>
            <wp:effectExtent l="0" t="0" r="0" b="0"/>
            <wp:docPr id="9132" name="Picture 9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2" name="Picture 913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633460" cy="485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15" w:line="259" w:lineRule="auto"/>
        <w:ind w:left="0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0" w:line="259" w:lineRule="auto"/>
        <w:ind w:left="0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after="164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92" w:line="270" w:lineRule="auto"/>
        <w:ind w:left="718" w:right="10"/>
      </w:pPr>
      <w:r>
        <w:rPr>
          <w:b/>
        </w:rPr>
        <w:t xml:space="preserve">Рис. 2 Ступенчатая терапия БА для детей от 6 до 11 лет </w:t>
      </w:r>
    </w:p>
    <w:p w:rsidR="00F15F71" w:rsidRDefault="00F974CD">
      <w:pPr>
        <w:spacing w:after="62" w:line="259" w:lineRule="auto"/>
        <w:ind w:left="708" w:firstLine="0"/>
        <w:jc w:val="left"/>
      </w:pPr>
      <w:r>
        <w:rPr>
          <w:noProof/>
        </w:rPr>
        <w:drawing>
          <wp:inline distT="0" distB="0" distL="0" distR="0">
            <wp:extent cx="7183756" cy="4049395"/>
            <wp:effectExtent l="0" t="0" r="0" b="0"/>
            <wp:docPr id="9151" name="Picture 91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1" name="Picture 9151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183756" cy="40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F15F71" w:rsidRDefault="00F974CD">
      <w:pPr>
        <w:spacing w:after="10" w:line="269" w:lineRule="auto"/>
        <w:ind w:left="577"/>
      </w:pPr>
      <w:r>
        <w:rPr>
          <w:b/>
          <w:sz w:val="20"/>
        </w:rPr>
        <w:t>Примечание:</w:t>
      </w:r>
      <w:r>
        <w:rPr>
          <w:sz w:val="20"/>
        </w:rPr>
        <w:t xml:space="preserve"> ИГКС – ингаляционные глкюкортикостероиды, КДБА – коротко действующие β2-агонисты, ДДБА </w:t>
      </w:r>
      <w:r>
        <w:rPr>
          <w:sz w:val="20"/>
        </w:rPr>
        <w:t xml:space="preserve">- длительно действующие β2-агонисты </w:t>
      </w:r>
    </w:p>
    <w:p w:rsidR="00F15F71" w:rsidRDefault="00F974CD">
      <w:pPr>
        <w:spacing w:after="10" w:line="269" w:lineRule="auto"/>
        <w:ind w:left="-15" w:firstLine="708"/>
      </w:pPr>
      <w:r>
        <w:rPr>
          <w:sz w:val="20"/>
        </w:rPr>
        <w:t>ДДАХ – длительно действующие антихолинергические средства, АЛТР – антагонисты лейкотриеновых рецепторов; ИГКС – ингаляционные глюкокортикостероиды – (код по АТХ R01AD), сГКС – системные глюкокортикостероиды, СИТ – аллер</w:t>
      </w:r>
      <w:r>
        <w:rPr>
          <w:sz w:val="20"/>
        </w:rPr>
        <w:t xml:space="preserve">ген-специфическая иммунотерапия, КДП – клещ домашней пыли. Очень низкие дозы: БУД-ФОРМ 100/6 мкг </w:t>
      </w:r>
    </w:p>
    <w:p w:rsidR="00F15F71" w:rsidRDefault="00F974CD">
      <w:pPr>
        <w:spacing w:after="10" w:line="269" w:lineRule="auto"/>
        <w:ind w:left="577"/>
      </w:pPr>
      <w:r>
        <w:rPr>
          <w:sz w:val="20"/>
        </w:rPr>
        <w:t xml:space="preserve">† Низкие дозы: БУД-ФОРМ 200/6 мкг (отмеренные дозы). </w:t>
      </w:r>
    </w:p>
    <w:p w:rsidR="00F15F71" w:rsidRDefault="00F974CD">
      <w:pPr>
        <w:spacing w:after="990" w:line="269" w:lineRule="auto"/>
        <w:ind w:left="-15" w:firstLine="567"/>
      </w:pPr>
      <w:r>
        <w:rPr>
          <w:sz w:val="20"/>
        </w:rPr>
        <w:t>*В настоящее время у детей 6-11 лет препарат Симбикорт® не зарегистрирован для комбинированной терапии в</w:t>
      </w:r>
      <w:r>
        <w:rPr>
          <w:sz w:val="20"/>
        </w:rPr>
        <w:t xml:space="preserve"> режиме одного ингалятора терапии легкой бронхиальной астмы и для купирования симптомов </w:t>
      </w:r>
    </w:p>
    <w:p w:rsidR="00F15F71" w:rsidRDefault="00F974CD">
      <w:pPr>
        <w:spacing w:after="155" w:line="259" w:lineRule="auto"/>
        <w:ind w:left="716"/>
        <w:jc w:val="center"/>
      </w:pPr>
      <w:r>
        <w:t xml:space="preserve"> 47 </w:t>
      </w:r>
    </w:p>
    <w:p w:rsidR="00F15F71" w:rsidRDefault="00F974CD">
      <w:pPr>
        <w:spacing w:after="0" w:line="259" w:lineRule="auto"/>
        <w:ind w:left="0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after="164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65" w:line="270" w:lineRule="auto"/>
        <w:ind w:left="718" w:right="10"/>
      </w:pPr>
      <w:r>
        <w:rPr>
          <w:b/>
        </w:rPr>
        <w:t xml:space="preserve">Рис. 3 Ступенчатая терапия БА для детей до 5 лет </w:t>
      </w:r>
    </w:p>
    <w:p w:rsidR="00F15F71" w:rsidRDefault="00F974CD">
      <w:pPr>
        <w:spacing w:after="7" w:line="259" w:lineRule="auto"/>
        <w:ind w:left="567" w:firstLine="0"/>
        <w:jc w:val="left"/>
      </w:pPr>
      <w:r>
        <w:rPr>
          <w:sz w:val="20"/>
        </w:rPr>
        <w:t xml:space="preserve"> </w:t>
      </w:r>
    </w:p>
    <w:p w:rsidR="00F15F71" w:rsidRDefault="00F974CD">
      <w:pPr>
        <w:spacing w:after="0" w:line="259" w:lineRule="auto"/>
        <w:ind w:left="0" w:right="2499" w:firstLine="0"/>
        <w:jc w:val="center"/>
      </w:pPr>
      <w:r>
        <w:rPr>
          <w:noProof/>
        </w:rPr>
        <w:drawing>
          <wp:inline distT="0" distB="0" distL="0" distR="0">
            <wp:extent cx="6908165" cy="4319270"/>
            <wp:effectExtent l="0" t="0" r="0" b="0"/>
            <wp:docPr id="9241" name="Picture 92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1" name="Picture 9241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90816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15F71" w:rsidRDefault="00F974CD">
      <w:pPr>
        <w:spacing w:after="10" w:line="269" w:lineRule="auto"/>
        <w:ind w:left="577"/>
      </w:pPr>
      <w:r>
        <w:rPr>
          <w:b/>
          <w:sz w:val="20"/>
        </w:rPr>
        <w:t>Примечание:</w:t>
      </w:r>
      <w:r>
        <w:rPr>
          <w:sz w:val="20"/>
        </w:rPr>
        <w:t xml:space="preserve"> ИГКС – ингаляционные глкюкортикостероиды, КДБА – коротко действующие β2-агонисты, ДДБА - </w:t>
      </w:r>
      <w:r>
        <w:rPr>
          <w:sz w:val="20"/>
        </w:rPr>
        <w:t xml:space="preserve">длительно действующие β2-агонисты </w:t>
      </w:r>
    </w:p>
    <w:p w:rsidR="00F15F71" w:rsidRDefault="00F974CD">
      <w:pPr>
        <w:spacing w:after="1353" w:line="269" w:lineRule="auto"/>
        <w:ind w:left="-15" w:firstLine="567"/>
      </w:pPr>
      <w:r>
        <w:rPr>
          <w:sz w:val="20"/>
        </w:rPr>
        <w:t>ДДАХ – длительно действующие антихолинергические средства, АЛТР – антагонисты лейкотриеновых рецепторов; ИГКС – ингаляционные глюкокортикостероиды – (код по АТХ R01AD).</w:t>
      </w:r>
      <w:r>
        <w:t xml:space="preserve">  </w:t>
      </w:r>
    </w:p>
    <w:p w:rsidR="00F15F71" w:rsidRDefault="00F974CD">
      <w:pPr>
        <w:spacing w:after="155" w:line="259" w:lineRule="auto"/>
        <w:ind w:left="716"/>
        <w:jc w:val="center"/>
      </w:pPr>
      <w:r>
        <w:t xml:space="preserve"> 48 </w:t>
      </w:r>
    </w:p>
    <w:p w:rsidR="00F15F71" w:rsidRDefault="00F15F71">
      <w:pPr>
        <w:sectPr w:rsidR="00F15F71">
          <w:footerReference w:type="even" r:id="rId14"/>
          <w:footerReference w:type="default" r:id="rId15"/>
          <w:footerReference w:type="first" r:id="rId16"/>
          <w:footnotePr>
            <w:numRestart w:val="eachPage"/>
          </w:footnotePr>
          <w:pgSz w:w="16838" w:h="11906" w:orient="landscape"/>
          <w:pgMar w:top="717" w:right="1133" w:bottom="709" w:left="1133" w:header="720" w:footer="720" w:gutter="0"/>
          <w:cols w:space="720"/>
        </w:sectPr>
      </w:pPr>
    </w:p>
    <w:p w:rsidR="00F15F71" w:rsidRDefault="00F974CD">
      <w:pPr>
        <w:spacing w:line="270" w:lineRule="auto"/>
        <w:ind w:left="-5" w:right="10"/>
      </w:pPr>
      <w:r>
        <w:rPr>
          <w:b/>
        </w:rPr>
        <w:t>Таблица 7</w:t>
      </w:r>
      <w:r>
        <w:rPr>
          <w:b/>
        </w:rPr>
        <w:t>. Стартовая терапия БА (взрослые и дети старше 12 лет</w:t>
      </w:r>
      <w:r>
        <w:t xml:space="preserve">)  </w:t>
      </w:r>
    </w:p>
    <w:p w:rsidR="00F15F71" w:rsidRDefault="00F974CD">
      <w:pPr>
        <w:spacing w:after="0" w:line="259" w:lineRule="auto"/>
        <w:ind w:left="0" w:firstLine="0"/>
        <w:jc w:val="left"/>
      </w:pPr>
      <w:r>
        <w:t xml:space="preserve"> </w:t>
      </w:r>
    </w:p>
    <w:tbl>
      <w:tblPr>
        <w:tblStyle w:val="TableGrid"/>
        <w:tblW w:w="9573" w:type="dxa"/>
        <w:tblInd w:w="-108" w:type="dxa"/>
        <w:tblCellMar>
          <w:top w:w="61" w:type="dxa"/>
          <w:left w:w="106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3190"/>
        <w:gridCol w:w="2448"/>
        <w:gridCol w:w="3934"/>
      </w:tblGrid>
      <w:tr w:rsidR="00F15F71">
        <w:trPr>
          <w:trHeight w:val="564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Клинические проявления БА </w:t>
            </w:r>
          </w:p>
        </w:tc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Предпочтительная стартовая терапия 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right" w:pos="3778"/>
              </w:tabs>
              <w:spacing w:after="30" w:line="259" w:lineRule="auto"/>
              <w:ind w:left="0" w:firstLine="0"/>
              <w:jc w:val="left"/>
            </w:pPr>
            <w:r>
              <w:rPr>
                <w:b/>
              </w:rPr>
              <w:t xml:space="preserve">Альтернативная </w:t>
            </w:r>
            <w:r>
              <w:rPr>
                <w:b/>
              </w:rPr>
              <w:tab/>
              <w:t xml:space="preserve">стартовая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терапия  </w:t>
            </w:r>
          </w:p>
        </w:tc>
      </w:tr>
      <w:tr w:rsidR="00F15F71">
        <w:trPr>
          <w:trHeight w:val="2218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7" w:lineRule="auto"/>
              <w:ind w:left="2" w:firstLine="0"/>
              <w:jc w:val="left"/>
            </w:pPr>
            <w:r>
              <w:t xml:space="preserve">Нечастые симптомы астмы, например, реже двух раз в месяц и </w:t>
            </w:r>
          </w:p>
          <w:p w:rsidR="00F15F71" w:rsidRDefault="00F974CD">
            <w:pPr>
              <w:spacing w:after="0" w:line="259" w:lineRule="auto"/>
              <w:ind w:left="2" w:right="262" w:firstLine="0"/>
              <w:jc w:val="left"/>
            </w:pPr>
            <w:r>
              <w:t xml:space="preserve">отсутствие факторов риска обострений, включая отсутствие обострений в течение предыдущих 12 мес </w:t>
            </w:r>
          </w:p>
        </w:tc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Низкие дозы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ИГКС+формотерол по потребности 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" w:line="278" w:lineRule="auto"/>
              <w:ind w:left="0" w:firstLine="0"/>
              <w:jc w:val="left"/>
            </w:pPr>
            <w:r>
              <w:t xml:space="preserve">Низкие дозы ИГКС каждый раз при применении КДБА </w:t>
            </w:r>
          </w:p>
          <w:p w:rsidR="00F15F71" w:rsidRDefault="00F974CD">
            <w:pPr>
              <w:spacing w:after="0" w:line="258" w:lineRule="auto"/>
              <w:ind w:left="0" w:firstLine="0"/>
              <w:jc w:val="left"/>
            </w:pPr>
            <w:r>
              <w:t xml:space="preserve">(комбинированный препарат или </w:t>
            </w:r>
            <w:r>
              <w:t xml:space="preserve">использование двух ингаляторов поочередно)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15F71">
        <w:trPr>
          <w:trHeight w:val="1390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2" w:firstLine="0"/>
              <w:jc w:val="left"/>
            </w:pPr>
            <w:r>
              <w:t xml:space="preserve">Симптомы БА или потребность в лекарственном препарате для облегчения симптомов  два раза в месяц или чаще </w:t>
            </w:r>
          </w:p>
        </w:tc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Низкие дозы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ИГКС+формотерол по потребности 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376" w:firstLine="0"/>
              <w:jc w:val="left"/>
            </w:pPr>
            <w:r>
              <w:t xml:space="preserve">Низкие дозы ИГКС ежедневно +  по потребности КДБА. </w:t>
            </w:r>
            <w:r>
              <w:t xml:space="preserve">Уточнить у пациента приверженность к ежедневному применению ИГКС </w:t>
            </w:r>
          </w:p>
        </w:tc>
      </w:tr>
      <w:tr w:rsidR="00F15F71">
        <w:trPr>
          <w:trHeight w:val="2494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78" w:lineRule="auto"/>
              <w:ind w:left="2" w:firstLine="0"/>
              <w:jc w:val="left"/>
            </w:pPr>
            <w:r>
              <w:t>Симптомы БА несколько дней в неделю (например, 4-</w:t>
            </w:r>
          </w:p>
          <w:p w:rsidR="00F15F71" w:rsidRDefault="00F974CD">
            <w:pPr>
              <w:spacing w:after="0" w:line="259" w:lineRule="auto"/>
              <w:ind w:left="2" w:right="383" w:firstLine="0"/>
              <w:jc w:val="left"/>
            </w:pPr>
            <w:r>
              <w:t xml:space="preserve">5 дней в неделю);  или пробуждение из-за астмы один раз в  неделю или чаще, в особенности при наличии факторов риска  </w:t>
            </w:r>
          </w:p>
        </w:tc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8" w:lineRule="auto"/>
              <w:ind w:left="2" w:firstLine="0"/>
              <w:jc w:val="left"/>
            </w:pPr>
            <w:r>
              <w:t>Базисная терапия низ</w:t>
            </w:r>
            <w:r>
              <w:t xml:space="preserve">кими дозами ИГКС+формотерола </w:t>
            </w:r>
          </w:p>
          <w:p w:rsidR="00F15F71" w:rsidRDefault="00F974CD">
            <w:pPr>
              <w:spacing w:after="21" w:line="259" w:lineRule="auto"/>
              <w:ind w:left="2" w:firstLine="0"/>
            </w:pPr>
            <w:r>
              <w:t xml:space="preserve">+ ИГКС+формотерол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по потребности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 xml:space="preserve">Низкие дозы ИГКС/ДДБА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(базисная терапия) </w:t>
            </w:r>
          </w:p>
          <w:p w:rsidR="00F15F71" w:rsidRDefault="00F974CD">
            <w:pPr>
              <w:spacing w:after="21" w:line="259" w:lineRule="auto"/>
              <w:ind w:left="0" w:firstLine="0"/>
              <w:jc w:val="left"/>
            </w:pPr>
            <w:r>
              <w:t xml:space="preserve">+ по потребности КДБА или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ИГКС+КДБА </w:t>
            </w:r>
          </w:p>
          <w:p w:rsidR="00F15F71" w:rsidRDefault="00F974CD">
            <w:pPr>
              <w:spacing w:after="18" w:line="259" w:lineRule="auto"/>
              <w:ind w:left="0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 xml:space="preserve">Или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Средние дозы ИГКС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+ по потребности КДБА или ИГКС+КДБА </w:t>
            </w:r>
          </w:p>
        </w:tc>
      </w:tr>
      <w:tr w:rsidR="00F15F71">
        <w:trPr>
          <w:trHeight w:val="3874"/>
        </w:trPr>
        <w:tc>
          <w:tcPr>
            <w:tcW w:w="3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Дебют тяжелой неконтролируемой БА или наличие тяжелого обострения заболевания </w:t>
            </w:r>
          </w:p>
        </w:tc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8" w:lineRule="auto"/>
              <w:ind w:left="2" w:firstLine="0"/>
              <w:jc w:val="left"/>
            </w:pPr>
            <w:r>
              <w:t xml:space="preserve">Базисная терапия средними дозами ИГКС+формотерола </w:t>
            </w:r>
          </w:p>
          <w:p w:rsidR="00F15F71" w:rsidRDefault="00F974CD">
            <w:pPr>
              <w:spacing w:after="21" w:line="259" w:lineRule="auto"/>
              <w:ind w:left="2" w:firstLine="0"/>
            </w:pPr>
            <w:r>
              <w:t xml:space="preserve">+ ИГКС+формотерол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по потребности </w:t>
            </w:r>
          </w:p>
          <w:p w:rsidR="00F15F71" w:rsidRDefault="00F974CD">
            <w:pPr>
              <w:spacing w:after="20" w:line="259" w:lineRule="auto"/>
              <w:ind w:left="2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При необходимости - короткий курс пероральных  Кортикостероидов </w:t>
            </w:r>
          </w:p>
        </w:tc>
        <w:tc>
          <w:tcPr>
            <w:tcW w:w="3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 xml:space="preserve">Средние или высокие дозы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ИГКС+ДДБА (базисная терапия) </w:t>
            </w:r>
          </w:p>
          <w:p w:rsidR="00F15F71" w:rsidRDefault="00F974CD">
            <w:pPr>
              <w:spacing w:after="21" w:line="259" w:lineRule="auto"/>
              <w:ind w:left="0" w:firstLine="0"/>
              <w:jc w:val="left"/>
            </w:pPr>
            <w:r>
              <w:t xml:space="preserve">+ по потребности КДБА или </w:t>
            </w:r>
          </w:p>
          <w:p w:rsidR="00F15F71" w:rsidRDefault="00F974CD">
            <w:pPr>
              <w:spacing w:after="17" w:line="259" w:lineRule="auto"/>
              <w:ind w:left="0" w:firstLine="0"/>
              <w:jc w:val="left"/>
            </w:pPr>
            <w:r>
              <w:t xml:space="preserve">ИГКС+КДБА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или </w:t>
            </w:r>
          </w:p>
          <w:p w:rsidR="00F15F71" w:rsidRDefault="00F974CD">
            <w:pPr>
              <w:spacing w:after="44" w:line="238" w:lineRule="auto"/>
              <w:ind w:left="0" w:firstLine="0"/>
            </w:pPr>
            <w:r>
              <w:t xml:space="preserve">Средние или высокие дозы ИГКС+ДДБА+ДДАХ (базисная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терапия) </w:t>
            </w:r>
          </w:p>
          <w:p w:rsidR="00F15F71" w:rsidRDefault="00F974CD">
            <w:pPr>
              <w:spacing w:after="21" w:line="259" w:lineRule="auto"/>
              <w:ind w:left="0" w:firstLine="0"/>
              <w:jc w:val="left"/>
            </w:pPr>
            <w:r>
              <w:t xml:space="preserve">+ по потребности КДБА или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ИГКС+КДБА </w:t>
            </w:r>
          </w:p>
          <w:p w:rsidR="00F15F71" w:rsidRDefault="00F974CD">
            <w:pPr>
              <w:spacing w:after="18" w:line="259" w:lineRule="auto"/>
              <w:ind w:left="0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 xml:space="preserve">Или  </w:t>
            </w:r>
          </w:p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 xml:space="preserve">Высокие дозы ИГКС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+ по потребности КДБА </w:t>
            </w:r>
          </w:p>
        </w:tc>
      </w:tr>
    </w:tbl>
    <w:p w:rsidR="00F15F71" w:rsidRDefault="00F974CD">
      <w:pPr>
        <w:spacing w:after="25" w:line="259" w:lineRule="auto"/>
        <w:ind w:left="0" w:firstLine="0"/>
        <w:jc w:val="left"/>
      </w:pPr>
      <w:r>
        <w:t xml:space="preserve"> </w:t>
      </w:r>
    </w:p>
    <w:p w:rsidR="00F15F71" w:rsidRDefault="00F974CD">
      <w:pPr>
        <w:spacing w:line="270" w:lineRule="auto"/>
        <w:ind w:left="-5" w:right="10"/>
      </w:pPr>
      <w:r>
        <w:rPr>
          <w:b/>
        </w:rPr>
        <w:t>Таблица 8. Стартовая терапия БА (дети от 6 до 11 лет</w:t>
      </w:r>
      <w:r>
        <w:t xml:space="preserve">) </w:t>
      </w:r>
    </w:p>
    <w:p w:rsidR="00F15F71" w:rsidRDefault="00F974CD">
      <w:pPr>
        <w:spacing w:after="0" w:line="259" w:lineRule="auto"/>
        <w:ind w:left="0" w:firstLine="0"/>
        <w:jc w:val="left"/>
      </w:pPr>
      <w:r>
        <w:t xml:space="preserve"> </w:t>
      </w:r>
    </w:p>
    <w:tbl>
      <w:tblPr>
        <w:tblStyle w:val="TableGrid"/>
        <w:tblW w:w="9465" w:type="dxa"/>
        <w:tblInd w:w="-108" w:type="dxa"/>
        <w:tblCellMar>
          <w:top w:w="59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220"/>
        <w:gridCol w:w="5245"/>
      </w:tblGrid>
      <w:tr w:rsidR="00F15F71">
        <w:trPr>
          <w:trHeight w:val="286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>Клинические проявления БА</w:t>
            </w:r>
            <w:r>
              <w:t xml:space="preserve"> 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Стартовая терапия  </w:t>
            </w:r>
          </w:p>
        </w:tc>
      </w:tr>
      <w:tr w:rsidR="00F15F71">
        <w:trPr>
          <w:trHeight w:val="1666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78" w:lineRule="auto"/>
              <w:ind w:left="0" w:firstLine="0"/>
            </w:pPr>
            <w:r>
              <w:t xml:space="preserve">Нечастые симптомы астмы, например, реже двух раз в месяц и </w:t>
            </w:r>
          </w:p>
          <w:p w:rsidR="00F15F71" w:rsidRDefault="00F974CD">
            <w:pPr>
              <w:tabs>
                <w:tab w:val="center" w:pos="2270"/>
                <w:tab w:val="right" w:pos="4112"/>
              </w:tabs>
              <w:spacing w:after="27" w:line="259" w:lineRule="auto"/>
              <w:ind w:left="0" w:firstLine="0"/>
              <w:jc w:val="left"/>
            </w:pPr>
            <w:r>
              <w:t xml:space="preserve">отсутствие </w:t>
            </w:r>
            <w:r>
              <w:tab/>
              <w:t xml:space="preserve">факторов </w:t>
            </w:r>
            <w:r>
              <w:tab/>
              <w:t xml:space="preserve">риска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обострений 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5" w:line="238" w:lineRule="auto"/>
              <w:ind w:left="0" w:firstLine="0"/>
            </w:pPr>
            <w:r>
              <w:t xml:space="preserve">Низкие дозы ИГКС каждый раз при применении КДБА (использование двух ингаляторов </w:t>
            </w:r>
          </w:p>
          <w:p w:rsidR="00F15F71" w:rsidRDefault="00F974CD">
            <w:pPr>
              <w:spacing w:after="0" w:line="274" w:lineRule="auto"/>
              <w:ind w:left="0" w:right="3427" w:firstLine="0"/>
              <w:jc w:val="left"/>
            </w:pPr>
            <w:r>
              <w:t xml:space="preserve">поочередно) или </w:t>
            </w:r>
          </w:p>
          <w:p w:rsidR="00F15F71" w:rsidRDefault="00F974CD">
            <w:pPr>
              <w:spacing w:after="22" w:line="259" w:lineRule="auto"/>
              <w:ind w:left="0" w:firstLine="0"/>
            </w:pPr>
            <w:r>
              <w:t xml:space="preserve">Базисная терапия низкими дозами ИГКС +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КДБА по потребности </w:t>
            </w:r>
          </w:p>
        </w:tc>
      </w:tr>
      <w:tr w:rsidR="00F15F71">
        <w:trPr>
          <w:trHeight w:val="564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Симптомы БА или потребность в  применении препарата для облегчения 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Базисная терапия низкими дозами ИГКС + КДБА по потребности </w:t>
            </w:r>
          </w:p>
        </w:tc>
      </w:tr>
      <w:tr w:rsidR="00F15F71">
        <w:trPr>
          <w:trHeight w:val="1392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симптомов два раза в месяц или чаще, но не ежедневно 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 xml:space="preserve">или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Ежедневно АЛТР  </w:t>
            </w:r>
          </w:p>
          <w:p w:rsidR="00F15F71" w:rsidRDefault="00F974CD">
            <w:pPr>
              <w:spacing w:after="46" w:line="238" w:lineRule="auto"/>
              <w:ind w:left="0" w:firstLine="0"/>
            </w:pPr>
            <w:r>
              <w:t xml:space="preserve">или низкие дозы ИГКС каждый раз при применении КДБА (использование двух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ингаляторов поочередно) </w:t>
            </w:r>
          </w:p>
        </w:tc>
      </w:tr>
      <w:tr w:rsidR="00F15F71">
        <w:trPr>
          <w:trHeight w:val="2218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" w:line="277" w:lineRule="auto"/>
              <w:ind w:left="0" w:right="60" w:firstLine="0"/>
            </w:pPr>
            <w:r>
              <w:t xml:space="preserve">Симптомы БА несколько дней в неделю (например, 4-5 дней в неделю);  </w:t>
            </w:r>
          </w:p>
          <w:p w:rsidR="00F15F71" w:rsidRDefault="00F974CD">
            <w:pPr>
              <w:spacing w:after="0" w:line="259" w:lineRule="auto"/>
              <w:ind w:left="0" w:right="62" w:firstLine="0"/>
            </w:pPr>
            <w:r>
              <w:t xml:space="preserve">или пробуждение из-за астмы один раз в неделю или чаще, в особенности при наличии факторов риска 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83" w:lineRule="auto"/>
              <w:ind w:left="0" w:firstLine="0"/>
              <w:jc w:val="left"/>
            </w:pPr>
            <w:r>
              <w:t xml:space="preserve">Низкие </w:t>
            </w:r>
            <w:r>
              <w:tab/>
              <w:t xml:space="preserve">дозы </w:t>
            </w:r>
            <w:r>
              <w:tab/>
              <w:t xml:space="preserve">ИГКС+ДДБА </w:t>
            </w:r>
            <w:r>
              <w:tab/>
              <w:t xml:space="preserve">+ </w:t>
            </w:r>
            <w:r>
              <w:tab/>
              <w:t xml:space="preserve">КДБА </w:t>
            </w:r>
            <w:r>
              <w:tab/>
              <w:t xml:space="preserve">по потребности </w:t>
            </w:r>
          </w:p>
          <w:p w:rsidR="00F15F71" w:rsidRDefault="00F974CD">
            <w:pPr>
              <w:spacing w:after="23" w:line="259" w:lineRule="auto"/>
              <w:ind w:left="0" w:firstLine="0"/>
              <w:jc w:val="left"/>
            </w:pPr>
            <w:r>
              <w:t xml:space="preserve">или  </w:t>
            </w:r>
          </w:p>
          <w:p w:rsidR="00F15F71" w:rsidRDefault="00F974CD">
            <w:pPr>
              <w:spacing w:after="0" w:line="274" w:lineRule="auto"/>
              <w:ind w:left="0" w:right="30" w:firstLine="0"/>
              <w:jc w:val="left"/>
            </w:pPr>
            <w:r>
              <w:t xml:space="preserve">средние дозы ИГКС + КДБА по потребности или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базисная </w:t>
            </w:r>
            <w:r>
              <w:tab/>
              <w:t xml:space="preserve">терапия </w:t>
            </w:r>
            <w:r>
              <w:tab/>
              <w:t xml:space="preserve">очень </w:t>
            </w:r>
            <w:r>
              <w:tab/>
              <w:t xml:space="preserve">низкими </w:t>
            </w:r>
            <w:r>
              <w:tab/>
              <w:t>дозами* ИГКС+формотерол плюс #ИГКС+формотерол по потребности</w:t>
            </w:r>
            <w:r>
              <w:rPr>
                <w:vertAlign w:val="superscript"/>
              </w:rPr>
              <w:t>2</w:t>
            </w:r>
            <w:r>
              <w:t xml:space="preserve"> </w:t>
            </w:r>
          </w:p>
        </w:tc>
      </w:tr>
      <w:tr w:rsidR="00F15F71">
        <w:trPr>
          <w:trHeight w:val="1666"/>
        </w:trPr>
        <w:tc>
          <w:tcPr>
            <w:tcW w:w="4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1" w:firstLine="0"/>
            </w:pPr>
            <w:r>
              <w:t xml:space="preserve">Дебют тяжелой неконтролируемой БА или наличие тяжелого обострения заболевания 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1852"/>
                <w:tab w:val="center" w:pos="3278"/>
                <w:tab w:val="right" w:pos="5137"/>
              </w:tabs>
              <w:spacing w:after="28" w:line="259" w:lineRule="auto"/>
              <w:ind w:left="0" w:firstLine="0"/>
              <w:jc w:val="left"/>
            </w:pPr>
            <w:r>
              <w:t xml:space="preserve">Базисная </w:t>
            </w:r>
            <w:r>
              <w:tab/>
              <w:t xml:space="preserve">терапия </w:t>
            </w:r>
            <w:r>
              <w:tab/>
              <w:t xml:space="preserve">средними </w:t>
            </w:r>
            <w:r>
              <w:tab/>
              <w:t xml:space="preserve">дозами </w:t>
            </w:r>
          </w:p>
          <w:p w:rsidR="00F15F71" w:rsidRDefault="00F974CD">
            <w:pPr>
              <w:spacing w:after="30" w:line="259" w:lineRule="auto"/>
              <w:ind w:left="0" w:firstLine="0"/>
              <w:jc w:val="left"/>
            </w:pPr>
            <w:r>
              <w:t xml:space="preserve">ИГКС+ДДБА и + КДБА по потребности </w:t>
            </w:r>
          </w:p>
          <w:p w:rsidR="00F15F71" w:rsidRDefault="00F974CD">
            <w:pPr>
              <w:spacing w:after="36" w:line="278" w:lineRule="auto"/>
              <w:ind w:left="0" w:right="58" w:firstLine="0"/>
            </w:pPr>
            <w:r>
              <w:t>Или базисная терапия низкими дозами</w:t>
            </w:r>
            <w:r>
              <w:rPr>
                <w:vertAlign w:val="superscript"/>
              </w:rPr>
              <w:t>1</w:t>
            </w:r>
            <w:r>
              <w:t xml:space="preserve"> ИГКС+формотерол плюс #ИГКС+формотерол по потребности</w:t>
            </w:r>
            <w:r>
              <w:rPr>
                <w:vertAlign w:val="superscript"/>
              </w:rPr>
              <w:t>2</w:t>
            </w: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Возможно рассмотреть короткий курс СГКС </w:t>
            </w:r>
          </w:p>
        </w:tc>
      </w:tr>
    </w:tbl>
    <w:p w:rsidR="00F15F71" w:rsidRDefault="00F974CD">
      <w:pPr>
        <w:spacing w:after="340" w:line="259" w:lineRule="auto"/>
        <w:ind w:left="708" w:firstLine="0"/>
        <w:jc w:val="left"/>
      </w:pPr>
      <w:r>
        <w:rPr>
          <w:i/>
          <w:sz w:val="16"/>
        </w:rPr>
        <w:t xml:space="preserve"> </w:t>
      </w:r>
    </w:p>
    <w:p w:rsidR="00F15F71" w:rsidRDefault="00F974CD">
      <w:pPr>
        <w:spacing w:after="39" w:line="387" w:lineRule="auto"/>
        <w:ind w:left="-15" w:right="840" w:firstLine="710"/>
      </w:pPr>
      <w:r>
        <w:rPr>
          <w:i/>
          <w:vertAlign w:val="superscript"/>
        </w:rPr>
        <w:t>1</w:t>
      </w:r>
      <w:r>
        <w:rPr>
          <w:i/>
        </w:rPr>
        <w:t xml:space="preserve">Таблицы с низкими, средними и высокими дозами ИГКС для детей, подростков и взрослых в Приложении А3.2, А3.3. </w:t>
      </w:r>
    </w:p>
    <w:p w:rsidR="00F15F71" w:rsidRDefault="00F974CD">
      <w:pPr>
        <w:spacing w:after="139" w:line="259" w:lineRule="auto"/>
        <w:ind w:left="708" w:right="840" w:firstLine="0"/>
      </w:pPr>
      <w:r>
        <w:rPr>
          <w:i/>
          <w:vertAlign w:val="superscript"/>
        </w:rPr>
        <w:t>2</w:t>
      </w:r>
      <w:r>
        <w:rPr>
          <w:i/>
        </w:rPr>
        <w:t xml:space="preserve"> В РФ режим единого ингалятора одобрен для детей с 12 лет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>Детям младше 5 лет рекомендуется в качестве стартовой терапии выбрать низкие дозы ИГКС</w:t>
      </w:r>
      <w:r>
        <w:rPr>
          <w:i/>
        </w:rPr>
        <w:t xml:space="preserve"> (Приложение А3.4) в сочетании с препаратами по требованию (КДБА) для облегчения симптомов БА </w:t>
      </w:r>
      <w:r>
        <w:t>[21]</w:t>
      </w:r>
      <w:r>
        <w:rPr>
          <w:i/>
        </w:rPr>
        <w:t>. Низкие дозы ИГКС обеспечивают хороший клинический эффект у большинства детей, в то время как высокие - связаны с повышенным риском развития местных и систем</w:t>
      </w:r>
      <w:r>
        <w:rPr>
          <w:i/>
        </w:rPr>
        <w:t xml:space="preserve">ных побочных эффектов. </w:t>
      </w:r>
    </w:p>
    <w:p w:rsidR="00F15F71" w:rsidRDefault="00F974CD">
      <w:pPr>
        <w:spacing w:after="405" w:line="259" w:lineRule="auto"/>
        <w:ind w:left="566" w:firstLine="0"/>
        <w:jc w:val="left"/>
      </w:pPr>
      <w:r>
        <w:t xml:space="preserve"> </w:t>
      </w:r>
    </w:p>
    <w:p w:rsidR="00F15F71" w:rsidRDefault="00F974CD">
      <w:pPr>
        <w:tabs>
          <w:tab w:val="center" w:pos="329"/>
          <w:tab w:val="center" w:pos="1518"/>
          <w:tab w:val="center" w:pos="3789"/>
          <w:tab w:val="center" w:pos="5867"/>
          <w:tab w:val="center" w:pos="8314"/>
        </w:tabs>
        <w:spacing w:after="16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rFonts w:ascii="Arial" w:eastAsia="Arial" w:hAnsi="Arial" w:cs="Arial"/>
          <w:sz w:val="20"/>
        </w:rPr>
        <w:tab/>
      </w:r>
      <w:r>
        <w:rPr>
          <w:b/>
        </w:rPr>
        <w:t xml:space="preserve">Рекомендуется </w:t>
      </w:r>
      <w:r>
        <w:rPr>
          <w:b/>
        </w:rPr>
        <w:tab/>
        <w:t xml:space="preserve">рассмотреть </w:t>
      </w:r>
      <w:r>
        <w:rPr>
          <w:b/>
        </w:rPr>
        <w:tab/>
        <w:t xml:space="preserve">назначение </w:t>
      </w:r>
      <w:r>
        <w:rPr>
          <w:b/>
        </w:rPr>
        <w:tab/>
        <w:t xml:space="preserve">комбинированного </w:t>
      </w:r>
    </w:p>
    <w:p w:rsidR="00F15F71" w:rsidRDefault="00F974CD">
      <w:pPr>
        <w:spacing w:line="395" w:lineRule="auto"/>
        <w:ind w:left="718" w:right="846"/>
      </w:pPr>
      <w:r>
        <w:rPr>
          <w:b/>
        </w:rPr>
        <w:t xml:space="preserve">бронходилатирующего средства (селективного бета2-адреномиметика и глюкокортикостероида местного) будесонид + формотерол** (R03AK07) </w:t>
      </w:r>
      <w:r>
        <w:rPr>
          <w:b/>
        </w:rPr>
        <w:t xml:space="preserve">пациентам с легкой БА старше 12 лет или беклометазон + формотерол** (R03AK08) или сальбутамол + беклометазон (R03AK13) пациентам старше 18 лет в режиме применения по потребности для снятия симптомов и приступов </w:t>
      </w:r>
    </w:p>
    <w:p w:rsidR="00F15F71" w:rsidRDefault="00F974CD">
      <w:pPr>
        <w:spacing w:line="389" w:lineRule="auto"/>
        <w:ind w:left="718" w:right="10"/>
      </w:pPr>
      <w:r>
        <w:rPr>
          <w:b/>
        </w:rPr>
        <w:t>удушья с целью реализации быстрого бронхолит</w:t>
      </w:r>
      <w:r>
        <w:rPr>
          <w:b/>
        </w:rPr>
        <w:t xml:space="preserve">ического и противовоспалительного действия </w:t>
      </w:r>
      <w:r>
        <w:t>[21,126–130]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03" w:line="270" w:lineRule="auto"/>
        <w:ind w:left="-5" w:right="10"/>
      </w:pPr>
      <w:r>
        <w:rPr>
          <w:b/>
        </w:rPr>
        <w:t xml:space="preserve">Уровень убедительности рекомендаций -А (уровень достоверности доказательств - 2) </w:t>
      </w:r>
    </w:p>
    <w:p w:rsidR="00F15F71" w:rsidRDefault="00F974CD">
      <w:pPr>
        <w:spacing w:line="387" w:lineRule="auto"/>
        <w:ind w:left="-15" w:right="840" w:firstLine="566"/>
      </w:pPr>
      <w:r>
        <w:rPr>
          <w:b/>
        </w:rPr>
        <w:t xml:space="preserve">Комментарии: </w:t>
      </w:r>
      <w:r>
        <w:rPr>
          <w:i/>
        </w:rPr>
        <w:t>Данный режим терапии является предпочтительным для пациентов с легкой БА старше 12 лет (или старше 18 л</w:t>
      </w:r>
      <w:r>
        <w:rPr>
          <w:i/>
        </w:rPr>
        <w:t>ет с учетом возрастных ограничений по определенным комбинациям) на 1-2 ступенях терапии. Назначение низких доз ИГКС в качестве противовоспалительной терапии вместе с препаратом, облегчающим симптомы (формотерол или КДБА) значимо снижает риск тяжелых обостр</w:t>
      </w:r>
      <w:r>
        <w:rPr>
          <w:i/>
        </w:rPr>
        <w:t xml:space="preserve">ений заболевания в сравнении с монотерапией КДБА по потребности </w:t>
      </w:r>
      <w:r>
        <w:t>[126,130].</w:t>
      </w:r>
      <w:r>
        <w:rPr>
          <w:i/>
        </w:rPr>
        <w:t xml:space="preserve"> Помимо применения для снятия симптомов возможно предупредительное применение перед физической нагрузкой или планируемым контактом с причинно-значимыми аллергенами. </w:t>
      </w:r>
    </w:p>
    <w:p w:rsidR="00F15F71" w:rsidRDefault="00F974CD">
      <w:pPr>
        <w:spacing w:after="152" w:line="259" w:lineRule="auto"/>
        <w:ind w:left="566" w:firstLine="0"/>
        <w:jc w:val="left"/>
      </w:pPr>
      <w:r>
        <w:rPr>
          <w:i/>
        </w:rPr>
        <w:t xml:space="preserve"> </w:t>
      </w:r>
    </w:p>
    <w:p w:rsidR="00F15F71" w:rsidRDefault="00F974CD">
      <w:pPr>
        <w:ind w:left="1438" w:right="841"/>
      </w:pPr>
      <w:r>
        <w:t>Будесонид + фо</w:t>
      </w:r>
      <w:r>
        <w:t>рмотерол** (</w:t>
      </w:r>
      <w:r>
        <w:rPr>
          <w:i/>
        </w:rPr>
        <w:t>код АТХ: R03AК07</w:t>
      </w:r>
      <w:r>
        <w:t>) в дозированном порошковом ингаляторе взрослым и подросткам от 12 лет 160/4,5 мкг по 1-2 инг по потребности (желательно не превышать 6 инг в сут, максимальная доза по потребности 12 инг/сут). Следует обращать внимание, что не в</w:t>
      </w:r>
      <w:r>
        <w:t xml:space="preserve">се ингаляторы, зарегистрированные на территории РФ и содержащие данную фиксированную комбинацию, имеют в инструкции указание на возможность применения в режиме по потребности. </w:t>
      </w:r>
    </w:p>
    <w:p w:rsidR="00F15F71" w:rsidRDefault="00F974CD">
      <w:pPr>
        <w:spacing w:after="153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6"/>
        <w:ind w:left="1438" w:right="841"/>
      </w:pPr>
      <w:r>
        <w:t>Беклометазон + формотерол** (</w:t>
      </w:r>
      <w:r>
        <w:rPr>
          <w:i/>
        </w:rPr>
        <w:t>код АТХ: R03AК08</w:t>
      </w:r>
      <w:r>
        <w:t>) в дозированном аэрозольном инг</w:t>
      </w:r>
      <w:r>
        <w:t xml:space="preserve">аляторе взрослым (от 18 лет) 100/6 мкг по 1-2 инг по потребности (максимальная доза по потребности 6 инг/сут).  </w:t>
      </w:r>
    </w:p>
    <w:p w:rsidR="00F15F71" w:rsidRDefault="00F974CD">
      <w:pPr>
        <w:spacing w:after="153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5"/>
        <w:ind w:left="1438" w:right="841"/>
      </w:pPr>
      <w:r>
        <w:t>Беклометазон + сальбутамол (</w:t>
      </w:r>
      <w:r>
        <w:rPr>
          <w:i/>
        </w:rPr>
        <w:t>код АТХ: R03AК13</w:t>
      </w:r>
      <w:r>
        <w:t>) в дозированном аэрозольном ингаляторе взрослым (от 18 лет) 250/100 мкг по 1-</w:t>
      </w:r>
      <w:r>
        <w:t xml:space="preserve">2 инг по потребности (максимальная доза по потребности 8 инг/сут).  </w:t>
      </w:r>
    </w:p>
    <w:p w:rsidR="00F15F71" w:rsidRDefault="00F974CD">
      <w:pPr>
        <w:spacing w:after="403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numPr>
          <w:ilvl w:val="0"/>
          <w:numId w:val="14"/>
        </w:numPr>
        <w:spacing w:after="27" w:line="379" w:lineRule="auto"/>
        <w:ind w:right="848" w:hanging="425"/>
      </w:pPr>
      <w:r>
        <w:rPr>
          <w:b/>
        </w:rPr>
        <w:t>Рекомендуется рассмотреть назначение</w:t>
      </w:r>
      <w:r>
        <w:t xml:space="preserve"> </w:t>
      </w:r>
      <w:r>
        <w:rPr>
          <w:b/>
        </w:rPr>
        <w:t xml:space="preserve">селективного бета2-адреномиметика (КДБА) совместно с низкими дозами глюкокортикостероида местного (ИГКС) </w:t>
      </w:r>
      <w:r>
        <w:rPr>
          <w:b/>
        </w:rPr>
        <w:t xml:space="preserve">последовательно из двух отдельных ингаляторов пациентам с легкой БА от 6 до 11 лет и в качестве альтернативной терапии пациентам старше 12 лет по потребности для снятия симптомов и приступов удушья с целью реализации </w:t>
      </w:r>
    </w:p>
    <w:p w:rsidR="00F15F71" w:rsidRDefault="00F974CD">
      <w:pPr>
        <w:tabs>
          <w:tab w:val="center" w:pos="1214"/>
          <w:tab w:val="center" w:pos="3185"/>
          <w:tab w:val="center" w:pos="4719"/>
          <w:tab w:val="center" w:pos="6576"/>
          <w:tab w:val="center" w:pos="8857"/>
        </w:tabs>
        <w:spacing w:after="119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быстрого </w:t>
      </w:r>
      <w:r>
        <w:rPr>
          <w:b/>
        </w:rPr>
        <w:tab/>
        <w:t xml:space="preserve">бронхолитического </w:t>
      </w:r>
      <w:r>
        <w:rPr>
          <w:b/>
        </w:rPr>
        <w:tab/>
        <w:t xml:space="preserve">и </w:t>
      </w:r>
      <w:r>
        <w:rPr>
          <w:b/>
        </w:rPr>
        <w:tab/>
        <w:t>проти</w:t>
      </w:r>
      <w:r>
        <w:rPr>
          <w:b/>
        </w:rPr>
        <w:t xml:space="preserve">вовоспалительного </w:t>
      </w:r>
      <w:r>
        <w:rPr>
          <w:b/>
        </w:rPr>
        <w:tab/>
        <w:t xml:space="preserve">действия </w:t>
      </w:r>
    </w:p>
    <w:p w:rsidR="00F15F71" w:rsidRDefault="00F974CD">
      <w:pPr>
        <w:spacing w:after="163" w:line="259" w:lineRule="auto"/>
        <w:ind w:left="718" w:right="841"/>
      </w:pPr>
      <w:r>
        <w:t>[127,128,131]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 xml:space="preserve">Уровень убедительности рекомендаций  А (уровень достоверности доказательств - 2) </w:t>
      </w:r>
    </w:p>
    <w:p w:rsidR="00F15F71" w:rsidRDefault="00F974CD">
      <w:pPr>
        <w:spacing w:line="387" w:lineRule="auto"/>
        <w:ind w:left="-15" w:right="840" w:firstLine="566"/>
      </w:pPr>
      <w:r>
        <w:rPr>
          <w:b/>
        </w:rPr>
        <w:t xml:space="preserve">Комментарии: </w:t>
      </w:r>
      <w:r>
        <w:rPr>
          <w:i/>
        </w:rPr>
        <w:t xml:space="preserve">на 1-2 ступенях монотерапия КДБА в режиме по потребности при легкой БА более не рекомендуется </w:t>
      </w:r>
      <w:r>
        <w:t>[21,132]</w:t>
      </w:r>
      <w:r>
        <w:rPr>
          <w:i/>
        </w:rPr>
        <w:t>. Чрезмерное и</w:t>
      </w:r>
      <w:r>
        <w:rPr>
          <w:i/>
        </w:rPr>
        <w:t xml:space="preserve">спользование КДБА является небезопасным: выдача ≥3 ингаляторов КДБА в год увеличивает риск обострений БА, применение ≥12 ингаляторов КДБА в год связано с повышенным риском смерти по причине БА </w:t>
      </w:r>
      <w:r>
        <w:t>[21,127,128,132–136]</w:t>
      </w:r>
      <w:r>
        <w:rPr>
          <w:i/>
        </w:rPr>
        <w:t>. Для детей возможно использование ДАИ чере</w:t>
      </w:r>
      <w:r>
        <w:rPr>
          <w:i/>
        </w:rPr>
        <w:t xml:space="preserve">з спейсер или применение препаратов через небулайзер. </w:t>
      </w:r>
    </w:p>
    <w:p w:rsidR="00F15F71" w:rsidRDefault="00F974CD">
      <w:pPr>
        <w:spacing w:after="161" w:line="259" w:lineRule="auto"/>
        <w:ind w:left="566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1"/>
          <w:numId w:val="14"/>
        </w:numPr>
        <w:spacing w:after="33"/>
        <w:ind w:right="841" w:hanging="720"/>
      </w:pPr>
      <w:r>
        <w:t>В качестве бета2-адреномиметика селективного возможно, например:   Сальбутамол** (</w:t>
      </w:r>
      <w:r>
        <w:rPr>
          <w:i/>
        </w:rPr>
        <w:t>код АТХ: R03AС02</w:t>
      </w:r>
      <w:r>
        <w:t>) в дозированном аэрозольном ингаляторе детям с 2 лет и взрослым 100-200 мкг по потребности (максимал</w:t>
      </w:r>
      <w:r>
        <w:t xml:space="preserve">ьная доза 800 мкг/сут), в виде раствора для ингаляций с возраста </w:t>
      </w:r>
    </w:p>
    <w:p w:rsidR="00F15F71" w:rsidRDefault="00F974CD">
      <w:pPr>
        <w:spacing w:after="112" w:line="259" w:lineRule="auto"/>
        <w:ind w:left="1438" w:right="841"/>
      </w:pPr>
      <w:r>
        <w:t xml:space="preserve">18 мес. по 2,5-5 мг на ингаляцию (максимальная суточная доза 20 мг); </w:t>
      </w:r>
    </w:p>
    <w:p w:rsidR="00F15F71" w:rsidRDefault="00F974CD">
      <w:pPr>
        <w:spacing w:after="156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Фенотерол (</w:t>
      </w:r>
      <w:r>
        <w:rPr>
          <w:i/>
        </w:rPr>
        <w:t>код АТХ: R03AС04</w:t>
      </w:r>
      <w:r>
        <w:t>) в дозированном аэрозольном ингаляторе взрослым (от 18 лет) 100-200 мкг по 1-</w:t>
      </w:r>
      <w:r>
        <w:t xml:space="preserve">2 инг по потребности (максимальная доза по потребности 8 инг/сут);  </w:t>
      </w:r>
    </w:p>
    <w:p w:rsidR="00F15F71" w:rsidRDefault="00F974CD">
      <w:pPr>
        <w:spacing w:after="161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9"/>
        <w:ind w:left="1438" w:right="841"/>
      </w:pPr>
      <w:r>
        <w:t>Левосальбутамол (</w:t>
      </w:r>
      <w:r>
        <w:rPr>
          <w:i/>
        </w:rPr>
        <w:t>код АТХ: R03AC</w:t>
      </w:r>
      <w:r>
        <w:t xml:space="preserve">) в дозированном аэрозольном ингаляторе детям от 4 лет и взрослым 45-90 мкг по потребности </w:t>
      </w:r>
    </w:p>
    <w:p w:rsidR="00F15F71" w:rsidRDefault="00F974CD">
      <w:pPr>
        <w:spacing w:after="112" w:line="259" w:lineRule="auto"/>
        <w:ind w:left="1438" w:right="841"/>
      </w:pPr>
      <w:r>
        <w:t xml:space="preserve">(максимальная доза 540 мкг/сут); </w:t>
      </w:r>
    </w:p>
    <w:p w:rsidR="00F15F71" w:rsidRDefault="00F974CD">
      <w:pPr>
        <w:spacing w:after="115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8"/>
        <w:ind w:left="1438" w:right="841"/>
      </w:pPr>
      <w:r>
        <w:t>или комбинированный препар</w:t>
      </w:r>
      <w:r>
        <w:t>ат: Ипратропия бромид + фенотерол** (</w:t>
      </w:r>
      <w:r>
        <w:rPr>
          <w:i/>
        </w:rPr>
        <w:t>код АТХ: R03AL01</w:t>
      </w:r>
      <w:r>
        <w:t xml:space="preserve">) р-р для ингаляций 0.25 мг+0.5 мг/мл с помощью небулайзера или ДАИ 20 мкг + 50 мкг со спейсером (согласно Инструкции).  </w:t>
      </w:r>
    </w:p>
    <w:p w:rsidR="00F15F71" w:rsidRDefault="00F974CD">
      <w:pPr>
        <w:spacing w:after="162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numPr>
          <w:ilvl w:val="1"/>
          <w:numId w:val="14"/>
        </w:numPr>
        <w:ind w:right="841" w:hanging="720"/>
      </w:pPr>
      <w:r>
        <w:t>В качестве глюкокортикостероида местного возможно, например:   Флутиказон (</w:t>
      </w:r>
      <w:r>
        <w:rPr>
          <w:i/>
        </w:rPr>
        <w:t xml:space="preserve">код </w:t>
      </w:r>
      <w:r>
        <w:rPr>
          <w:i/>
        </w:rPr>
        <w:t>АТХ: R03BA05</w:t>
      </w:r>
      <w:r>
        <w:t xml:space="preserve">) в дозированном аэрозольном ингаляторе детям от 6 лет 50-125 мкг и взрослым 125-250 мкг после ингаляции КДБА.  </w:t>
      </w:r>
    </w:p>
    <w:p w:rsidR="00F15F71" w:rsidRDefault="00F974CD">
      <w:pPr>
        <w:spacing w:after="154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9"/>
        <w:ind w:left="1438" w:right="841"/>
      </w:pPr>
      <w:r>
        <w:t>Будесонид** (</w:t>
      </w:r>
      <w:r>
        <w:rPr>
          <w:i/>
        </w:rPr>
        <w:t>код АТХ: R03BA02</w:t>
      </w:r>
      <w:r>
        <w:t>) в дозированном порошковом ингаляторе детям от 6 лет и взрослым 100-200 мкг или в виде виде суспенз</w:t>
      </w:r>
      <w:r>
        <w:t xml:space="preserve">ии для ингаляций детям от 6 мес (дозировки согласно Инструкции) и взрослым с помощью небулайзера или р-ра для ингаляций детям с 16 лет и взрослым с помощью небулайзера 250 мкг после ингаляции КДБА. </w:t>
      </w:r>
    </w:p>
    <w:p w:rsidR="00F15F71" w:rsidRDefault="00F974CD">
      <w:pPr>
        <w:spacing w:after="0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5"/>
        <w:ind w:left="1438" w:right="841"/>
      </w:pPr>
      <w:r>
        <w:t>Беклометазон** (</w:t>
      </w:r>
      <w:r>
        <w:rPr>
          <w:i/>
        </w:rPr>
        <w:t>код АТХ: R03BA01</w:t>
      </w:r>
      <w:r>
        <w:t xml:space="preserve">) </w:t>
      </w:r>
      <w:r>
        <w:t xml:space="preserve">в дозированном аэрозольном ингаляторе детям от 6 лет и взрослым 100-200 мкг после ингаляции КДБА.  </w:t>
      </w:r>
    </w:p>
    <w:p w:rsidR="00F15F71" w:rsidRDefault="00F974CD">
      <w:pPr>
        <w:spacing w:after="155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Циклесонид (</w:t>
      </w:r>
      <w:r>
        <w:rPr>
          <w:i/>
        </w:rPr>
        <w:t>код АТХ: R03BA08</w:t>
      </w:r>
      <w:r>
        <w:t xml:space="preserve">) в дозированном порошковом ингаляторе детям от 12 лет и взрослым 160 мкг после ингаляции КДБА. </w:t>
      </w:r>
    </w:p>
    <w:p w:rsidR="00F15F71" w:rsidRDefault="00F974CD">
      <w:pPr>
        <w:spacing w:after="403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numPr>
          <w:ilvl w:val="0"/>
          <w:numId w:val="14"/>
        </w:numPr>
        <w:spacing w:line="388" w:lineRule="auto"/>
        <w:ind w:right="848" w:hanging="425"/>
      </w:pPr>
      <w:r>
        <w:rPr>
          <w:b/>
        </w:rPr>
        <w:t>Рекомендуется рассмотреть в</w:t>
      </w:r>
      <w:r>
        <w:rPr>
          <w:b/>
        </w:rPr>
        <w:t>озможность назначения глюкокортикостероида местного (ИГКС) в низкой дозе в ежедневном режиме с использованием бета2-адреномиметика селективного (КДБА) по потребности детям в возрасте от 6 до 11 лет с легкой БА (симптомы не чаще 2 раз в месяц) и наличием фа</w:t>
      </w:r>
      <w:r>
        <w:rPr>
          <w:b/>
        </w:rPr>
        <w:t xml:space="preserve">кторов риска обострения в качестве альтернативного подхода к лечению </w:t>
      </w:r>
      <w:r>
        <w:t>[21,128,136–</w:t>
      </w:r>
    </w:p>
    <w:p w:rsidR="00F15F71" w:rsidRDefault="00F974CD">
      <w:pPr>
        <w:spacing w:after="161" w:line="259" w:lineRule="auto"/>
        <w:ind w:left="718" w:right="841"/>
      </w:pPr>
      <w:r>
        <w:t>142]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05" w:line="270" w:lineRule="auto"/>
        <w:ind w:left="-5" w:right="10"/>
      </w:pPr>
      <w:r>
        <w:rPr>
          <w:b/>
        </w:rPr>
        <w:t xml:space="preserve">Уровень убедительности рекомендаций  А (уровень достоверности доказательств - 2) </w:t>
      </w:r>
    </w:p>
    <w:p w:rsidR="00F15F71" w:rsidRDefault="00F974CD">
      <w:pPr>
        <w:spacing w:line="387" w:lineRule="auto"/>
        <w:ind w:left="-15" w:right="840" w:firstLine="566"/>
      </w:pPr>
      <w:r>
        <w:rPr>
          <w:b/>
        </w:rPr>
        <w:t xml:space="preserve">Комментарии: </w:t>
      </w:r>
      <w:r>
        <w:rPr>
          <w:i/>
        </w:rPr>
        <w:t>следует учитывать вероятность низкой приверженности к лечению у детей с легкой БА при данном подходе (невыполнение рекомендаций о ежедневном применении ИГКС и, как следствие, риске использования КДБА без одновременного применения с ИГКС). Ниже приведены пр</w:t>
      </w:r>
      <w:r>
        <w:rPr>
          <w:i/>
        </w:rPr>
        <w:t>епараты и приблизительные дозы, которые могут быть рекомендованы к назначению</w:t>
      </w:r>
      <w:r>
        <w:t xml:space="preserve"> </w:t>
      </w:r>
      <w:r>
        <w:rPr>
          <w:i/>
        </w:rPr>
        <w:t xml:space="preserve">на 2 ступени терапии. </w:t>
      </w:r>
    </w:p>
    <w:p w:rsidR="00F15F71" w:rsidRDefault="00F974CD">
      <w:pPr>
        <w:spacing w:after="160" w:line="259" w:lineRule="auto"/>
        <w:ind w:left="-15" w:right="840" w:firstLine="0"/>
      </w:pPr>
      <w:r>
        <w:rPr>
          <w:i/>
        </w:rPr>
        <w:t>Подробнее о выборе доз ИГКС см. Приложение А3.2, А3.3.</w:t>
      </w:r>
      <w:r>
        <w:t xml:space="preserve"> </w:t>
      </w:r>
    </w:p>
    <w:p w:rsidR="00F15F71" w:rsidRDefault="00F974CD">
      <w:pPr>
        <w:spacing w:after="154" w:line="259" w:lineRule="auto"/>
        <w:ind w:left="1438" w:right="841"/>
      </w:pPr>
      <w:r>
        <w:t xml:space="preserve">Например: </w:t>
      </w:r>
    </w:p>
    <w:p w:rsidR="00F15F71" w:rsidRDefault="00F974CD">
      <w:pPr>
        <w:spacing w:after="25"/>
        <w:ind w:left="1438" w:right="841"/>
      </w:pPr>
      <w:r>
        <w:t>Флутиказон (</w:t>
      </w:r>
      <w:r>
        <w:rPr>
          <w:i/>
        </w:rPr>
        <w:t>код АТХ: R03BA05</w:t>
      </w:r>
      <w:r>
        <w:t xml:space="preserve">) в дозированном аэрозольном ингаляторе детям от 4 лет 50 мкг * 1-2 р в день.  </w:t>
      </w:r>
    </w:p>
    <w:p w:rsidR="00F15F71" w:rsidRDefault="00F974CD">
      <w:pPr>
        <w:spacing w:after="157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6"/>
        <w:ind w:left="1438" w:right="841"/>
      </w:pPr>
      <w:r>
        <w:t>Будесонид** (</w:t>
      </w:r>
      <w:r>
        <w:rPr>
          <w:i/>
        </w:rPr>
        <w:t>код АТХ: R03BA02</w:t>
      </w:r>
      <w:r>
        <w:t xml:space="preserve">) в дозированном порошковом ингаляторе детям от 6 лет 100 мкг * 1-2 р в день. </w:t>
      </w:r>
    </w:p>
    <w:p w:rsidR="00F15F71" w:rsidRDefault="00F974CD">
      <w:pPr>
        <w:spacing w:after="152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161" w:line="259" w:lineRule="auto"/>
        <w:ind w:left="1438" w:right="841"/>
      </w:pPr>
      <w:r>
        <w:t>Будесонид** (</w:t>
      </w:r>
      <w:r>
        <w:rPr>
          <w:i/>
        </w:rPr>
        <w:t>код АТХ: R03BA02</w:t>
      </w:r>
      <w:r>
        <w:t xml:space="preserve">) в виде суспензии для ингаляций </w:t>
      </w:r>
    </w:p>
    <w:p w:rsidR="00F15F71" w:rsidRDefault="00F974CD">
      <w:pPr>
        <w:spacing w:after="156" w:line="259" w:lineRule="auto"/>
        <w:ind w:left="1438" w:right="841"/>
      </w:pPr>
      <w:r>
        <w:t>д</w:t>
      </w:r>
      <w:r>
        <w:t xml:space="preserve">озированной с помощью небулайзера детям от 6 мес (дозировки согласно </w:t>
      </w:r>
    </w:p>
    <w:p w:rsidR="00F15F71" w:rsidRDefault="00F974CD">
      <w:pPr>
        <w:spacing w:after="115" w:line="259" w:lineRule="auto"/>
        <w:ind w:left="1438" w:right="841"/>
      </w:pPr>
      <w:r>
        <w:t xml:space="preserve">Инструкции) или р-ра для ингаляций детям от 16 лет 250 мкг* 1-2 р в день </w:t>
      </w:r>
    </w:p>
    <w:p w:rsidR="00F15F71" w:rsidRDefault="00F974CD">
      <w:pPr>
        <w:spacing w:after="153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Беклометазон** (</w:t>
      </w:r>
      <w:r>
        <w:rPr>
          <w:i/>
        </w:rPr>
        <w:t>код АТХ: R03BA01</w:t>
      </w:r>
      <w:r>
        <w:t>) в дозированном аэрозольном ингаляторе детям от 4 до 12 лет 100 мкг * 1-2 р в</w:t>
      </w:r>
      <w:r>
        <w:t xml:space="preserve"> день.  </w:t>
      </w:r>
    </w:p>
    <w:p w:rsidR="00F15F71" w:rsidRDefault="00F974CD">
      <w:pPr>
        <w:spacing w:after="0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29" w:line="373" w:lineRule="auto"/>
        <w:ind w:left="708" w:right="847" w:hanging="425"/>
      </w:pP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b/>
        </w:rPr>
        <w:t xml:space="preserve">Рекомендуется назначение селективного бета-2-адреномиметика (КДБА, код АТХ R03AC) или в сочетании с м-холиноблокатором (код АТХ R03AL) </w:t>
      </w:r>
      <w:r>
        <w:rPr>
          <w:b/>
        </w:rPr>
        <w:t>детям младше 5 лет с установленным диагнозом БА легкой степени тяжести (симптомы не чаще 2 раз в месяц) по потребности в случае нечастых эпизодов свистящего дыхания, в том числе на фоне респираторных инфекций, если в промежутках между эпизодами жалобы отсу</w:t>
      </w:r>
      <w:r>
        <w:rPr>
          <w:b/>
        </w:rPr>
        <w:t xml:space="preserve">тствуют или носят единичный характер </w:t>
      </w:r>
      <w:r>
        <w:t>[21,44,77,78]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50" w:line="270" w:lineRule="auto"/>
        <w:ind w:left="-5" w:right="10"/>
      </w:pPr>
      <w:r>
        <w:rPr>
          <w:b/>
        </w:rPr>
        <w:t xml:space="preserve">Уровень убедительности рекомендаций - B (уровень достоверности доказательств - 3) </w:t>
      </w:r>
    </w:p>
    <w:p w:rsidR="00F15F71" w:rsidRDefault="00F974CD">
      <w:pPr>
        <w:spacing w:line="387" w:lineRule="auto"/>
        <w:ind w:left="-15" w:right="840" w:firstLine="566"/>
      </w:pPr>
      <w:r>
        <w:rPr>
          <w:b/>
        </w:rPr>
        <w:t xml:space="preserve">Комментарии: </w:t>
      </w:r>
      <w:r>
        <w:rPr>
          <w:i/>
        </w:rPr>
        <w:t>на 1 ступени терапии</w:t>
      </w:r>
      <w:r>
        <w:rPr>
          <w:b/>
        </w:rPr>
        <w:t xml:space="preserve"> </w:t>
      </w:r>
      <w:r>
        <w:rPr>
          <w:i/>
        </w:rPr>
        <w:t>следует придерживаься стратегии назначения КДБА с ИГКС для исключения избыточного прим</w:t>
      </w:r>
      <w:r>
        <w:rPr>
          <w:i/>
        </w:rPr>
        <w:t xml:space="preserve">енения КДБА и неконтролируемого течения астмы. 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>Потребность в КДБА для облегчения симптомов более двух раз в неделю в течение 1 месяца указывает на необходимость пересмотра лечения и переходу к назначению низких доз ИГКС в качестве ежедневной противовоспа</w:t>
      </w:r>
      <w:r>
        <w:rPr>
          <w:i/>
        </w:rPr>
        <w:t xml:space="preserve">лительной базисной терапии. 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>Для детей данной возрастной категории при выборе средства доставки следует руководствоваться доступностью, предпочтением родителей и возможностями пациента (в том числе для КДБА – спейсер либо небулайзер с маской или мундштуко</w:t>
      </w:r>
      <w:r>
        <w:rPr>
          <w:i/>
        </w:rPr>
        <w:t xml:space="preserve">м).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 xml:space="preserve">Не рекомендовано детям младше 5 лет для купирования симптомов назначение адренергических средств системного действия (код по АТХ R03C) вследствие их отложенного действия и высокой частоты побочных эффектов по сравнению с ингаляционными КДБА. </w:t>
      </w:r>
    </w:p>
    <w:p w:rsidR="00F15F71" w:rsidRDefault="00F974CD">
      <w:pPr>
        <w:spacing w:after="157" w:line="259" w:lineRule="auto"/>
        <w:ind w:left="1438" w:right="841"/>
      </w:pPr>
      <w:r>
        <w:t>Например</w:t>
      </w:r>
      <w:r>
        <w:t xml:space="preserve">, могут применяться: </w:t>
      </w:r>
    </w:p>
    <w:p w:rsidR="00F15F71" w:rsidRDefault="00F974CD">
      <w:pPr>
        <w:spacing w:after="30"/>
        <w:ind w:left="1438" w:right="841"/>
      </w:pPr>
      <w:r>
        <w:t>Сальбутамол** (</w:t>
      </w:r>
      <w:r>
        <w:rPr>
          <w:i/>
        </w:rPr>
        <w:t>код АТХ: R03AС02</w:t>
      </w:r>
      <w:r>
        <w:t>) в виде раствора для ингаляций с возраста 18 мес. по 2,5-5 мг на ингаляцию (максимальная суточная доза 20 мг); в дозированном аэрозольном ингаляторе детям с 2 лет и взрослым, в среднем, 100 мкг по потре</w:t>
      </w:r>
      <w:r>
        <w:t xml:space="preserve">бности (максимальная доза 800 мкг/сут); </w:t>
      </w:r>
    </w:p>
    <w:p w:rsidR="00F15F71" w:rsidRDefault="00F974CD">
      <w:pPr>
        <w:spacing w:after="161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31"/>
        <w:ind w:left="1438" w:right="841"/>
      </w:pPr>
      <w:r>
        <w:t>Левосальбутамол (</w:t>
      </w:r>
      <w:r>
        <w:rPr>
          <w:i/>
        </w:rPr>
        <w:t>код АТХ: R03AC</w:t>
      </w:r>
      <w:r>
        <w:t xml:space="preserve">) в дозированном аэрозольном ингаляторе детям от 4 лет и взрослым 45-90 мкг по потребности </w:t>
      </w:r>
    </w:p>
    <w:p w:rsidR="00F15F71" w:rsidRDefault="00F974CD">
      <w:pPr>
        <w:spacing w:after="112" w:line="259" w:lineRule="auto"/>
        <w:ind w:left="1438" w:right="841"/>
      </w:pPr>
      <w:r>
        <w:t xml:space="preserve">(максимальная доза 540 мкг/сут); </w:t>
      </w:r>
    </w:p>
    <w:p w:rsidR="00F15F71" w:rsidRDefault="00F974CD">
      <w:pPr>
        <w:spacing w:after="115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9"/>
        <w:ind w:left="1438" w:right="841"/>
      </w:pPr>
      <w:r>
        <w:t xml:space="preserve">или комбинированный препарат: Ипратропия бромид + фенотерол** (код АТХ: R03AL01) р-р для ингаляций 0.25 мг+0.5 мг/мл с помощью небулайзера или ДАИ 20 мкг + 50 мкг со спейсером (согласно Инструкции). </w:t>
      </w:r>
    </w:p>
    <w:p w:rsidR="00F15F71" w:rsidRDefault="00F974CD">
      <w:pPr>
        <w:tabs>
          <w:tab w:val="center" w:pos="329"/>
          <w:tab w:val="center" w:pos="1518"/>
          <w:tab w:val="center" w:pos="3789"/>
          <w:tab w:val="center" w:pos="5867"/>
          <w:tab w:val="center" w:pos="8312"/>
        </w:tabs>
        <w:spacing w:after="16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rFonts w:ascii="Arial" w:eastAsia="Arial" w:hAnsi="Arial" w:cs="Arial"/>
          <w:sz w:val="20"/>
        </w:rPr>
        <w:tab/>
      </w:r>
      <w:r>
        <w:rPr>
          <w:b/>
        </w:rPr>
        <w:t xml:space="preserve">Рекомендуется </w:t>
      </w:r>
      <w:r>
        <w:rPr>
          <w:b/>
        </w:rPr>
        <w:tab/>
      </w:r>
      <w:r>
        <w:rPr>
          <w:b/>
        </w:rPr>
        <w:t xml:space="preserve">рассмотреть </w:t>
      </w:r>
      <w:r>
        <w:rPr>
          <w:b/>
        </w:rPr>
        <w:tab/>
        <w:t xml:space="preserve">назначение </w:t>
      </w:r>
      <w:r>
        <w:rPr>
          <w:b/>
        </w:rPr>
        <w:tab/>
        <w:t xml:space="preserve">комбинированного </w:t>
      </w:r>
    </w:p>
    <w:p w:rsidR="00F15F71" w:rsidRDefault="00F974CD">
      <w:pPr>
        <w:spacing w:line="394" w:lineRule="auto"/>
        <w:ind w:left="718" w:right="845"/>
      </w:pPr>
      <w:r>
        <w:rPr>
          <w:b/>
        </w:rPr>
        <w:t>бронходилатирующего средства (бета2-адреномиметика селективного и глюкокортикостероида местного) будесонид + формотерол** (R03AK07) пациентам с легкой БА и наличием факторов риска обострения или среднетяжелой БА с</w:t>
      </w:r>
      <w:r>
        <w:rPr>
          <w:b/>
        </w:rPr>
        <w:t xml:space="preserve">тарше 12 лет или беклометазон + формотерол** (R03AK08) пациентам старше 18 лет для регулярной терапии астмы и применения по потребности для снятия симптомов и приступов удушья в режиме единого ингалятора </w:t>
      </w:r>
      <w:r>
        <w:t>[21,127,131,143–150]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51" w:line="270" w:lineRule="auto"/>
        <w:ind w:left="-5" w:right="10"/>
      </w:pPr>
      <w:r>
        <w:rPr>
          <w:b/>
        </w:rPr>
        <w:t>Уровень убедительности рекоме</w:t>
      </w:r>
      <w:r>
        <w:rPr>
          <w:b/>
        </w:rPr>
        <w:t xml:space="preserve">ндаций  А (уровень достоверности доказательств - 1) </w:t>
      </w:r>
    </w:p>
    <w:p w:rsidR="00F15F71" w:rsidRDefault="00F974CD">
      <w:pPr>
        <w:spacing w:line="387" w:lineRule="auto"/>
        <w:ind w:left="-15" w:right="840" w:firstLine="566"/>
      </w:pPr>
      <w:r>
        <w:rPr>
          <w:b/>
        </w:rPr>
        <w:t xml:space="preserve">Комментарии: </w:t>
      </w:r>
      <w:r>
        <w:rPr>
          <w:i/>
        </w:rPr>
        <w:t>на 3 ступени терапии</w:t>
      </w:r>
      <w:r>
        <w:t xml:space="preserve"> </w:t>
      </w:r>
      <w:r>
        <w:rPr>
          <w:i/>
        </w:rPr>
        <w:t>указанный режим терапии позволит избежать типичного для пациентов с легкой астмой отказа от ИГКС, сохранив минимальный объем противовоспалительной терапии в период появл</w:t>
      </w:r>
      <w:r>
        <w:rPr>
          <w:i/>
        </w:rPr>
        <w:t>ения симптомов.</w:t>
      </w:r>
      <w:r>
        <w:t xml:space="preserve"> </w:t>
      </w:r>
      <w:r>
        <w:rPr>
          <w:i/>
        </w:rPr>
        <w:t>У взрослых и подростков комбинация ИГКС+формотерол в качестве комбинированной терапии в режиме единого ингалятора - как поддерживающей, так и облегчающей симптомы - более эффективна для снижения частоты обострений, по сравнению с теми же до</w:t>
      </w:r>
      <w:r>
        <w:rPr>
          <w:i/>
        </w:rPr>
        <w:t xml:space="preserve">зами ИГКС+ДДБА или более высокими дозами ИГКС базисной терапии </w:t>
      </w:r>
      <w:r>
        <w:t>[150].</w:t>
      </w:r>
      <w:r>
        <w:rPr>
          <w:i/>
        </w:rPr>
        <w:t xml:space="preserve"> Наилучший эффект при переходе на комбинированную терапию наблюдается у пациентов с тяжелыми обострениями в анамнезе </w:t>
      </w:r>
      <w:r>
        <w:t xml:space="preserve">[147] </w:t>
      </w:r>
    </w:p>
    <w:p w:rsidR="00F15F71" w:rsidRDefault="00F974CD">
      <w:pPr>
        <w:spacing w:after="156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Будесонид + формотерол** (</w:t>
      </w:r>
      <w:r>
        <w:rPr>
          <w:i/>
        </w:rPr>
        <w:t>код АТХ: R03AК07</w:t>
      </w:r>
      <w:r>
        <w:t>) в дозированном по</w:t>
      </w:r>
      <w:r>
        <w:t>рошковом ингаляторе взрослым и подросткам от 12 лет 160/4,5 мкг по 1-2 инг * 2 р в день на регулярной основе и по 1-2 инг по потребности (желательно не превышать 6 инг в сут, максимальная доза по потребности 12 инг/сут). Следует обращать внимание, что не в</w:t>
      </w:r>
      <w:r>
        <w:t xml:space="preserve">се ингаляторы, зарегистрированные на территории РФ и содержащие данную фиксированную комбинацию, имеют в инструкции указание на возможность применения в режиме по потребности и, соответственно, в режиме единого ингалятора. </w:t>
      </w:r>
    </w:p>
    <w:p w:rsidR="00F15F71" w:rsidRDefault="00F974CD">
      <w:pPr>
        <w:spacing w:after="155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6"/>
        <w:ind w:left="1438" w:right="841"/>
      </w:pPr>
      <w:r>
        <w:t>Беклометазон + формотерол** (</w:t>
      </w:r>
      <w:r>
        <w:rPr>
          <w:i/>
        </w:rPr>
        <w:t>к</w:t>
      </w:r>
      <w:r>
        <w:rPr>
          <w:i/>
        </w:rPr>
        <w:t>од АТХ: R03AК08</w:t>
      </w:r>
      <w:r>
        <w:t xml:space="preserve">) в дозированном аэрозольном ингаляторе взрослым (от 18 лет) 100/6 мкг по 1-2 инг * 2 р в день на регулярной основе и по 1-2 инг по потребности (максимальная доза по потребности 6 инг/сут).  </w:t>
      </w:r>
    </w:p>
    <w:p w:rsidR="00F15F71" w:rsidRDefault="00F974CD">
      <w:pPr>
        <w:spacing w:after="0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7"/>
        <w:ind w:left="1438" w:right="841"/>
      </w:pPr>
      <w:r>
        <w:t>Беклометазон + сальбутамол (</w:t>
      </w:r>
      <w:r>
        <w:rPr>
          <w:i/>
        </w:rPr>
        <w:t>код АТХ: R03AК08</w:t>
      </w:r>
      <w:r>
        <w:t xml:space="preserve">) </w:t>
      </w:r>
      <w:r>
        <w:t xml:space="preserve">в дозированном аэрозольном ингаляторе взрослым (от 18 лет) 250/100 мкг по 2 инг * 2 р в день на регулярной основе и по 1-2 инг по потребности (максимальная доза по потребности 8 инг/сут).  </w:t>
      </w:r>
    </w:p>
    <w:p w:rsidR="00F15F71" w:rsidRDefault="00F974CD">
      <w:pPr>
        <w:spacing w:after="188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line="389" w:lineRule="auto"/>
        <w:ind w:left="720" w:right="846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 рассмотреть возможность назначения глюкокортикос</w:t>
      </w:r>
      <w:r>
        <w:rPr>
          <w:b/>
        </w:rPr>
        <w:t>тероида местного (ИГКС) в низкой дозе в ежедневном режиме или антагониста лейкотриеновых рецепторов (АЛР) с использованием бета-2-адреномиметика селективного (КДБА) по необходимости для купирования приступов астмы всем пациентам с легкой БА и наличием факт</w:t>
      </w:r>
      <w:r>
        <w:rPr>
          <w:b/>
        </w:rPr>
        <w:t xml:space="preserve">оров риска обострения в качестве альтернативного подхода к лечению </w:t>
      </w:r>
      <w:r>
        <w:t>[137,140,142,151–159]</w:t>
      </w:r>
      <w:r>
        <w:rPr>
          <w:b/>
        </w:rPr>
        <w:t xml:space="preserve">. </w:t>
      </w:r>
    </w:p>
    <w:p w:rsidR="00F15F71" w:rsidRDefault="00F974CD">
      <w:pPr>
        <w:spacing w:after="148" w:line="270" w:lineRule="auto"/>
        <w:ind w:left="-5" w:right="10"/>
      </w:pPr>
      <w:r>
        <w:rPr>
          <w:b/>
        </w:rPr>
        <w:t xml:space="preserve">Уровень убедительности рекомендаций  А (уровень достоверности доказательств - 2) </w:t>
      </w:r>
    </w:p>
    <w:p w:rsidR="00F15F71" w:rsidRDefault="00F974CD">
      <w:pPr>
        <w:spacing w:line="387" w:lineRule="auto"/>
        <w:ind w:left="-15" w:right="840" w:firstLine="566"/>
      </w:pPr>
      <w:r>
        <w:rPr>
          <w:b/>
        </w:rPr>
        <w:t xml:space="preserve">Комментарии: </w:t>
      </w:r>
      <w:r>
        <w:rPr>
          <w:i/>
        </w:rPr>
        <w:t>Подробнее о выборе доз ИГКС с учетом возраста см. Приложение А3.2, А3.</w:t>
      </w:r>
      <w:r>
        <w:rPr>
          <w:i/>
        </w:rPr>
        <w:t>3., А3.4.</w:t>
      </w:r>
      <w:r>
        <w:t xml:space="preserve"> </w:t>
      </w:r>
      <w:r>
        <w:rPr>
          <w:i/>
        </w:rPr>
        <w:t xml:space="preserve">Лечение низкими дозами ИГКС является предпочтительным, особенно для детей младше 5 лет и должно продолжаться не менее 3-х месяцев </w:t>
      </w:r>
      <w:r>
        <w:t>[153,158,159].</w:t>
      </w:r>
      <w:r>
        <w:rPr>
          <w:i/>
        </w:rPr>
        <w:t xml:space="preserve"> Для </w:t>
      </w:r>
    </w:p>
    <w:p w:rsidR="00F15F71" w:rsidRDefault="00F974CD">
      <w:pPr>
        <w:spacing w:line="387" w:lineRule="auto"/>
        <w:ind w:left="-15" w:right="840" w:firstLine="0"/>
      </w:pPr>
      <w:r>
        <w:rPr>
          <w:i/>
        </w:rPr>
        <w:t>детей данной возрастной категории при выборе средства доставки следует руководствоваться доступн</w:t>
      </w:r>
      <w:r>
        <w:rPr>
          <w:i/>
        </w:rPr>
        <w:t xml:space="preserve">остью, предпочтением родителей и возможностями пациента (спейсер либо небулайзер с маской или мундштуком).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>Альтернативным вариантом терапии является ежедневный прием анагонистов лейкотриеновых рецепторов. За счет специфического связывания с цистеиниллейко</w:t>
      </w:r>
      <w:r>
        <w:rPr>
          <w:i/>
        </w:rPr>
        <w:t>триеновыми рецепторами АЛР (монтелукаст) подавляют воспаление слизистой носа и бронхов, спровоцированное аллергеном и неспецифическими триггерами, обладают выраженным противоаллергическим и противовоспалительным действием, эффективны как в подавлении симпт</w:t>
      </w:r>
      <w:r>
        <w:rPr>
          <w:i/>
        </w:rPr>
        <w:t>омов, так и с целью профилактики симптомов БА и аллергического ринита; АЛР уступают по эффективности ИГКС. Могут применяться как в качестве монотерапии, так и в комплексной терапии БА. Однако, при отсутствии эффекта, прежде чем перейти на третью ступень ле</w:t>
      </w:r>
      <w:r>
        <w:rPr>
          <w:i/>
        </w:rPr>
        <w:t xml:space="preserve">чения, рекомендуется рассмотреть назначение низких доз ИГКС </w:t>
      </w:r>
      <w:r>
        <w:t>[160]</w:t>
      </w:r>
      <w:r>
        <w:rPr>
          <w:i/>
        </w:rPr>
        <w:t xml:space="preserve">. </w:t>
      </w:r>
    </w:p>
    <w:p w:rsidR="00F15F71" w:rsidRDefault="00F974CD">
      <w:pPr>
        <w:spacing w:after="155" w:line="259" w:lineRule="auto"/>
        <w:ind w:left="566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Монтелукаст (</w:t>
      </w:r>
      <w:r>
        <w:rPr>
          <w:i/>
        </w:rPr>
        <w:t>код АТХ: R03DC03</w:t>
      </w:r>
      <w:r>
        <w:t>) детям в возрасте от 2 до 6 лет по 4 мг (1 жевательная таблетка) 1р в сутки; детям в возрасте от 6 до 15 лет по 5 мг (1 жевательная таблетка) 1р в сутки; вз</w:t>
      </w:r>
      <w:r>
        <w:t xml:space="preserve">рослым и детям старше 15 лет по 10 мг 1 р в сутки.  </w:t>
      </w:r>
    </w:p>
    <w:p w:rsidR="00F15F71" w:rsidRDefault="00F974CD">
      <w:pPr>
        <w:tabs>
          <w:tab w:val="center" w:pos="329"/>
          <w:tab w:val="center" w:pos="1518"/>
          <w:tab w:val="center" w:pos="3789"/>
          <w:tab w:val="center" w:pos="5867"/>
          <w:tab w:val="center" w:pos="8312"/>
        </w:tabs>
        <w:spacing w:after="16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rFonts w:ascii="Arial" w:eastAsia="Arial" w:hAnsi="Arial" w:cs="Arial"/>
          <w:sz w:val="20"/>
        </w:rPr>
        <w:tab/>
      </w:r>
      <w:r>
        <w:rPr>
          <w:b/>
        </w:rPr>
        <w:t xml:space="preserve">Рекомендуется </w:t>
      </w:r>
      <w:r>
        <w:rPr>
          <w:b/>
        </w:rPr>
        <w:tab/>
        <w:t xml:space="preserve">рассмотреть </w:t>
      </w:r>
      <w:r>
        <w:rPr>
          <w:b/>
        </w:rPr>
        <w:tab/>
        <w:t xml:space="preserve">назначение </w:t>
      </w:r>
      <w:r>
        <w:rPr>
          <w:b/>
        </w:rPr>
        <w:tab/>
        <w:t xml:space="preserve">комбинированного </w:t>
      </w:r>
    </w:p>
    <w:p w:rsidR="00F15F71" w:rsidRDefault="00F974CD">
      <w:pPr>
        <w:spacing w:line="393" w:lineRule="auto"/>
        <w:ind w:left="718" w:right="846"/>
      </w:pPr>
      <w:r>
        <w:rPr>
          <w:b/>
        </w:rPr>
        <w:t xml:space="preserve">бронходилатирующего средства (бета2-адреномиметика селективного и глюкокортикостероида местного, код АТХ R03AK) </w:t>
      </w:r>
      <w:r>
        <w:rPr>
          <w:b/>
        </w:rPr>
        <w:t xml:space="preserve">на регулярной основе пациентам старше 6 лет со средне-тяжелой БА с использованием бета-2адреномиметика селективного (КДБА) по потребности для купирования приступов астмы (если им уже не назначен формотерол+ИГКС в режиме единого ингалятора) или рассмотреть </w:t>
      </w:r>
      <w:r>
        <w:rPr>
          <w:b/>
        </w:rPr>
        <w:t>возможность удвоения доз ИГКС на регулярной основе (в качестве альтернативного варианта)</w:t>
      </w:r>
      <w:r>
        <w:t xml:space="preserve"> </w:t>
      </w:r>
      <w:r>
        <w:rPr>
          <w:b/>
        </w:rPr>
        <w:t>с использованием бета-2-адреномиметика селективного (КДБА) по потребности для купирования приступов астмы</w:t>
      </w:r>
      <w:r>
        <w:t xml:space="preserve"> [41,120,161–166]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50" w:line="270" w:lineRule="auto"/>
        <w:ind w:left="-5" w:right="10"/>
      </w:pPr>
      <w:r>
        <w:rPr>
          <w:b/>
        </w:rPr>
        <w:t>Уровень убедительности рекомендаций  А (ур</w:t>
      </w:r>
      <w:r>
        <w:rPr>
          <w:b/>
        </w:rPr>
        <w:t xml:space="preserve">овень достоверности доказательств - 1)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>Комментарии:</w:t>
      </w:r>
      <w:r>
        <w:t xml:space="preserve"> </w:t>
      </w:r>
      <w:r>
        <w:rPr>
          <w:i/>
        </w:rPr>
        <w:t xml:space="preserve">На третьей ступени терапии БА у взрослых и детей с 6 лет возможно рассмотреть увеличение дозы ИГКС до средней (альтернативный вариант терапии) </w:t>
      </w:r>
      <w:r>
        <w:t>[167]</w:t>
      </w:r>
      <w:r>
        <w:rPr>
          <w:i/>
        </w:rPr>
        <w:t xml:space="preserve">, однако, это менее эффективно, чем добавление ДДБА </w:t>
      </w:r>
      <w:r>
        <w:t>[16</w:t>
      </w:r>
      <w:r>
        <w:t>4,166]</w:t>
      </w:r>
      <w:r>
        <w:rPr>
          <w:i/>
        </w:rPr>
        <w:t xml:space="preserve">. Комбинация низких доз ИГКС с АЛР или добавление низких доз теофиллина (альтернативный вариант терапии) с длительным высвобождением являются менее эффективными </w:t>
      </w:r>
      <w:r>
        <w:t>[161,168]</w:t>
      </w:r>
      <w:r>
        <w:rPr>
          <w:i/>
        </w:rPr>
        <w:t xml:space="preserve">. 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Подробнее о выборе средних доз ИГКС с учетом возраста см. Приложение А3.2, А</w:t>
      </w:r>
      <w:r>
        <w:rPr>
          <w:i/>
        </w:rPr>
        <w:t xml:space="preserve">3.3, А3.4.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Важно предупредить пациента о том, что количество ингаляций КДБА по необходимости не должно превышать 6 инг/сут.</w:t>
      </w:r>
      <w:r>
        <w:rPr>
          <w:b/>
        </w:rPr>
        <w:t xml:space="preserve"> </w:t>
      </w:r>
      <w:r>
        <w:rPr>
          <w:i/>
        </w:rP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ind w:left="1438" w:right="841"/>
      </w:pPr>
      <w:r>
        <w:t>Кроме ранее упомянутых комбинаций ИГКС+ДДБА, которые могут быть рекомендованы в режиме единого ингалятора (Будесонид + формотер</w:t>
      </w:r>
      <w:r>
        <w:t xml:space="preserve">ол** </w:t>
      </w:r>
      <w:r>
        <w:rPr>
          <w:i/>
        </w:rPr>
        <w:t xml:space="preserve">код АТХ: R03AК07; </w:t>
      </w:r>
      <w:r>
        <w:t xml:space="preserve">Беклометазон + формотерол**, </w:t>
      </w:r>
      <w:r>
        <w:rPr>
          <w:i/>
        </w:rPr>
        <w:t xml:space="preserve">код АТХ: R03AК08 и </w:t>
      </w:r>
      <w:r>
        <w:t xml:space="preserve">Беклометазон + сальбутамол, </w:t>
      </w:r>
      <w:r>
        <w:rPr>
          <w:i/>
        </w:rPr>
        <w:t>код АТХ: R03AК08</w:t>
      </w:r>
      <w:r>
        <w:t>),</w:t>
      </w:r>
      <w:r>
        <w:rPr>
          <w:i/>
        </w:rPr>
        <w:t xml:space="preserve"> </w:t>
      </w:r>
      <w:r>
        <w:t xml:space="preserve">в данной группе можно рассмотреть назначение: </w:t>
      </w:r>
    </w:p>
    <w:p w:rsidR="00F15F71" w:rsidRDefault="00F974CD">
      <w:pPr>
        <w:spacing w:after="160" w:line="259" w:lineRule="auto"/>
        <w:ind w:left="1428" w:firstLine="0"/>
        <w:jc w:val="left"/>
      </w:pPr>
      <w:r>
        <w:t xml:space="preserve">  </w:t>
      </w:r>
    </w:p>
    <w:p w:rsidR="00F15F71" w:rsidRDefault="00F974CD">
      <w:pPr>
        <w:spacing w:after="29"/>
        <w:ind w:left="1438" w:right="841"/>
      </w:pPr>
      <w:r>
        <w:t xml:space="preserve">Будесонид + формотерол** (код АТХ: R03AК07) в дозированном аэрозольном ингаляторе детям </w:t>
      </w:r>
      <w:r>
        <w:t xml:space="preserve">от 6 лет и взрослым 80/4,5 мкг по 2 инг * 1-2 в день, подросткам с 12 лет и взрослым возможно 160/4,5 мкг по 2 инг * 1-2 р в день на регулярной основе </w:t>
      </w:r>
    </w:p>
    <w:p w:rsidR="00F15F71" w:rsidRDefault="00F974CD">
      <w:pPr>
        <w:spacing w:after="0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1438" w:right="841"/>
      </w:pPr>
      <w:r>
        <w:t>Салметерол + флутиказон** (</w:t>
      </w:r>
      <w:r>
        <w:rPr>
          <w:i/>
        </w:rPr>
        <w:t>код АТХ: R03AК06</w:t>
      </w:r>
      <w:r>
        <w:t xml:space="preserve">) в дозированном </w:t>
      </w:r>
    </w:p>
    <w:p w:rsidR="00F15F71" w:rsidRDefault="00F974CD">
      <w:pPr>
        <w:ind w:left="1438" w:right="841"/>
      </w:pPr>
      <w:r>
        <w:t>аэрозольном ингаляторе детям от 4 до 12 лет 25/50 мкг * 2 р в день, взрослым и подросткам от 12 лет 50/100 мкг или 50/250 мкг * 2 р в день на регулярной основе или в дозированном порошковом ингаляторе взрослым и подросткам от 12 лет 50/100 мкг или 50/250 м</w:t>
      </w:r>
      <w:r>
        <w:t xml:space="preserve">кг * 2 р в день  на регулярной основе </w:t>
      </w:r>
    </w:p>
    <w:p w:rsidR="00F15F71" w:rsidRDefault="00F974CD">
      <w:pPr>
        <w:spacing w:after="153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6"/>
        <w:ind w:left="1438" w:right="841"/>
      </w:pPr>
      <w:r>
        <w:t>Вилантерол + флутиказона фуроат** (</w:t>
      </w:r>
      <w:r>
        <w:rPr>
          <w:i/>
        </w:rPr>
        <w:t>код АТХ: R03AК10</w:t>
      </w:r>
      <w:r>
        <w:t xml:space="preserve">) в дозированном порошковом ингаляторе взрослым и подросткам от 12 лет 22/92 мкг * 1 р в день на регулярной основе.  </w:t>
      </w:r>
    </w:p>
    <w:p w:rsidR="00F15F71" w:rsidRDefault="00F974CD">
      <w:pPr>
        <w:spacing w:after="115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30"/>
        <w:ind w:left="1438" w:right="841"/>
      </w:pPr>
      <w:r>
        <w:t>Также, возможные к назначению комбинации ИГК</w:t>
      </w:r>
      <w:r>
        <w:t>С+ДДБА как мометазон+формотерол (</w:t>
      </w:r>
      <w:r>
        <w:rPr>
          <w:i/>
        </w:rPr>
        <w:t>код АТХ: R03AК09</w:t>
      </w:r>
      <w:r>
        <w:t>) и мометазон+индакатерол (</w:t>
      </w:r>
      <w:r>
        <w:rPr>
          <w:i/>
        </w:rPr>
        <w:t xml:space="preserve">код </w:t>
      </w:r>
    </w:p>
    <w:p w:rsidR="00F15F71" w:rsidRDefault="00F974CD">
      <w:pPr>
        <w:spacing w:after="112" w:line="259" w:lineRule="auto"/>
        <w:ind w:left="1438" w:right="841"/>
      </w:pPr>
      <w:r>
        <w:rPr>
          <w:i/>
        </w:rPr>
        <w:t>АТХ: R03AК14</w:t>
      </w:r>
      <w:r>
        <w:t xml:space="preserve">), в настоящее время временно недоступны на территории РФ. </w:t>
      </w:r>
    </w:p>
    <w:p w:rsidR="00F15F71" w:rsidRDefault="00F974CD">
      <w:pPr>
        <w:spacing w:after="406" w:line="259" w:lineRule="auto"/>
        <w:ind w:left="566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line="398" w:lineRule="auto"/>
        <w:ind w:left="708" w:right="10" w:hanging="425"/>
      </w:pP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b/>
        </w:rPr>
        <w:t>Рекомендуется рассмотреть возможность удвоения доз ИГКС на регулярной основе пациентам младше 5 лет</w:t>
      </w:r>
      <w:r>
        <w:rPr>
          <w:b/>
        </w:rPr>
        <w:t xml:space="preserve"> со средне-тяжелой БА с использованием </w:t>
      </w:r>
    </w:p>
    <w:p w:rsidR="00F15F71" w:rsidRDefault="00F974CD">
      <w:pPr>
        <w:tabs>
          <w:tab w:val="center" w:pos="1440"/>
          <w:tab w:val="center" w:pos="3999"/>
          <w:tab w:val="center" w:pos="6239"/>
          <w:tab w:val="center" w:pos="7323"/>
          <w:tab w:val="center" w:pos="8677"/>
        </w:tabs>
        <w:spacing w:after="119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селективного </w:t>
      </w:r>
      <w:r>
        <w:rPr>
          <w:b/>
        </w:rPr>
        <w:tab/>
        <w:t xml:space="preserve">бета-2-адреномиметика </w:t>
      </w:r>
      <w:r>
        <w:rPr>
          <w:b/>
        </w:rPr>
        <w:tab/>
        <w:t xml:space="preserve">(КДБА) </w:t>
      </w:r>
      <w:r>
        <w:rPr>
          <w:b/>
        </w:rPr>
        <w:tab/>
        <w:t xml:space="preserve">по </w:t>
      </w:r>
      <w:r>
        <w:rPr>
          <w:b/>
        </w:rPr>
        <w:tab/>
        <w:t xml:space="preserve">потребности </w:t>
      </w:r>
    </w:p>
    <w:p w:rsidR="00F15F71" w:rsidRDefault="00F974CD">
      <w:pPr>
        <w:spacing w:after="163" w:line="259" w:lineRule="auto"/>
        <w:ind w:left="718" w:right="841"/>
      </w:pPr>
      <w:r>
        <w:t>[44,77,160,169,170]</w:t>
      </w:r>
      <w:r>
        <w:rPr>
          <w:b/>
        </w:rPr>
        <w:t xml:space="preserve">.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 xml:space="preserve">Уровень убедительности рекомендаций  А (уровень достоверности доказательств - 2)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Подробнее о выборе средних доз ИГКС с учетом возраста см. Приложение А3.2, А3.3, А3.4. Прежде чем приступать к более активному лечению – перейти на 3 ступень терапии, необходимо убедиться, что симптомы вызваны БА, а не сопутствующим или альтернативным забо</w:t>
      </w:r>
      <w:r>
        <w:rPr>
          <w:i/>
        </w:rPr>
        <w:t xml:space="preserve">леванием. В качестве альтернативного варианта терапии возможно рассмотреть добавление к низким дозам ИГКС АЛР.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Использование ИГКС+ДДБА у детей младше 4 лет на третьей ступени терапии не рекомендовано, так как их безопасность и эффективность мало изучены в</w:t>
      </w:r>
      <w:r>
        <w:rPr>
          <w:i/>
        </w:rPr>
        <w:t xml:space="preserve"> данной возрастной группе, а данное назначение будет вне инструкции. В одном исследовании не было выявлено статистически значимых различий в эффективности ИГКС+ДДБА и монотерапии ИГКС у пациентов младше 4 лет </w:t>
      </w:r>
      <w:r>
        <w:t>[171]</w:t>
      </w:r>
      <w:r>
        <w:rPr>
          <w:i/>
        </w:rPr>
        <w:t xml:space="preserve">. </w:t>
      </w:r>
    </w:p>
    <w:p w:rsidR="00F15F71" w:rsidRDefault="00F974CD">
      <w:pPr>
        <w:spacing w:after="189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line="399" w:lineRule="auto"/>
        <w:ind w:left="720" w:right="846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 рассмотреть возможнос</w:t>
      </w:r>
      <w:r>
        <w:rPr>
          <w:b/>
        </w:rPr>
        <w:t xml:space="preserve">ть назначения фиксированной тройной комбинации ИГКС+ДДБА+ДДАХ (бета2-адреномиметика селективного и глюкокортикостероида местного, код АТХ R03AL) пациентам старше 18 лет с неконтролируемой БА несмотря на терапию средними и высокими дозами ИГКС в комбинации </w:t>
      </w:r>
      <w:r>
        <w:rPr>
          <w:b/>
        </w:rPr>
        <w:t xml:space="preserve">с ДДБА и наличием одного и более обострений за последний год (в качестве предпочтительной терапии) </w:t>
      </w:r>
      <w:r>
        <w:t>[172–181]</w:t>
      </w:r>
      <w:r>
        <w:rPr>
          <w:b/>
        </w:rPr>
        <w:t xml:space="preserve"> 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 xml:space="preserve">Уровень убедительности рекомендаций  А (уровень достоверности доказательств - 2)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У взрослых пациентов с недостаточным контролем над</w:t>
      </w:r>
      <w:r>
        <w:rPr>
          <w:i/>
        </w:rPr>
        <w:t xml:space="preserve"> БА на фоне средних доз ИГКС+ДДБА, назначение фиксированной тройной комбинации </w:t>
      </w:r>
    </w:p>
    <w:p w:rsidR="00F15F71" w:rsidRDefault="00F974CD">
      <w:pPr>
        <w:spacing w:after="115" w:line="259" w:lineRule="auto"/>
        <w:ind w:left="-15" w:right="840" w:firstLine="0"/>
      </w:pPr>
      <w:r>
        <w:rPr>
          <w:i/>
        </w:rPr>
        <w:t xml:space="preserve">ИГКС+ДДБА+ДДАХ улучшает функцию легких и снижает частоту обострений </w:t>
      </w:r>
      <w:r>
        <w:t>[172–</w:t>
      </w:r>
    </w:p>
    <w:p w:rsidR="00F15F71" w:rsidRDefault="00F974CD">
      <w:pPr>
        <w:spacing w:after="113" w:line="259" w:lineRule="auto"/>
        <w:ind w:left="10" w:right="841"/>
      </w:pPr>
      <w:r>
        <w:t>181]</w:t>
      </w:r>
      <w:r>
        <w:rPr>
          <w:b/>
        </w:rPr>
        <w:t xml:space="preserve">  </w:t>
      </w:r>
    </w:p>
    <w:p w:rsidR="00F15F71" w:rsidRDefault="00F974CD">
      <w:pPr>
        <w:spacing w:after="161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Вилантерол + умеклидиния бромид + флутиказона фуроат** (</w:t>
      </w:r>
      <w:r>
        <w:rPr>
          <w:i/>
        </w:rPr>
        <w:t>код АТХ: R03AL08</w:t>
      </w:r>
      <w:r>
        <w:t xml:space="preserve">) </w:t>
      </w:r>
      <w:r>
        <w:t xml:space="preserve">в дозированном порошковом ингаляторе взрослым 22/55/92 мкг или 22/55/184 мкг по 1 инг * 1 р в день на регулярной основе.  </w:t>
      </w:r>
    </w:p>
    <w:p w:rsidR="00F15F71" w:rsidRDefault="00F974CD">
      <w:pPr>
        <w:spacing w:after="155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9"/>
        <w:ind w:left="1438" w:right="841"/>
      </w:pPr>
      <w:r>
        <w:t>Беклометазон + гликопиррония бромид + формотерол (</w:t>
      </w:r>
      <w:r>
        <w:rPr>
          <w:i/>
        </w:rPr>
        <w:t>код АТХ: R03AL09</w:t>
      </w:r>
      <w:r>
        <w:t xml:space="preserve">) в дозированном аэрозольном ингаляторе взрослым 100/10/6 мкг по </w:t>
      </w:r>
      <w:r>
        <w:t xml:space="preserve">2 инг * 2 р в день на регулярной основе.  </w:t>
      </w:r>
    </w:p>
    <w:p w:rsidR="00F15F71" w:rsidRDefault="00F974CD">
      <w:pPr>
        <w:spacing w:after="155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73"/>
        <w:ind w:left="1438" w:right="841"/>
      </w:pPr>
      <w:r>
        <w:t>Гликопиррония бромид + индакатерол + мометазон (</w:t>
      </w:r>
      <w:r>
        <w:rPr>
          <w:i/>
        </w:rPr>
        <w:t>код АТХ: R03AL12</w:t>
      </w:r>
      <w:r>
        <w:t xml:space="preserve">) в капсулах с порошком и устройством для ингаляций взрослым 50/150/80 мкг или 50/150/160 мкг по 1 инг * 1 р в день на регулярной основе.  </w:t>
      </w:r>
    </w:p>
    <w:p w:rsidR="00F15F71" w:rsidRDefault="00F974CD">
      <w:pPr>
        <w:spacing w:line="402" w:lineRule="auto"/>
        <w:ind w:left="708" w:right="10" w:hanging="425"/>
      </w:pP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b/>
        </w:rPr>
        <w:t>Реком</w:t>
      </w:r>
      <w:r>
        <w:rPr>
          <w:b/>
        </w:rPr>
        <w:t xml:space="preserve">ендуется рассмотреть возможность добавления антихолинергического средства (ДДАХ) тиотропия бромида** к средним или высоким дозам ИГКС в </w:t>
      </w:r>
    </w:p>
    <w:p w:rsidR="00F15F71" w:rsidRDefault="00F974CD">
      <w:pPr>
        <w:tabs>
          <w:tab w:val="center" w:pos="1385"/>
          <w:tab w:val="center" w:pos="2586"/>
          <w:tab w:val="center" w:pos="3440"/>
          <w:tab w:val="center" w:pos="5528"/>
          <w:tab w:val="center" w:pos="8016"/>
          <w:tab w:val="center" w:pos="9289"/>
        </w:tabs>
        <w:spacing w:after="158" w:line="270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комбинации </w:t>
      </w:r>
      <w:r>
        <w:rPr>
          <w:b/>
        </w:rPr>
        <w:tab/>
        <w:t xml:space="preserve">с </w:t>
      </w:r>
      <w:r>
        <w:rPr>
          <w:b/>
        </w:rPr>
        <w:tab/>
        <w:t xml:space="preserve">ДДБА </w:t>
      </w:r>
      <w:r>
        <w:rPr>
          <w:b/>
        </w:rPr>
        <w:tab/>
        <w:t xml:space="preserve">(бета2-адреномиметика </w:t>
      </w:r>
      <w:r>
        <w:rPr>
          <w:b/>
        </w:rPr>
        <w:tab/>
        <w:t xml:space="preserve">селективного </w:t>
      </w:r>
      <w:r>
        <w:rPr>
          <w:b/>
        </w:rPr>
        <w:tab/>
        <w:t xml:space="preserve">и </w:t>
      </w:r>
    </w:p>
    <w:p w:rsidR="00F15F71" w:rsidRDefault="00F974CD">
      <w:pPr>
        <w:spacing w:line="400" w:lineRule="auto"/>
        <w:ind w:left="718" w:right="10"/>
      </w:pPr>
      <w:r>
        <w:rPr>
          <w:b/>
        </w:rPr>
        <w:t>глюкокортикостероида местного, код АТХ R03AL) пациентам с</w:t>
      </w:r>
      <w:r>
        <w:rPr>
          <w:b/>
        </w:rPr>
        <w:t xml:space="preserve">тарше 6 лет с неконтролируемой БА, несмотря на терапию средними и высокими дозами </w:t>
      </w:r>
    </w:p>
    <w:p w:rsidR="00F15F71" w:rsidRDefault="00F974CD">
      <w:pPr>
        <w:spacing w:after="101" w:line="270" w:lineRule="auto"/>
        <w:ind w:left="718" w:right="10"/>
      </w:pPr>
      <w:r>
        <w:rPr>
          <w:b/>
        </w:rPr>
        <w:t xml:space="preserve">ИГКС в комбинации с ДДБА (в качестве предпочтительной терапии) </w:t>
      </w:r>
      <w:r>
        <w:t>[172,182–</w:t>
      </w:r>
    </w:p>
    <w:p w:rsidR="00F15F71" w:rsidRDefault="00F974CD">
      <w:pPr>
        <w:spacing w:after="163" w:line="259" w:lineRule="auto"/>
        <w:ind w:left="718" w:right="841"/>
      </w:pPr>
      <w:r>
        <w:t>186]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 xml:space="preserve">Уровень убедительности рекомендаций  А (уровень достоверности доказательств - 2)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Несмотря на то, что тиотропия бромид** доступен в виде разных ингаляционных устройств, данные по использованию препарата при БА получены только для жидкостного ингалятора и не могут быть экстраполированы на тиотропия бромид** в виде ДПИ. Для л</w:t>
      </w:r>
      <w:r>
        <w:rPr>
          <w:i/>
        </w:rPr>
        <w:t xml:space="preserve">ечения БА из длительнодействующих антихолинергических препаратов зарегистрирован только тиотропия бромид**. </w:t>
      </w:r>
      <w:r>
        <w:rPr>
          <w:b/>
        </w:rP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30"/>
        <w:ind w:left="1438" w:right="841"/>
      </w:pPr>
      <w:r>
        <w:t>Тиотропия бромид** (</w:t>
      </w:r>
      <w:r>
        <w:rPr>
          <w:i/>
        </w:rPr>
        <w:t>код АТХ: R03BB04</w:t>
      </w:r>
      <w:r>
        <w:t xml:space="preserve">) р-р для ингаляции в комплекте с ингалятором детям от 6 лет и взрослым 2,5 мкг по 2 инг * 1р в день. </w:t>
      </w:r>
    </w:p>
    <w:p w:rsidR="00F15F71" w:rsidRDefault="00F974CD">
      <w:pPr>
        <w:spacing w:after="406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numPr>
          <w:ilvl w:val="0"/>
          <w:numId w:val="15"/>
        </w:numPr>
        <w:spacing w:line="400" w:lineRule="auto"/>
        <w:ind w:right="839" w:hanging="425"/>
      </w:pPr>
      <w:r>
        <w:rPr>
          <w:b/>
        </w:rPr>
        <w:t xml:space="preserve">Рекомендуется рассмотреть возможность назначения высоких доз ИГКС в комбинации с ДДБА (бета2-адреномиметика селективного и </w:t>
      </w:r>
    </w:p>
    <w:p w:rsidR="00F15F71" w:rsidRDefault="00F974CD">
      <w:pPr>
        <w:spacing w:line="399" w:lineRule="auto"/>
        <w:ind w:left="718" w:right="10"/>
      </w:pPr>
      <w:r>
        <w:rPr>
          <w:b/>
        </w:rPr>
        <w:t>глюкокортикостероида местного, код АТХ R03AK) на регулярной основе пациентам старше 12 лет при недостаточной эффективности средних д</w:t>
      </w:r>
      <w:r>
        <w:rPr>
          <w:b/>
        </w:rPr>
        <w:t xml:space="preserve">оз </w:t>
      </w:r>
    </w:p>
    <w:p w:rsidR="00F15F71" w:rsidRDefault="00F974CD">
      <w:pPr>
        <w:spacing w:after="30" w:line="373" w:lineRule="auto"/>
        <w:ind w:left="718" w:right="10"/>
      </w:pPr>
      <w:r>
        <w:rPr>
          <w:b/>
        </w:rPr>
        <w:t xml:space="preserve">ИГКС в комбинации с ДДБА или добавление АЛР в качестве альтернативной терапии </w:t>
      </w:r>
      <w:r>
        <w:t>[159,166,187–191]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 xml:space="preserve">Уровень убедительности рекомендаций - B (уровень достоверности доказательств - 3) </w:t>
      </w:r>
    </w:p>
    <w:p w:rsidR="00F15F71" w:rsidRDefault="00F974CD">
      <w:pPr>
        <w:spacing w:after="276"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эффективность подобной тактики уступает добавлению к терап</w:t>
      </w:r>
      <w:r>
        <w:rPr>
          <w:i/>
        </w:rPr>
        <w:t xml:space="preserve">ии ДДАХ. Также возможно повышение кратности приема средней/высокой дозы будесонида** до 4 раз в сутки </w:t>
      </w:r>
      <w:r>
        <w:t>[192,193]</w:t>
      </w:r>
      <w:r>
        <w:rPr>
          <w:i/>
        </w:rPr>
        <w:t xml:space="preserve">, однако может отмечаться низкая приверженность к лечению. </w:t>
      </w:r>
    </w:p>
    <w:p w:rsidR="00F15F71" w:rsidRDefault="00F974CD">
      <w:pPr>
        <w:numPr>
          <w:ilvl w:val="0"/>
          <w:numId w:val="15"/>
        </w:numPr>
        <w:spacing w:after="69" w:line="259" w:lineRule="auto"/>
        <w:ind w:right="839" w:hanging="425"/>
      </w:pPr>
      <w:r>
        <w:rPr>
          <w:b/>
        </w:rPr>
        <w:t xml:space="preserve">Рекомендуется у детей младше 5 лет при отсутствии контроля над БА на фоне </w:t>
      </w:r>
    </w:p>
    <w:p w:rsidR="00F15F71" w:rsidRDefault="00F974CD">
      <w:pPr>
        <w:spacing w:after="25" w:line="377" w:lineRule="auto"/>
        <w:ind w:left="730" w:right="846"/>
      </w:pPr>
      <w:r>
        <w:rPr>
          <w:b/>
        </w:rPr>
        <w:t xml:space="preserve">удвоенной дозы ИГКС провести контроль техники ингаляции, приверженности к лечению, оценить вероятность воздействия факторов окружающей среды, исключить альтернативный диагноз </w:t>
      </w:r>
      <w:r>
        <w:t>[6,21]</w:t>
      </w:r>
      <w:r>
        <w:rPr>
          <w:b/>
        </w:rPr>
        <w:t xml:space="preserve">. </w:t>
      </w:r>
    </w:p>
    <w:p w:rsidR="00F15F71" w:rsidRDefault="00F974CD">
      <w:pPr>
        <w:spacing w:after="105" w:line="270" w:lineRule="auto"/>
        <w:ind w:left="-5" w:right="10"/>
      </w:pPr>
      <w:r>
        <w:rPr>
          <w:b/>
        </w:rPr>
        <w:t>Уровень убедительности рекомендаций С (уровень достоверности доказательс</w:t>
      </w:r>
      <w:r>
        <w:rPr>
          <w:b/>
        </w:rPr>
        <w:t xml:space="preserve">тв – 5) </w:t>
      </w:r>
    </w:p>
    <w:p w:rsidR="00F15F71" w:rsidRDefault="00F974CD">
      <w:pPr>
        <w:spacing w:after="279"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Оптимальное лечение для детей данного возраста в настоящий момент отсутствует. Если диагноз БА подтвержден, то возможно применение следующих подходов: дальнейшее увеличение дозы ИГКС в течение нескольких недель до установления контрол</w:t>
      </w:r>
      <w:r>
        <w:rPr>
          <w:i/>
        </w:rPr>
        <w:t>я над БА с отслеживанием побочных эффектов; добавление АЛР; назначение ИГКС+ДДБА (детям в возрасте ≥4 лет); периодическое добавление высоких доз ИГКС к ежедневной дозе базисной терапии в начале ОРИ; добавление низкой дозы СГКС в течение нескольких недель д</w:t>
      </w:r>
      <w:r>
        <w:rPr>
          <w:i/>
        </w:rPr>
        <w:t xml:space="preserve">о установления контроля над симптомами БА с отслеживанием побочных эффектов. </w:t>
      </w:r>
    </w:p>
    <w:p w:rsidR="00F15F71" w:rsidRDefault="00F974CD">
      <w:pPr>
        <w:numPr>
          <w:ilvl w:val="0"/>
          <w:numId w:val="15"/>
        </w:numPr>
        <w:spacing w:line="388" w:lineRule="auto"/>
        <w:ind w:right="839" w:hanging="425"/>
      </w:pPr>
      <w:r>
        <w:rPr>
          <w:b/>
        </w:rPr>
        <w:t xml:space="preserve">Рекомендуется пациентам в возрасте от 6 лет и старше с тяжелой БА рассмотреть возможность назначения генно-инженерных биологических препаратов (ГИБП) из фармакологической группы </w:t>
      </w:r>
      <w:r>
        <w:rPr>
          <w:b/>
        </w:rPr>
        <w:t xml:space="preserve">R03DX «Прочие средства системного действия для лечения обструктивных заболеваний дыхательных путей» или D11AH «Препараты для лечения дерматита, кроме </w:t>
      </w:r>
    </w:p>
    <w:p w:rsidR="00F15F71" w:rsidRDefault="00F974CD">
      <w:pPr>
        <w:spacing w:after="168" w:line="259" w:lineRule="auto"/>
        <w:ind w:left="10" w:right="839"/>
        <w:jc w:val="right"/>
      </w:pPr>
      <w:r>
        <w:rPr>
          <w:b/>
        </w:rPr>
        <w:t>кортикостероидов» с учетом фенотипа БА в качестве дополнения к базисной терапии с целью достижения контро</w:t>
      </w:r>
      <w:r>
        <w:rPr>
          <w:b/>
        </w:rPr>
        <w:t>ля над симптомами заболевания</w:t>
      </w:r>
      <w:r>
        <w:t xml:space="preserve">, </w:t>
      </w:r>
    </w:p>
    <w:p w:rsidR="00F15F71" w:rsidRDefault="00F974CD">
      <w:pPr>
        <w:spacing w:line="388" w:lineRule="auto"/>
        <w:ind w:left="730" w:right="10"/>
      </w:pPr>
      <w:r>
        <w:rPr>
          <w:b/>
        </w:rPr>
        <w:t>снижения риска</w:t>
      </w:r>
      <w:r>
        <w:t xml:space="preserve"> </w:t>
      </w:r>
      <w:r>
        <w:rPr>
          <w:b/>
        </w:rPr>
        <w:t xml:space="preserve">обострений и потребности в системных глюкокортикостероидах </w:t>
      </w:r>
      <w:r>
        <w:t>[194–204]</w:t>
      </w:r>
      <w:r>
        <w:rPr>
          <w:b/>
        </w:rPr>
        <w:t xml:space="preserve">.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 xml:space="preserve">Уровень убедительности рекомендаций  А (уровень достоверности доказательств - 1)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Эффекты применяемых на сегодняшний день ГИБ</w:t>
      </w:r>
      <w:r>
        <w:rPr>
          <w:i/>
        </w:rPr>
        <w:t>П в терапии тяжелой БА сводятся к достижению контроля над симптомами, снижению частоты обострений, госпитализаций, посещения отделений неотложной помощи и потребности в ОКС (вплоть до полной отмены ОКС у пациентов, принимавших их на постоянной основе). Отв</w:t>
      </w:r>
      <w:r>
        <w:rPr>
          <w:i/>
        </w:rPr>
        <w:t>ет на терапию ГИБП зависит от фенотипа БА, поэтому выбор правильного биологического препарата имеет решающее значение для обеспечения успеха терапии. Критериями отбора для биологической терапии в случае Т2-астмы служат биологические (наличие атопии, эозино</w:t>
      </w:r>
      <w:r>
        <w:rPr>
          <w:i/>
        </w:rPr>
        <w:t xml:space="preserve">филия крови и мокроты; уровень сывороточного IgE; высокие уровни FeNO) и клинические маркеры (частота обострений, хороший ответ на терапию СГКС, наличие сопутствующих заболеваний, таких как рецидивирующий полипозный риносинусит, атопический дерматит) </w:t>
      </w:r>
      <w:r>
        <w:t>[194–</w:t>
      </w:r>
      <w:r>
        <w:t>207]</w:t>
      </w:r>
      <w:r>
        <w:rPr>
          <w:b/>
        </w:rPr>
        <w:t>.</w:t>
      </w: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Решение вопроса о назначении и выборе ГИБП принимает врачебный консилиум специалистов, имеющих опыт в проведении терапии ГИБП при БА. </w:t>
      </w:r>
    </w:p>
    <w:p w:rsidR="00F15F71" w:rsidRDefault="00F974CD">
      <w:pPr>
        <w:spacing w:after="112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30"/>
        <w:ind w:left="1438" w:right="841"/>
      </w:pPr>
      <w:r>
        <w:t xml:space="preserve">В настоящее время для лечения тяжелой неконтролируемой БА существует несколько ГИБП: </w:t>
      </w:r>
    </w:p>
    <w:p w:rsidR="00F15F71" w:rsidRDefault="00F974CD">
      <w:pPr>
        <w:spacing w:after="162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 xml:space="preserve">Омализумаб** </w:t>
      </w:r>
      <w:r>
        <w:rPr>
          <w:i/>
        </w:rPr>
        <w:t>(код АТХ: R03DX05)</w:t>
      </w:r>
      <w:r>
        <w:t xml:space="preserve"> разрешен к применению у детей от 6 лет и взрослых, расчет дозы (от 75 мг до 600 мг) и схемы применения (подкожно каждые 2 или 4 нед) производится в зависимости от исходного уровня общего иммуноглобулина Е и массы тела пациента, согласно </w:t>
      </w:r>
      <w:r>
        <w:t xml:space="preserve">таблице в инструкции. </w:t>
      </w:r>
    </w:p>
    <w:p w:rsidR="00F15F71" w:rsidRDefault="00F974CD">
      <w:pPr>
        <w:spacing w:after="155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 xml:space="preserve">Дупилумаб** </w:t>
      </w:r>
      <w:r>
        <w:rPr>
          <w:i/>
        </w:rPr>
        <w:t>(код АТХ: D11AH05)</w:t>
      </w:r>
      <w:r>
        <w:t xml:space="preserve"> разрешен к применению у детей от 6 лет и взрослых; для детей от 12 лет и взрослых начальная доза - 400 мг подкожно (2 инъекции по 200 мг), далее - по 200 мг каждые 2 недели; для пациентов с глюкокорти</w:t>
      </w:r>
      <w:r>
        <w:t xml:space="preserve">костероидозависимой БА или сопутствующим среднетяжелым или тяжелым атопическим дерматитом, при котором показано применение препарата начальная доза - 600 мг (2 инъекции по 300 мг), далее - по 300 мг каждые 2 недели. Для детей от 6 до 11 лет: с массой тела </w:t>
      </w:r>
      <w:r>
        <w:t>от 15 &lt;30 кг начальная и последующие дозы 300 мг каждые 4 нед, с массой тела от 30 &lt;60 кг начальная и последующие дозы 200 мг каждые 2 нед, или 300 мг каждые 4 нед; с массой тела ≥60 кг начальная и последующие дозы 200 мг каждые 2 нед. Для детей от 6 до 11</w:t>
      </w:r>
      <w:r>
        <w:t xml:space="preserve"> лет с  сопутствующим среднетяжелым или тяжелым атопическим дерматитом: с массой тела от 15 &lt;30 кг начальная доза 600 мг, далее по 300 мг каждые 4 нед, с массой тела от 30 &lt;60 кг начальная доза 400 мг, далее по 200 мг каждые 2 нед; с массой тела ≥60 кг нач</w:t>
      </w:r>
      <w:r>
        <w:t xml:space="preserve">альная доза 600 мг, далее по 300 мг каждые 2 нед. </w:t>
      </w:r>
    </w:p>
    <w:p w:rsidR="00F15F71" w:rsidRDefault="00F974CD">
      <w:pPr>
        <w:spacing w:after="158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30"/>
        <w:ind w:left="1438" w:right="841"/>
      </w:pPr>
      <w:r>
        <w:t xml:space="preserve">Меполизумаб** </w:t>
      </w:r>
      <w:r>
        <w:rPr>
          <w:i/>
        </w:rPr>
        <w:t>(код АТХ: R03DX09)</w:t>
      </w:r>
      <w:r>
        <w:t xml:space="preserve"> разрешен к применению у детей от 6 лет и взрослых, детям от 6 до 12 лет 40 мг подкожно 1 раз каждые 4 недели, </w:t>
      </w:r>
    </w:p>
    <w:p w:rsidR="00F15F71" w:rsidRDefault="00F974CD">
      <w:pPr>
        <w:spacing w:after="115" w:line="259" w:lineRule="auto"/>
        <w:ind w:left="1438" w:right="841"/>
      </w:pPr>
      <w:r>
        <w:t xml:space="preserve">12 лет и старше 100 мг 1 раз каждые 4 недели. </w:t>
      </w:r>
    </w:p>
    <w:p w:rsidR="00F15F71" w:rsidRDefault="00F974CD">
      <w:pPr>
        <w:spacing w:after="158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31"/>
        <w:ind w:left="1438" w:right="841"/>
      </w:pPr>
      <w:r>
        <w:t>Реслизумаб</w:t>
      </w:r>
      <w:r>
        <w:t xml:space="preserve">** </w:t>
      </w:r>
      <w:r>
        <w:rPr>
          <w:i/>
        </w:rPr>
        <w:t>(код АТХ: R03DX08)</w:t>
      </w:r>
      <w:r>
        <w:t xml:space="preserve"> разрешен к применению у взрослых (с 18 лет) из расчета 3 мг/кг веса внутривенно 1раз каждые 4 недели. </w:t>
      </w:r>
    </w:p>
    <w:p w:rsidR="00F15F71" w:rsidRDefault="00F974CD">
      <w:pPr>
        <w:spacing w:after="160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154" w:line="259" w:lineRule="auto"/>
        <w:ind w:left="1438" w:right="841"/>
      </w:pPr>
      <w:r>
        <w:t xml:space="preserve">Бенрализумаб** </w:t>
      </w:r>
      <w:r>
        <w:rPr>
          <w:i/>
        </w:rPr>
        <w:t>(код АТХ: R03DX10)</w:t>
      </w:r>
      <w:r>
        <w:t xml:space="preserve"> разрешен к применению у взрослых (с </w:t>
      </w:r>
    </w:p>
    <w:p w:rsidR="00F15F71" w:rsidRDefault="00F974CD">
      <w:pPr>
        <w:spacing w:after="115" w:line="259" w:lineRule="auto"/>
        <w:ind w:left="1438" w:right="841"/>
      </w:pPr>
      <w:r>
        <w:t>18 лет) 30 мг подкожно каждые 4 недели 3 раза, затем кажды</w:t>
      </w:r>
      <w:r>
        <w:t xml:space="preserve">е 8 недель.  </w:t>
      </w:r>
    </w:p>
    <w:p w:rsidR="00F15F71" w:rsidRDefault="00F974CD">
      <w:pPr>
        <w:spacing w:after="157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7"/>
        <w:ind w:left="1438" w:right="841"/>
      </w:pPr>
      <w:r>
        <w:t xml:space="preserve">Тезепелумаб </w:t>
      </w:r>
      <w:r>
        <w:rPr>
          <w:i/>
        </w:rPr>
        <w:t>(код АТХ: R03DX11)</w:t>
      </w:r>
      <w:r>
        <w:t xml:space="preserve"> разрешен к применению у детей с 12 лет и взрослых 210 мг подкожно 1раз каждые 4 недели. </w:t>
      </w:r>
    </w:p>
    <w:p w:rsidR="00F15F71" w:rsidRDefault="00F974CD">
      <w:pPr>
        <w:spacing w:after="164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49" w:line="270" w:lineRule="auto"/>
        <w:ind w:left="718" w:right="10"/>
      </w:pPr>
      <w:r>
        <w:rPr>
          <w:b/>
        </w:rPr>
        <w:t xml:space="preserve">Комментарии: 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Омализумаб** (гуманизированное моноклональное антитело против IgE, </w:t>
      </w:r>
      <w:r>
        <w:rPr>
          <w:i/>
        </w:rPr>
        <w:t xml:space="preserve">разработанное на основе человеческого IgG1), связываясь с IgE антителами, блокирует их взаимодействие с высокоаффинными FcεR1-рецепторами, приводит к снижению концентрации IgE - пускового фактора каскада аллергических реакций. При применении омализумаба** </w:t>
      </w:r>
      <w:r>
        <w:rPr>
          <w:i/>
        </w:rPr>
        <w:t xml:space="preserve">у пациентов с атопической БА отмечается уменьшение количества FcεR1- рецепторов на поверхности базофилов, тучных клеток и дендритных клеток </w:t>
      </w:r>
      <w:r>
        <w:t>[194,201,205,207,208]</w:t>
      </w:r>
      <w:r>
        <w:rPr>
          <w:i/>
        </w:rPr>
        <w:t>. Хороший ответ на добавление омализумаба** в базисную терапию можно ожидать у пациентов с клин</w:t>
      </w:r>
      <w:r>
        <w:rPr>
          <w:i/>
        </w:rPr>
        <w:t>ически подтвержденной атопией и хорошим ответом на СГКС, ограничением может быть либо низкий (менее 30 МЕ/мл), либо крайне высокий уровень общего иммуноглобулина E (более 1500 МЕ/мл) и большой вес тела, т.к. расчет дозы и режима терапии зависит от данных п</w:t>
      </w:r>
      <w:r>
        <w:rPr>
          <w:i/>
        </w:rPr>
        <w:t xml:space="preserve">араметров.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Назначение ГИБП, являющихся блокаторами ИЛ-5 (меполизумаб**, реслизумаб**) или рецепторов к нему (анти-ИЛ-5Рα – бенрализумаб**), приводит к снижению уровня эозинофилов в периферической крови, слизистой дыхательных путей</w:t>
      </w:r>
      <w:r>
        <w:t xml:space="preserve"> </w:t>
      </w:r>
    </w:p>
    <w:p w:rsidR="00F15F71" w:rsidRDefault="00F974CD">
      <w:pPr>
        <w:spacing w:after="112" w:line="259" w:lineRule="auto"/>
        <w:ind w:left="10" w:right="841"/>
      </w:pPr>
      <w:r>
        <w:t>[43,195,196,198,202,209</w:t>
      </w:r>
      <w:r>
        <w:t>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Хороший ответ на добавление препаратов этой группы можно ожидать у пациентов с эозинофильной ТБА с характерными маркерами эозинофильного воспаления, хорошим ответом на СГКС. Несмотря на схожий механизм действия препаратов этой группы ГИБП, имеются отли</w:t>
      </w:r>
      <w:r>
        <w:rPr>
          <w:i/>
        </w:rPr>
        <w:t xml:space="preserve">чия в ограничениях по возрасту, исходному уровню эозинофилов периферической крови, способу введения и доказательной базе клинических исследований относительно возможности отмены ОКС.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Меполизумаб** - гуманизированное моноклональное антитело (IgG1κ), направ</w:t>
      </w:r>
      <w:r>
        <w:rPr>
          <w:i/>
        </w:rPr>
        <w:t>ленное против ИЛ-5, предотвращая его взаимодействие с a-цепью рецептора к ИЛ-5, экспрессируемого на клеточной поверхности эозинофилов, снижает количество эозинофилов и их предшественников в костном мозге и в слизистой оболочке дыхательных путей. Меполизума</w:t>
      </w:r>
      <w:r>
        <w:rPr>
          <w:i/>
        </w:rPr>
        <w:t xml:space="preserve">б** нормализует уровень эозинофилов до физиологического у пациентов с тяжелой БА как аллергического, так и неаллергического генеза </w:t>
      </w:r>
      <w:r>
        <w:t>[77,195,196,201,203,209–211].</w:t>
      </w:r>
      <w:r>
        <w:rPr>
          <w:i/>
        </w:rPr>
        <w:t xml:space="preserve"> Показанием к применению меполизумаба** является тяжелая эозинофильная БА у пациентов старше 6 л</w:t>
      </w:r>
      <w:r>
        <w:rPr>
          <w:i/>
        </w:rPr>
        <w:t xml:space="preserve">ет, уровень эозинофилов в периферической крови на момент начала терапии ≥150 клеток/мкл или  ≥300 клеток/мкл в течение предшествующих 12 месяцев. </w:t>
      </w:r>
    </w:p>
    <w:p w:rsidR="00F15F71" w:rsidRDefault="00F974CD">
      <w:pPr>
        <w:spacing w:line="387" w:lineRule="auto"/>
        <w:ind w:left="-15" w:right="840" w:firstLine="0"/>
      </w:pPr>
      <w:r>
        <w:rPr>
          <w:i/>
        </w:rPr>
        <w:t xml:space="preserve"> Реслизумаб** - гуманизированное моноклональное антитело (IgG4k) к человеческому ИЛ-5, нейтрализующее свободн</w:t>
      </w:r>
      <w:r>
        <w:rPr>
          <w:i/>
        </w:rPr>
        <w:t>о циркулирующий цитокин и предотвращающее его связывание с эозинофилами. Показанием к применению реслизумаба** является тяжелая эозинофильная БА у пациентов старше 18 лет, уровень эозинофилов в периферической крови на момент начала терапии ≥400 клеток/мкл.</w:t>
      </w:r>
      <w:r>
        <w:rPr>
          <w:i/>
        </w:rPr>
        <w:t xml:space="preserve"> Также особенностью препарат является внутривенный способ введения и необходимость расчета дозы в зависимости от массы тела пациента </w:t>
      </w:r>
      <w:r>
        <w:t>[169,170,198,201,202,205,209,212– 214]</w:t>
      </w:r>
      <w:r>
        <w:rPr>
          <w:i/>
        </w:rPr>
        <w:t xml:space="preserve"> </w:t>
      </w:r>
    </w:p>
    <w:p w:rsidR="00F15F71" w:rsidRDefault="00F974CD">
      <w:pPr>
        <w:tabs>
          <w:tab w:val="center" w:pos="5032"/>
        </w:tabs>
        <w:spacing w:after="163" w:line="259" w:lineRule="auto"/>
        <w:ind w:left="-15" w:firstLine="0"/>
        <w:jc w:val="left"/>
      </w:pPr>
      <w:r>
        <w:rPr>
          <w:i/>
        </w:rPr>
        <w:t xml:space="preserve"> </w:t>
      </w:r>
      <w:r>
        <w:rPr>
          <w:i/>
        </w:rPr>
        <w:tab/>
        <w:t>Бенрализумаб – афукозилированное гуманизированное</w:t>
      </w:r>
      <w:r>
        <w:t xml:space="preserve"> </w:t>
      </w:r>
      <w:r>
        <w:rPr>
          <w:i/>
        </w:rPr>
        <w:t xml:space="preserve">моноклональное антитело </w:t>
      </w:r>
    </w:p>
    <w:p w:rsidR="00F15F71" w:rsidRDefault="00F974CD">
      <w:pPr>
        <w:spacing w:line="387" w:lineRule="auto"/>
        <w:ind w:left="-15" w:right="840" w:firstLine="0"/>
      </w:pPr>
      <w:r>
        <w:rPr>
          <w:i/>
        </w:rPr>
        <w:t>(IgG1k</w:t>
      </w:r>
      <w:r>
        <w:rPr>
          <w:i/>
        </w:rPr>
        <w:t>), которое связывается с a-субъединицей рецептора к человеческому ИЛ-5 (ИЛ5Рa), расположенного на поверхности эозинофилов и базофилов, с высоким сродством и специфичностью. Отсутствие остатков фукозы в Fc-домене бенрализумаба облегчает процесс связывания с</w:t>
      </w:r>
      <w:r>
        <w:rPr>
          <w:i/>
        </w:rPr>
        <w:t xml:space="preserve"> FcγRIIIa, низкой или средней аффинности рецепторами IIIa к Fcγ, на поверхности иммунных клеток, таких как натуральные киллеры, макрофаги и нейтрофилы. За счет высокой аффинности к FcγRIIIa и, как следствие, привлечения эффекторных клеток иммунитета к мест</w:t>
      </w:r>
      <w:r>
        <w:rPr>
          <w:i/>
        </w:rPr>
        <w:t xml:space="preserve">у образования комплекса с ИЛ-5Рa, бенрализумаб запускает апоптоз эозинофилов и базофилов посредством антителозависимой клеточноопосредованной цитотоксичности </w:t>
      </w:r>
      <w:r>
        <w:t>[215,216]</w:t>
      </w:r>
      <w:r>
        <w:rPr>
          <w:i/>
        </w:rPr>
        <w:t>. Таким образом, бенрализумаб** может приводить к полному истощению пула эозинофилов эпит</w:t>
      </w:r>
      <w:r>
        <w:rPr>
          <w:i/>
        </w:rPr>
        <w:t xml:space="preserve">елия дыхательных путей без их дегрануляции. Бенрализумаб** рекомендован взрослым пациентам (старше 18 лет) с тяжелой БА с эозинофильным фенотипом, уровнем эозинофилов в периферической крови ≥300 клеток/мкл, а также пациентам с гормонозависимой БА </w:t>
      </w:r>
      <w:r>
        <w:t>[202,204,</w:t>
      </w:r>
      <w:r>
        <w:t>215,216]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Дупилумаб** - человеческое моноклональное антитело (IgG4) к альфа-субъединице рецептора к ИЛ-4 (ИЛ-4Рα), идентичной альфа-субъединице рецептора к ИЛ-13 (ИЛ13Рα). Селективное связывание дупилумабом** ИЛ-4Рa/ИЛ-13Рa предотвращает дальнейшее провед</w:t>
      </w:r>
      <w:r>
        <w:rPr>
          <w:i/>
        </w:rPr>
        <w:t>ение сигналов с этих молекул, которые опосредуют процессы Т2воспаления [24]. Дупилумаб** показан пациентам с ТБА, в основе патогенеза которой лежит Т2-воспаление, в том числе с гормонозависимой БА. Помимо показания для лечения ТБА дупилумаб** одобрен для т</w:t>
      </w:r>
      <w:r>
        <w:rPr>
          <w:i/>
        </w:rPr>
        <w:t xml:space="preserve">ерапии пациентов с тяжелым атопическим дерматитом (у детей с 6 мес), хроническим полипозным риносинуситом, эозинофильным эзофагитом, что позволяет также достигать контроля (при наличии) сопутствующих заболеваний с Т2-воспалением у пациентов с ТБА </w:t>
      </w:r>
      <w:r>
        <w:t>[197,199,</w:t>
      </w:r>
      <w:r>
        <w:t>202,217,218]</w:t>
      </w:r>
      <w:r>
        <w:rPr>
          <w:i/>
        </w:rPr>
        <w:t xml:space="preserve">. Ограничением может быть высокий исходный уровень эозинофилии периферической крови (более 1500 кл/мкл).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Тезепелумаб - человеческое моноклональное антитело (IgG2λ) к тимусному стромальному лимфопоэтину (ТСЛП) - цитокину эпителиального происхож</w:t>
      </w:r>
      <w:r>
        <w:rPr>
          <w:i/>
        </w:rPr>
        <w:t>дения, играющего ключевую роль в инициировании и сохранении воспаления дыхательных путей, индуцировании бронхиальной гиперреактивности, оказывающего косвенное влияние на структурные клетки дыхательных путей (например, фибробласты и клетки гладкой мускулату</w:t>
      </w:r>
      <w:r>
        <w:rPr>
          <w:i/>
        </w:rPr>
        <w:t xml:space="preserve">ры дыхательных путей). Блокирование ТСЛП тезепелумабом снижает уровень широкого спектра биомаркеров и цитокинов, связанных с развитием воспаления (в том числе эозинофилов в крови, IgE, FeNO, ИЛ-5 и ИЛ-13) </w:t>
      </w:r>
      <w:r>
        <w:t>[200,204,205,219].</w:t>
      </w:r>
      <w:r>
        <w:rPr>
          <w:i/>
        </w:rPr>
        <w:t xml:space="preserve"> Доза препарата не зависит от исх</w:t>
      </w:r>
      <w:r>
        <w:rPr>
          <w:i/>
        </w:rPr>
        <w:t xml:space="preserve">одного уровня эозинофилов в крови, других биомаркеров воспаления, а также наличия или отсутствия атопии.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Первичную оценку эффективности ГИБП осуществляют спустя 16 недель от начала терапии, при наличии эффекта (улучшение контроля БА) продолжать терапию </w:t>
      </w:r>
      <w:r>
        <w:rPr>
          <w:i/>
        </w:rPr>
        <w:t xml:space="preserve">выбранным ГИБП не менее 12 мес с последующей оценкой исходов. На сегодняшний день не существует доказательной базы по продолжительности терапии ГИБП.  </w:t>
      </w:r>
    </w:p>
    <w:p w:rsidR="00F15F71" w:rsidRDefault="00F974CD">
      <w:pPr>
        <w:spacing w:line="387" w:lineRule="auto"/>
        <w:ind w:left="-15" w:right="840" w:firstLine="0"/>
      </w:pPr>
      <w:r>
        <w:rPr>
          <w:i/>
        </w:rPr>
        <w:t>Длительность курса определяет специалист на основании достигнутого уровня контроля над БА и сопутствующи</w:t>
      </w:r>
      <w:r>
        <w:rPr>
          <w:i/>
        </w:rPr>
        <w:t>ми аллергическими заболеваниями, с учетом снижения объема базисной терапии ИГКС. В ограниченных исследованиях было показано, что пациенты, продолжавшие биологическую терапию, имели лучшие клинические результаты, чем те, кто перешел на другую терапию или пр</w:t>
      </w:r>
      <w:r>
        <w:rPr>
          <w:i/>
        </w:rPr>
        <w:t xml:space="preserve">екратил ее, что свидетельствует о важности правильного выбора исходного биологического препарата и продолжения терапии </w:t>
      </w:r>
    </w:p>
    <w:p w:rsidR="00F15F71" w:rsidRDefault="00F974CD">
      <w:pPr>
        <w:spacing w:after="115" w:line="259" w:lineRule="auto"/>
        <w:ind w:left="10" w:right="841"/>
      </w:pPr>
      <w:r>
        <w:t xml:space="preserve">[202,206,220,221].  </w:t>
      </w:r>
    </w:p>
    <w:p w:rsidR="00F15F71" w:rsidRDefault="00F974CD">
      <w:pPr>
        <w:spacing w:after="186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line="388" w:lineRule="auto"/>
        <w:ind w:left="720" w:right="846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 xml:space="preserve">Рекомендуется пациентам с тяжелой БА, неконтролируемой объемом терапии, соответствующим 5 ступени, рассмотреть </w:t>
      </w:r>
      <w:r>
        <w:rPr>
          <w:b/>
        </w:rPr>
        <w:t>вопрос о назначении кортикостероидов системного действия (СГКС, код АТХ Н02А) в качестве дополнения к базисной терапии с целью достижения контроля над симптомами заболевания</w:t>
      </w:r>
      <w:r>
        <w:t xml:space="preserve">, </w:t>
      </w:r>
      <w:r>
        <w:rPr>
          <w:b/>
        </w:rPr>
        <w:t>снижения риска</w:t>
      </w:r>
      <w:r>
        <w:t xml:space="preserve"> </w:t>
      </w:r>
      <w:r>
        <w:rPr>
          <w:b/>
        </w:rPr>
        <w:t xml:space="preserve">обострений и улучшения функции легких </w:t>
      </w:r>
      <w:r>
        <w:t>[20].</w:t>
      </w:r>
      <w:r>
        <w:rPr>
          <w:b/>
        </w:rPr>
        <w:t xml:space="preserve">  </w:t>
      </w:r>
    </w:p>
    <w:p w:rsidR="00F15F71" w:rsidRDefault="00F974CD">
      <w:pPr>
        <w:spacing w:after="105" w:line="270" w:lineRule="auto"/>
        <w:ind w:left="-5" w:right="10"/>
      </w:pPr>
      <w:r>
        <w:rPr>
          <w:b/>
        </w:rPr>
        <w:t>Уровень убедительнос</w:t>
      </w:r>
      <w:r>
        <w:rPr>
          <w:b/>
        </w:rPr>
        <w:t xml:space="preserve">ти рекомендаций C (уровень достоверности доказательств – 5)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Назначение СГКС следует рассматривать как терапию «отчаяния» - исключительную стратегию в случае отсутствия контроля над симптомами и/или частых обострений, несмотря на правильную те</w:t>
      </w:r>
      <w:r>
        <w:rPr>
          <w:i/>
        </w:rPr>
        <w:t>хнику ингаляции и хорошую приверженность на 5 ступени лечения. Должны быть исключены факторы, способствующие персистированию симптомов и возникновению обострений, если другие методы терапии, включая биологическую, не показали свою эффективность у конкретно</w:t>
      </w:r>
      <w:r>
        <w:rPr>
          <w:i/>
        </w:rPr>
        <w:t>го пациента. Рекомендуемая доза системных кортикостероидов - ≤7,5 мг/сут в преднизолоновом эквиваленте. лечение для детей данного возраста в настоящий момент отсутствует.</w:t>
      </w:r>
      <w:r>
        <w:t xml:space="preserve"> </w:t>
      </w:r>
    </w:p>
    <w:p w:rsidR="00F15F71" w:rsidRDefault="00F974CD">
      <w:pPr>
        <w:spacing w:after="154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Преднизолон** (</w:t>
      </w:r>
      <w:r>
        <w:rPr>
          <w:i/>
        </w:rPr>
        <w:t>код АТХ: H02AB06</w:t>
      </w:r>
      <w:r>
        <w:t xml:space="preserve">) доза и продолжительность лечения устанавливается </w:t>
      </w:r>
      <w:r>
        <w:t xml:space="preserve">врачом индивидуально в зависимости от показаний и тяжести заболевания </w:t>
      </w:r>
    </w:p>
    <w:p w:rsidR="00F15F71" w:rsidRDefault="00F974CD">
      <w:pPr>
        <w:spacing w:after="0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1438" w:right="841"/>
      </w:pPr>
      <w:r>
        <w:t>Метилпреднизолон** (</w:t>
      </w:r>
      <w:r>
        <w:rPr>
          <w:i/>
        </w:rPr>
        <w:t>код АТХ: H02AB04</w:t>
      </w:r>
      <w:r>
        <w:t xml:space="preserve">) доза и продолжительность </w:t>
      </w:r>
    </w:p>
    <w:p w:rsidR="00F15F71" w:rsidRDefault="00F974CD">
      <w:pPr>
        <w:spacing w:after="28"/>
        <w:ind w:left="1438" w:right="841"/>
      </w:pPr>
      <w:r>
        <w:t xml:space="preserve">лечения устанавливается врачом индивидуально в зависимости от показаний и тяжести заболевания </w:t>
      </w:r>
    </w:p>
    <w:p w:rsidR="00F15F71" w:rsidRDefault="00F974CD">
      <w:pPr>
        <w:spacing w:after="152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Дексаметазон** (</w:t>
      </w:r>
      <w:r>
        <w:rPr>
          <w:i/>
        </w:rPr>
        <w:t>код АТХ: H02AB02</w:t>
      </w:r>
      <w:r>
        <w:t xml:space="preserve">) доза и продолжительность лечения устанавливается врачом индивидуально в зависимости от показаний и тяжести заболевания </w:t>
      </w:r>
    </w:p>
    <w:p w:rsidR="00F15F71" w:rsidRDefault="00F974CD">
      <w:pPr>
        <w:spacing w:after="193" w:line="259" w:lineRule="auto"/>
        <w:ind w:left="708" w:firstLine="0"/>
        <w:jc w:val="left"/>
      </w:pPr>
      <w:r>
        <w:t xml:space="preserve"> </w:t>
      </w:r>
      <w:r>
        <w:tab/>
        <w:t xml:space="preserve"> </w:t>
      </w:r>
    </w:p>
    <w:p w:rsidR="00F15F71" w:rsidRDefault="00F974CD">
      <w:pPr>
        <w:spacing w:line="385" w:lineRule="auto"/>
        <w:ind w:left="720" w:right="847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 взрослым пациентам с сохраняющимися симптомами БА, на фоне терапии высокими дозами ИГКС+ДДБА и био</w:t>
      </w:r>
      <w:r>
        <w:rPr>
          <w:b/>
        </w:rPr>
        <w:t xml:space="preserve">логическими препаратами (или СГКС) рассмотреть вопрос о назначении #азитромицина** в качестве противовоспалительной терапии с целью достижения контроля над симптомами </w:t>
      </w:r>
      <w:r>
        <w:t>[20,222–226]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>Уровень убедительности рекомендаций А (уровень достоверности доказательств</w:t>
      </w:r>
      <w:r>
        <w:rPr>
          <w:b/>
        </w:rPr>
        <w:t xml:space="preserve"> – 2) </w:t>
      </w:r>
    </w:p>
    <w:p w:rsidR="00F15F71" w:rsidRDefault="00F974CD">
      <w:pPr>
        <w:spacing w:line="387" w:lineRule="auto"/>
        <w:ind w:left="-15" w:right="840" w:firstLine="425"/>
      </w:pPr>
      <w:r>
        <w:rPr>
          <w:b/>
        </w:rPr>
        <w:t xml:space="preserve">Комментарии: </w:t>
      </w:r>
      <w:r>
        <w:rPr>
          <w:i/>
        </w:rPr>
        <w:t xml:space="preserve">Макролиды являются антибактериальными препаратами с доказанной противовоспалительной активностью </w:t>
      </w:r>
      <w:r>
        <w:t>[223]</w:t>
      </w:r>
      <w:r>
        <w:rPr>
          <w:i/>
        </w:rPr>
        <w:t xml:space="preserve">. Проведенный Hiles SA  с соавт. </w:t>
      </w:r>
      <w:r>
        <w:t>[224]</w:t>
      </w:r>
      <w:r>
        <w:rPr>
          <w:i/>
        </w:rPr>
        <w:t xml:space="preserve"> систематический обзор и метаанализ подтверждают, что добавление #азитромицина** к базисной тера</w:t>
      </w:r>
      <w:r>
        <w:rPr>
          <w:i/>
        </w:rPr>
        <w:t xml:space="preserve">пии плохо контролируемой БА снижает количество обострений как при эозинофильном, так и при неэозинофильном фенотипе БА, а также потребность в СГКС </w:t>
      </w:r>
      <w:r>
        <w:t>[222].</w:t>
      </w:r>
      <w:r>
        <w:rPr>
          <w:i/>
        </w:rPr>
        <w:t xml:space="preserve"> Однако, данные о влиянии #азитромицина** на качество жизни  пациентов с БА противоречивы  </w:t>
      </w:r>
      <w:r>
        <w:t>[222,225]</w:t>
      </w:r>
      <w:r>
        <w:rPr>
          <w:i/>
        </w:rPr>
        <w:t>, а</w:t>
      </w:r>
      <w:r>
        <w:rPr>
          <w:i/>
        </w:rPr>
        <w:t xml:space="preserve"> воздействия на функцию легких </w:t>
      </w:r>
    </w:p>
    <w:p w:rsidR="00F15F71" w:rsidRDefault="00F974CD">
      <w:pPr>
        <w:spacing w:after="112" w:line="259" w:lineRule="auto"/>
        <w:ind w:left="-15" w:right="840" w:firstLine="0"/>
      </w:pPr>
      <w:r>
        <w:rPr>
          <w:i/>
        </w:rPr>
        <w:t xml:space="preserve">(ОФВ1) практически не отмечено </w:t>
      </w:r>
      <w:r>
        <w:t>[227]</w:t>
      </w:r>
      <w:r>
        <w:rPr>
          <w:i/>
        </w:rPr>
        <w:t xml:space="preserve">. </w:t>
      </w:r>
    </w:p>
    <w:p w:rsidR="00F15F71" w:rsidRDefault="00F974CD">
      <w:pPr>
        <w:spacing w:after="155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#Азитромицин** (</w:t>
      </w:r>
      <w:r>
        <w:rPr>
          <w:i/>
        </w:rPr>
        <w:t>код АТХ: J01FA10</w:t>
      </w:r>
      <w:r>
        <w:t xml:space="preserve">) назначают трижды в неделю по 500 мг на срок не менее, чем 6 мес. </w:t>
      </w:r>
      <w:r>
        <w:t>Перед назначением препарата необходимо проведение микробиологического исследования мокроты на наличие атипичных микобактерий (Микробиологическое (культуральное) исследование мокроты на аэробные и факультативно-анаэробные микроорганизмы и/или Микробиологиче</w:t>
      </w:r>
      <w:r>
        <w:t>ское (культуральное) исследование мокроты на аэробные и факультативно-анаэробные микроорганизмы с использованием автоматизированного оборудования, Определение чувствительности микроорганизмов к антимикробным химиотерапевтическим препаратам), электрокардиог</w:t>
      </w:r>
      <w:r>
        <w:t xml:space="preserve">рафии для исключения удлиненного интервала QT.  </w:t>
      </w:r>
    </w:p>
    <w:p w:rsidR="00F15F71" w:rsidRDefault="00F974CD">
      <w:pPr>
        <w:spacing w:after="157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pStyle w:val="Heading5"/>
        <w:ind w:left="703"/>
      </w:pPr>
      <w:bookmarkStart w:id="25" w:name="_Toc275182"/>
      <w:r>
        <w:t>3.1.2 Лечение обострений БА</w:t>
      </w:r>
      <w:r>
        <w:rPr>
          <w:u w:val="none"/>
        </w:rPr>
        <w:t xml:space="preserve"> </w:t>
      </w:r>
      <w:bookmarkEnd w:id="25"/>
    </w:p>
    <w:p w:rsidR="00F15F71" w:rsidRDefault="00F974CD">
      <w:pPr>
        <w:spacing w:after="254" w:line="387" w:lineRule="auto"/>
        <w:ind w:left="-15" w:right="840" w:firstLine="710"/>
      </w:pPr>
      <w:r>
        <w:rPr>
          <w:i/>
        </w:rPr>
        <w:t>Препаратами первой линии при обострении БА являются КДБА и антихолинергические средства ингаляционно, ИГКС (предпочтительно через небулайзер), кортикостероиды системного действ</w:t>
      </w:r>
      <w:r>
        <w:rPr>
          <w:i/>
        </w:rPr>
        <w:t xml:space="preserve">ия и оксигенотерапия. </w:t>
      </w:r>
    </w:p>
    <w:p w:rsidR="00F15F71" w:rsidRDefault="00F974CD">
      <w:pPr>
        <w:spacing w:line="393" w:lineRule="auto"/>
        <w:ind w:left="708" w:right="846" w:hanging="425"/>
      </w:pP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b/>
        </w:rPr>
        <w:t xml:space="preserve">Рекомендуется назначение повторных ингаляций бета-2-адреномиметика селективного (КДБА, код АТХ R03AC) или в сочетании с м-холиноблокатором (код АТХ R03AL) всем пациентам при обострении БА </w:t>
      </w:r>
      <w:r>
        <w:t>[228–230]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04" w:line="270" w:lineRule="auto"/>
        <w:ind w:left="-5" w:right="10"/>
      </w:pPr>
      <w:r>
        <w:rPr>
          <w:b/>
        </w:rPr>
        <w:t>Уровень убедительности рекоменд</w:t>
      </w:r>
      <w:r>
        <w:rPr>
          <w:b/>
        </w:rPr>
        <w:t xml:space="preserve">аций - А (уровень достоверности доказательств -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 xml:space="preserve">2)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доза КДБА будет зависеть от степени тяжести обострения и скорости ответа на терапию. Легкие обострения купируются 2–4 дозами КДБА с помощью ДАИ каждые 3–4 ч; обострения средней тяжести требу</w:t>
      </w:r>
      <w:r>
        <w:rPr>
          <w:i/>
        </w:rPr>
        <w:t>ют назначения 6–10 доз КДБА каждые 1–2 ч</w:t>
      </w:r>
      <w:r>
        <w:t xml:space="preserve"> [228–230]</w:t>
      </w:r>
      <w:r>
        <w:rPr>
          <w:i/>
        </w:rPr>
        <w:t xml:space="preserve">. Дозы препаратов подбирают в зависимости от ответа конкретного пациента. </w:t>
      </w:r>
      <w:r>
        <w:t xml:space="preserve">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Использование комбинации β2-агониста и ипратропия бромида** сопровождается снижением частоты госпитализаций и более выраженным улу</w:t>
      </w:r>
      <w:r>
        <w:rPr>
          <w:i/>
        </w:rPr>
        <w:t xml:space="preserve">чшением ПСВ и ОФВ1. У детей, как и у взрослых при обострении предпочтительным устройством доставки является ДАИ+спейсер илиИГКС небулайзер.  </w:t>
      </w:r>
    </w:p>
    <w:p w:rsidR="00F15F71" w:rsidRDefault="00F974CD">
      <w:pPr>
        <w:spacing w:after="156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Сальбутамол** (</w:t>
      </w:r>
      <w:r>
        <w:rPr>
          <w:i/>
        </w:rPr>
        <w:t>код АТХ: R03AС02</w:t>
      </w:r>
      <w:r>
        <w:t>) в дозированном аэрозольном ингаляторе детям с 2 лет и взрослым 100-</w:t>
      </w:r>
      <w:r>
        <w:t xml:space="preserve">200 мкг или р-р для ингаляций с помощью небулайзера детям от 18 мес и старше 2,5 мг (возможно проведение повторных ингаляций с интервалом не менее 30 мин до 4 р в сут). </w:t>
      </w:r>
    </w:p>
    <w:p w:rsidR="00F15F71" w:rsidRDefault="00F974CD">
      <w:pPr>
        <w:spacing w:after="159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31"/>
        <w:ind w:left="1438" w:right="841"/>
      </w:pPr>
      <w:r>
        <w:t>Левосальбутамол (</w:t>
      </w:r>
      <w:r>
        <w:rPr>
          <w:i/>
        </w:rPr>
        <w:t>код АТХ: R03AC</w:t>
      </w:r>
      <w:r>
        <w:t xml:space="preserve">) </w:t>
      </w:r>
      <w:r>
        <w:t xml:space="preserve">в дозированном аэрозольном ингаляторе детям от 4 лет и взрослым 45-90 мкг по потребности </w:t>
      </w:r>
    </w:p>
    <w:p w:rsidR="00F15F71" w:rsidRDefault="00F974CD">
      <w:pPr>
        <w:spacing w:after="115" w:line="259" w:lineRule="auto"/>
        <w:ind w:left="1438" w:right="841"/>
      </w:pPr>
      <w:r>
        <w:t xml:space="preserve">(максимальная доза 540 мкг/сут); </w:t>
      </w:r>
    </w:p>
    <w:p w:rsidR="00F15F71" w:rsidRDefault="00F974CD">
      <w:pPr>
        <w:spacing w:after="112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159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spacing w:after="27"/>
        <w:ind w:left="1438" w:right="841"/>
      </w:pPr>
      <w:r>
        <w:t>Фенотерол (</w:t>
      </w:r>
      <w:r>
        <w:rPr>
          <w:i/>
        </w:rPr>
        <w:t>код АТХ: R03AС04</w:t>
      </w:r>
      <w:r>
        <w:t>) в дозированном аэрозольном ингаляторе взрослым (от 18 лет) 100-200 мкг по 1-2 инг (максимальная сут</w:t>
      </w:r>
      <w:r>
        <w:t xml:space="preserve">очная доза 8 инг/сут).  </w:t>
      </w:r>
    </w:p>
    <w:p w:rsidR="00F15F71" w:rsidRDefault="00F974CD">
      <w:pPr>
        <w:spacing w:after="155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ind w:left="1438" w:right="841"/>
      </w:pPr>
      <w:r>
        <w:t>Ипратропия бромид + фенотерол** (</w:t>
      </w:r>
      <w:r>
        <w:rPr>
          <w:i/>
        </w:rPr>
        <w:t>код АТХ: R03AL01</w:t>
      </w:r>
      <w:r>
        <w:t>) р-р для ингаляций 0.25 мг+0.5 мг/мл с помощью небулайзера детям при легком и среднетяжелом обострении из расчета 2 капли (0,1 мл) на кг массы тела, но не более 10 капель (при тяж</w:t>
      </w:r>
      <w:r>
        <w:t>елом обострении доза может быть увеличена до 20 капель), разводить в 3-4 мл 0,9% р-ра натрия хлорида, подросткам от 12 лет и взрослым разовая доза при легком и средне-тяжелом обострении обычно составляет 10-20 капель, при тяжелом обострении доза может быть</w:t>
      </w:r>
      <w:r>
        <w:t xml:space="preserve"> увеличена (согласно инструкции, у взрослых максимальная суточная доза – 80 капель). Может применяться также в виде дозированного аэрозольного ингалятора. </w:t>
      </w:r>
    </w:p>
    <w:p w:rsidR="00F15F71" w:rsidRDefault="00F974CD">
      <w:pPr>
        <w:spacing w:after="404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numPr>
          <w:ilvl w:val="0"/>
          <w:numId w:val="16"/>
        </w:numPr>
        <w:spacing w:line="394" w:lineRule="auto"/>
        <w:ind w:left="567" w:right="845" w:hanging="425"/>
      </w:pPr>
      <w:r>
        <w:rPr>
          <w:b/>
        </w:rPr>
        <w:t xml:space="preserve">Рекомендуется назначение повторных ингаляций будесонида** (код АТХ R03BA02) (после ингаляции КДБА </w:t>
      </w:r>
      <w:r>
        <w:rPr>
          <w:b/>
        </w:rPr>
        <w:t xml:space="preserve">или комбинации КДБА + ипратропия бромид**) всем пациентам при обострении БА </w:t>
      </w:r>
      <w:r>
        <w:t xml:space="preserve">[231–246]. </w:t>
      </w:r>
    </w:p>
    <w:p w:rsidR="00F15F71" w:rsidRDefault="00F974CD">
      <w:pPr>
        <w:spacing w:line="387" w:lineRule="auto"/>
        <w:ind w:left="-15" w:right="840" w:firstLine="0"/>
      </w:pPr>
      <w:r>
        <w:rPr>
          <w:b/>
        </w:rPr>
        <w:t>Уровень убедительности рекомендаций - B (уровень достоверности доказательств - 2) Комментарии</w:t>
      </w:r>
      <w:r>
        <w:t xml:space="preserve">: </w:t>
      </w:r>
      <w:r>
        <w:rPr>
          <w:i/>
        </w:rPr>
        <w:t>Проведенные исследования показали, что терапия ингаляционным будесонидом** в высоких дозах (для взрослых - в средней дозе 4 мг/с, для детей – 1-2 мг/с) приводила к выраженному улучшению параметров ФВД и клинических показателей у пациентов с обострениями БА</w:t>
      </w:r>
      <w:r>
        <w:rPr>
          <w:i/>
        </w:rPr>
        <w:t xml:space="preserve"> в отделениях неотложной помощи или специализированном отделении в течение 3-7 дней терапии и не сопровождалась значимыми побочными эффектами </w:t>
      </w:r>
      <w:r>
        <w:t>[231–246].</w:t>
      </w:r>
      <w:r>
        <w:rPr>
          <w:i/>
        </w:rPr>
        <w:t xml:space="preserve"> Раннее (с начала обострения) назначение будесонида** в высоких дозах при амбулаторном лечении обострени</w:t>
      </w:r>
      <w:r>
        <w:rPr>
          <w:i/>
        </w:rPr>
        <w:t xml:space="preserve">я БА ассоциировано со снижением потребности в пероральной терапии кортикостероидами и госпитализации </w:t>
      </w:r>
      <w:r>
        <w:t>[241]</w:t>
      </w:r>
      <w:r>
        <w:rPr>
          <w:i/>
        </w:rPr>
        <w:t>. В нескольких исследованиях сравнивали будесонид**, назначаемый через небулайзер в высоких дозах, с пероральными стероидами (преднизолоном**) у взрос</w:t>
      </w:r>
      <w:r>
        <w:rPr>
          <w:i/>
        </w:rPr>
        <w:t xml:space="preserve">лых </w:t>
      </w:r>
      <w:r>
        <w:t>[242,243]</w:t>
      </w:r>
      <w:r>
        <w:rPr>
          <w:i/>
        </w:rPr>
        <w:t xml:space="preserve"> и детей </w:t>
      </w:r>
      <w:r>
        <w:t>[241,244,247–250]</w:t>
      </w:r>
      <w:r>
        <w:rPr>
          <w:i/>
        </w:rPr>
        <w:t xml:space="preserve"> со средне-тяжелым обострением БА, проходящих лечение в отделении неотложной помощи или госпитализированных, которые показали сопоставимый результат в улучшении ОВФ1, при этом будесонид** быстрее улучшал аускультативн</w:t>
      </w:r>
      <w:r>
        <w:rPr>
          <w:i/>
        </w:rPr>
        <w:t xml:space="preserve">ую картину по сравнению с CГКС. В нескольких рандомизированных двойных слепых исследованиях сравнили ингаляционный будесонид** в ДПИ с преднизолоном у пациентов, выписанных из больницы после острого приступа астмы </w:t>
      </w:r>
      <w:r>
        <w:t>[251–253]</w:t>
      </w:r>
      <w:r>
        <w:rPr>
          <w:i/>
        </w:rPr>
        <w:t xml:space="preserve"> в двух из которых была подтвержд</w:t>
      </w:r>
      <w:r>
        <w:rPr>
          <w:i/>
        </w:rPr>
        <w:t>ена сопоставимая эффективность двух вариантов лечения, в другом – будесонид** ДПИ в дозе 600 мкг четыре раза в день в течение 7–10 дней был столь же эффективен, как и преднизолон в дозе 40 мг в день, с точки зрения частоты рецидивов, качества жизни, симпто</w:t>
      </w:r>
      <w:r>
        <w:rPr>
          <w:i/>
        </w:rPr>
        <w:t>мов и параметров спирометрии. Все педиатрические исследования на сегодняшний день показывают сопоставимую эффективность ингаляционного будесонида** и пероральных кортикостероидов в контроле острых обострений астмы. Особенностью результатов исследований у д</w:t>
      </w:r>
      <w:r>
        <w:rPr>
          <w:i/>
        </w:rPr>
        <w:t>етей был очевидный потенциал снижения потребления ресурсов здравоохранения, о чем свидетельствует сокращение времени госпитализации или ускоренная выписка из больницы у пациентов, получавших ингаляционный будесонид.</w:t>
      </w:r>
      <w:r>
        <w:rPr>
          <w:b/>
        </w:rPr>
        <w:t xml:space="preserve"> </w:t>
      </w:r>
    </w:p>
    <w:p w:rsidR="00F15F71" w:rsidRDefault="00F974CD">
      <w:pPr>
        <w:spacing w:after="155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ind w:left="1438" w:right="841"/>
      </w:pPr>
      <w:r>
        <w:t>Будесонид** (</w:t>
      </w:r>
      <w:r>
        <w:rPr>
          <w:i/>
        </w:rPr>
        <w:t>код АТХ: R03BA02</w:t>
      </w:r>
      <w:r>
        <w:t>) суспен</w:t>
      </w:r>
      <w:r>
        <w:t xml:space="preserve">зия для ингаляций с помощью небулайзера детям от 6 мес 250-500 мкг * 1-2 р в день (при тяжелом обострении доза может быть увеличена до 2 мг/сут), взрослым в зависимости от степени тяжести обострения 1-2 мг * 1-2 р в день. </w:t>
      </w:r>
    </w:p>
    <w:p w:rsidR="00F15F71" w:rsidRDefault="00F974CD">
      <w:pPr>
        <w:spacing w:after="370" w:line="259" w:lineRule="auto"/>
        <w:ind w:left="1428" w:firstLine="0"/>
        <w:jc w:val="left"/>
      </w:pPr>
      <w:r>
        <w:t xml:space="preserve"> </w:t>
      </w:r>
    </w:p>
    <w:p w:rsidR="00F15F71" w:rsidRDefault="00F974CD">
      <w:pPr>
        <w:numPr>
          <w:ilvl w:val="0"/>
          <w:numId w:val="16"/>
        </w:numPr>
        <w:spacing w:after="168" w:line="259" w:lineRule="auto"/>
        <w:ind w:left="567" w:right="845" w:hanging="425"/>
      </w:pPr>
      <w:r>
        <w:rPr>
          <w:b/>
        </w:rPr>
        <w:t>Рекомендуется взрослым, подрост</w:t>
      </w:r>
      <w:r>
        <w:rPr>
          <w:b/>
        </w:rPr>
        <w:t xml:space="preserve">кам и детям от 6 до 11 лет с обострением БА, </w:t>
      </w:r>
    </w:p>
    <w:p w:rsidR="00F15F71" w:rsidRDefault="00F974CD">
      <w:pPr>
        <w:tabs>
          <w:tab w:val="center" w:pos="1435"/>
          <w:tab w:val="center" w:pos="2967"/>
          <w:tab w:val="center" w:pos="4241"/>
          <w:tab w:val="center" w:pos="5749"/>
          <w:tab w:val="center" w:pos="7551"/>
          <w:tab w:val="center" w:pos="8980"/>
        </w:tabs>
        <w:spacing w:after="16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получающим </w:t>
      </w:r>
      <w:r>
        <w:rPr>
          <w:b/>
        </w:rPr>
        <w:tab/>
        <w:t xml:space="preserve">базисную </w:t>
      </w:r>
      <w:r>
        <w:rPr>
          <w:b/>
        </w:rPr>
        <w:tab/>
        <w:t xml:space="preserve">терапию </w:t>
      </w:r>
      <w:r>
        <w:rPr>
          <w:b/>
        </w:rPr>
        <w:tab/>
        <w:t xml:space="preserve">препаратами, </w:t>
      </w:r>
      <w:r>
        <w:rPr>
          <w:b/>
        </w:rPr>
        <w:tab/>
        <w:t xml:space="preserve">содержащими </w:t>
      </w:r>
      <w:r>
        <w:rPr>
          <w:b/>
        </w:rPr>
        <w:tab/>
        <w:t xml:space="preserve">ИГКС, </w:t>
      </w:r>
    </w:p>
    <w:p w:rsidR="00F15F71" w:rsidRDefault="00F974CD">
      <w:pPr>
        <w:spacing w:after="37" w:line="367" w:lineRule="auto"/>
        <w:ind w:left="718" w:right="849"/>
      </w:pPr>
      <w:r>
        <w:rPr>
          <w:b/>
        </w:rPr>
        <w:t>увеличить их дозу в 2 раза на 2-4 недели, а пациентам, ранее не получавшим ИГКС, следует начать базисную терапию ИГКС в дозе в 2 раза превышающе</w:t>
      </w:r>
      <w:r>
        <w:rPr>
          <w:b/>
        </w:rPr>
        <w:t xml:space="preserve">й низкую дозу с целью уменьшения воспаления, ускорения купирования обострения </w:t>
      </w:r>
      <w:r>
        <w:t>[6,21]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51" w:line="270" w:lineRule="auto"/>
        <w:ind w:left="-5" w:right="10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>Комментарии</w:t>
      </w:r>
      <w:r>
        <w:t xml:space="preserve">: </w:t>
      </w:r>
      <w:r>
        <w:rPr>
          <w:i/>
        </w:rPr>
        <w:t>Пациентам с улучшением клинической ситуации при лечении обострения в течени</w:t>
      </w:r>
      <w:r>
        <w:rPr>
          <w:i/>
        </w:rPr>
        <w:t>е 3-4 часов и при дальнейшем лечении в амбулаторных условиях следует провести повторный осмотр в среднем через 2-7 суток взрослым и через 1-2 дня детям с целью оценки эффективности терапии обострения БА. Под улучшением понимается уменьшение выраженности си</w:t>
      </w:r>
      <w:r>
        <w:rPr>
          <w:i/>
        </w:rPr>
        <w:t xml:space="preserve">мптомов обострения БА, отсутствие потребности в КДБА, повышение ПСВ до &gt;60-80% от должного или лучшего индивидуального показателя, сатурация &gt;94% при дыхании атмосферным воздухом. Перед тем, как отпустить пациента домой под наблюдение необходимо проверить </w:t>
      </w:r>
      <w:r>
        <w:rPr>
          <w:i/>
        </w:rPr>
        <w:t>технику ингаляции и выдать рекомендации по терапии обострения БА. К поддерживающей терапии ИГКС прежнего уровня можно вернуться спустя 2-4 недели от начала обострения. Однако если обострение развилось на фоне недостаточного контроля БА у пациента с правиль</w:t>
      </w:r>
      <w:r>
        <w:rPr>
          <w:i/>
        </w:rPr>
        <w:t>ной техникой ингаляции и хорошей приверженностью к лечению необходимо рассмотреть переход на более высокую ступень лечения БА.</w:t>
      </w:r>
      <w:r>
        <w:t xml:space="preserve"> </w:t>
      </w:r>
    </w:p>
    <w:p w:rsidR="00F15F71" w:rsidRDefault="00F974CD">
      <w:pPr>
        <w:spacing w:after="187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line="394" w:lineRule="auto"/>
        <w:ind w:left="720" w:right="847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 xml:space="preserve">Рекомендуется пациентам с средне-тяжелым и тяжелым обострением БА рассмотреть вопрос о назначении </w:t>
      </w:r>
      <w:r>
        <w:rPr>
          <w:b/>
        </w:rPr>
        <w:t xml:space="preserve">кортикостероидов системного действия (СГКС, код АТХ Н02А) с целью купирования обострения и улучшения функции легких </w:t>
      </w:r>
      <w:r>
        <w:t>[245,246,253–261].</w:t>
      </w:r>
      <w:r>
        <w:rPr>
          <w:i/>
        </w:rPr>
        <w:t xml:space="preserve"> </w:t>
      </w:r>
      <w:r>
        <w:t xml:space="preserve"> </w:t>
      </w:r>
    </w:p>
    <w:p w:rsidR="00F15F71" w:rsidRDefault="00F974CD">
      <w:pPr>
        <w:spacing w:after="152" w:line="270" w:lineRule="auto"/>
        <w:ind w:left="-5" w:right="10"/>
      </w:pPr>
      <w:r>
        <w:rPr>
          <w:b/>
        </w:rPr>
        <w:t xml:space="preserve">Уровень убедительности рекомендаций А (уровень достоверности доказательств – 2)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Назначение СГКС особенно показано при наличии признаков дыхательной недостаточности; если начальная терапия ингаляционными бета-2адреномиметиками не обеспечила длительного улучшения; обострение развилось у пациента, уже получающего пероральные ГКС на регул</w:t>
      </w:r>
      <w:r>
        <w:rPr>
          <w:i/>
        </w:rPr>
        <w:t xml:space="preserve">ярной основе; предшествующие обострения требовали назначения СГКС.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Пероральные ГКС обычно не уступают по эффективности внутривенным ГКС и являются предпочтительными средствами, особенно в педиатрической практике и нетяжелых обострениях у взрослых.</w:t>
      </w:r>
      <w:r>
        <w:rPr>
          <w:b/>
        </w:rPr>
        <w:t xml:space="preserve"> </w:t>
      </w:r>
      <w:r>
        <w:rPr>
          <w:i/>
        </w:rPr>
        <w:t>Рекомен</w:t>
      </w:r>
      <w:r>
        <w:rPr>
          <w:i/>
        </w:rPr>
        <w:t xml:space="preserve">дуемая доза преднизолона**  для взрослых и подростков составляет 1 мг/кг/сут (до 50 мг/сут максимум), для детей 6-11 лет - 1-2 мг/кг/сут (до 40 мг/сут максимум). Продолжительность курса лечения, как правило, составляет: у взрослых - 5-7 дней  и 3-5 дней у </w:t>
      </w:r>
      <w:r>
        <w:rPr>
          <w:i/>
        </w:rPr>
        <w:t xml:space="preserve">детей.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У пациентов с тяжелым обострением БА, неспособных принимать препараты per os вследствие выраженной одышки или проведения респираторной поддержки, рекомендуется парентеральное введение СГКС </w:t>
      </w:r>
      <w:r>
        <w:t>[21]</w:t>
      </w:r>
      <w:r>
        <w:rPr>
          <w:i/>
        </w:rPr>
        <w:t xml:space="preserve">.  </w:t>
      </w:r>
    </w:p>
    <w:p w:rsidR="00F15F71" w:rsidRDefault="00F974CD">
      <w:pPr>
        <w:spacing w:line="387" w:lineRule="auto"/>
        <w:ind w:left="-15" w:right="840" w:firstLine="360"/>
      </w:pPr>
      <w:r>
        <w:rPr>
          <w:i/>
        </w:rPr>
        <w:t>Отмену назначенных СГКС рекомендуется проводить тол</w:t>
      </w:r>
      <w:r>
        <w:rPr>
          <w:i/>
        </w:rPr>
        <w:t xml:space="preserve">ько на фоне назначения ИГКС </w:t>
      </w:r>
      <w:r>
        <w:t>[20,21]</w:t>
      </w:r>
      <w:r>
        <w:rPr>
          <w:i/>
        </w:rPr>
        <w:t xml:space="preserve">. </w:t>
      </w:r>
    </w:p>
    <w:p w:rsidR="00F15F71" w:rsidRDefault="00F974CD">
      <w:pPr>
        <w:spacing w:after="187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17"/>
        </w:numPr>
        <w:spacing w:line="397" w:lineRule="auto"/>
        <w:ind w:left="747" w:right="844" w:hanging="425"/>
      </w:pPr>
      <w:r>
        <w:rPr>
          <w:b/>
        </w:rPr>
        <w:t xml:space="preserve">Рекомендуется детям от 6 лет и взрослым с тяжелым обострением БА, рефрактерным к назначению КДБА, рассмотреть вопрос о назначении #магния сульфата** с целью купирования данного состояния </w:t>
      </w:r>
      <w:r>
        <w:t>[262–268].</w:t>
      </w:r>
      <w:r>
        <w:rPr>
          <w:b/>
        </w:rPr>
        <w:t xml:space="preserve"> </w:t>
      </w:r>
    </w:p>
    <w:p w:rsidR="00F15F71" w:rsidRDefault="00F974CD">
      <w:pPr>
        <w:spacing w:after="146" w:line="270" w:lineRule="auto"/>
        <w:ind w:left="-5" w:right="10"/>
      </w:pPr>
      <w:r>
        <w:rPr>
          <w:b/>
        </w:rPr>
        <w:t>Уровень убедитель</w:t>
      </w:r>
      <w:r>
        <w:rPr>
          <w:b/>
        </w:rPr>
        <w:t xml:space="preserve">ности рекомендаций А (уровень достоверности доказательств – 2)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На фоне терапии #магния сульфатом** (Код АТХ: B05XA05) (2 г внутривенно в течение 20 мин однократно, болюсно, или 8 мл 25%  раствора #магния сульфата** в ампулах разбавляют инъекц</w:t>
      </w:r>
      <w:r>
        <w:rPr>
          <w:i/>
        </w:rPr>
        <w:t>ионным раствором 0,9% натрия хлорида** или ингаляционно изотонического раствора магния сульфата (150 мг) 3 дозы в течение первого часа оказания неотложной помощи) показано уменьшение продолжительности госпитализации у некоторых пациентов с БА, включая взро</w:t>
      </w:r>
      <w:r>
        <w:rPr>
          <w:i/>
        </w:rPr>
        <w:t xml:space="preserve">слых с ОФВ1 &lt;25-30% от должного на момент поступления, взрослых и детей, у которых нет ответа на начальное лечение и имеется стойкая гипоксемия, а также детей, у которых ОФВ1 не достигает 60% от должного через 1 час после начала лечения </w:t>
      </w:r>
      <w:r>
        <w:t>[262,264,268]</w:t>
      </w:r>
      <w:r>
        <w:rPr>
          <w:i/>
        </w:rPr>
        <w:t>. След</w:t>
      </w:r>
      <w:r>
        <w:rPr>
          <w:i/>
        </w:rPr>
        <w:t>ует учитывать, что назначение #магния сульфата** в данной ситуации будет вне инструкции (off-label). Противопоказаниями к назначению #магния сульфата** являются атриовентрикулярная блокада I-III степени (AV блокада); выраженная почечная недостаточность (ес</w:t>
      </w:r>
      <w:r>
        <w:rPr>
          <w:i/>
        </w:rPr>
        <w:t xml:space="preserve">ли клиренс креатинина менее 20 мл/мин); выраженная артериальная гипотензия; состояния, связанные с дефицитом кальция и угнетением дыхательного центра; брадикардия.  </w:t>
      </w:r>
    </w:p>
    <w:p w:rsidR="00F15F71" w:rsidRDefault="00F974CD">
      <w:pPr>
        <w:spacing w:after="369" w:line="259" w:lineRule="auto"/>
        <w:ind w:left="0" w:firstLine="0"/>
        <w:jc w:val="left"/>
      </w:pPr>
      <w:r>
        <w:rPr>
          <w:b/>
        </w:rPr>
        <w:t xml:space="preserve"> </w:t>
      </w:r>
    </w:p>
    <w:p w:rsidR="00F15F71" w:rsidRDefault="00F974CD">
      <w:pPr>
        <w:numPr>
          <w:ilvl w:val="0"/>
          <w:numId w:val="17"/>
        </w:numPr>
        <w:ind w:left="747" w:right="844" w:hanging="425"/>
      </w:pPr>
      <w:r>
        <w:t xml:space="preserve">Рекомендуется пациентам с тяжелым обострением БА (в т.ч. астматический статус), </w:t>
      </w:r>
      <w:r>
        <w:t>находящимся на лечении в специализированном отделении, блоке или отделении интенсивной терапии (реанимации) при неэффективности (отсутствии эффекта от) повторных ингаляций селективного бета2-адреномиметика и/или антихолинергического средства (или препарата</w:t>
      </w:r>
      <w:r>
        <w:t xml:space="preserve"> группы «адренергические средства в комбинации с антихолинергическими средствами») ингаляционно через небулайзер, кортикостероидов ингаляционно через небулайзер, кортикостероидов системного действия и оксигенотерапии, а также при отсутствии противопоказани</w:t>
      </w:r>
      <w:r>
        <w:t>й к применению (нарушение сердечного ритма, эпилепсия, острая сердечная недостаточность, язвенная болезнь желудка и двенадцатиперстной кишки в обострении, геморрагический инсульт, гиперчувствительность к ксантинам и этилендиамину и др., согласно инструкции</w:t>
      </w:r>
      <w:r>
        <w:t>) рассмотреть возможность назначение аминофиллина с целью достижения быстрого бронхолитического эффекта [268–</w:t>
      </w:r>
    </w:p>
    <w:p w:rsidR="00F15F71" w:rsidRDefault="00F974CD">
      <w:pPr>
        <w:spacing w:after="165" w:line="259" w:lineRule="auto"/>
        <w:ind w:left="718" w:right="841"/>
      </w:pPr>
      <w:r>
        <w:t xml:space="preserve">272]. </w:t>
      </w:r>
    </w:p>
    <w:p w:rsidR="00F15F71" w:rsidRDefault="00F974CD">
      <w:pPr>
        <w:spacing w:after="101" w:line="270" w:lineRule="auto"/>
        <w:ind w:left="-5" w:right="10"/>
      </w:pPr>
      <w:r>
        <w:rPr>
          <w:b/>
        </w:rPr>
        <w:t xml:space="preserve">Уровень убедительности рекомендаций – С (уровень достоверности доказательств – </w:t>
      </w:r>
    </w:p>
    <w:p w:rsidR="00F15F71" w:rsidRDefault="00F974CD">
      <w:pPr>
        <w:spacing w:after="151" w:line="270" w:lineRule="auto"/>
        <w:ind w:left="-5" w:right="10"/>
      </w:pPr>
      <w:r>
        <w:rPr>
          <w:b/>
        </w:rPr>
        <w:t xml:space="preserve">5)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Согласно международным рекомендациям при н</w:t>
      </w:r>
      <w:r>
        <w:rPr>
          <w:i/>
        </w:rPr>
        <w:t xml:space="preserve">еэффективности препаратов первой линии при обострении бронхиальной астмы (КДБА или комбинация КДБА и м-холинолитика, СГКС) рекомендуется применение раствора #сульфата магния** через небулайзер и/или внутривенно, однако, согласно инструкции данный препарат </w:t>
      </w:r>
      <w:r>
        <w:rPr>
          <w:i/>
        </w:rPr>
        <w:t>не имеет такого показания к применению. В то же время аминофиллин** имеет показания к применению при тяжелом обострении бронхиальной астмы, в т.ч. при астматическом статусе, имеет продолжительный успешный опыт применения (более 50 лет) и входил в междунаро</w:t>
      </w:r>
      <w:r>
        <w:rPr>
          <w:i/>
        </w:rPr>
        <w:t>дные и отечественные рекомендации по лечению астмы при оказании неотложной и стационарной помощи до 2020г: «внутривенное введение аминофиллина** рекомендуется взрослым и детям старше 2 лет с тяжелой или угрожающей жизни астмой, не отвечающим на максимальны</w:t>
      </w:r>
      <w:r>
        <w:rPr>
          <w:i/>
        </w:rPr>
        <w:t>е дозы ингаляционных бронхолитиков и стероидов»</w:t>
      </w:r>
      <w:r>
        <w:t xml:space="preserve"> [273]</w:t>
      </w:r>
      <w:r>
        <w:rPr>
          <w:i/>
        </w:rPr>
        <w:t xml:space="preserve"> Теофиллины в низких дозах помимо бронхолитического действия также обладают противовоспалительными свойствами, среди которых  наиболее важным является их способность восстанавливать гистондеацетилазу-2 (</w:t>
      </w:r>
      <w:r>
        <w:rPr>
          <w:i/>
        </w:rPr>
        <w:t xml:space="preserve">HDAC2), активность которой приводит к улучшению чувствительности к стероидам </w:t>
      </w:r>
      <w:r>
        <w:t>[274–276]</w:t>
      </w:r>
      <w:r>
        <w:rPr>
          <w:i/>
        </w:rPr>
        <w:t>. Ограничение применения аминофиллина** имело место в связи с потенциально серьезными побочными эффектами при быстром (струйном) внутривенном введении и введении в высоки</w:t>
      </w:r>
      <w:r>
        <w:rPr>
          <w:i/>
        </w:rPr>
        <w:t>х дозах (более 20 мг/мл) в виде тошноты, рвоты и нарушения сердечного ритма. Согласно кохрейновскому обзору, добавление аминофиллина к ингаляционным селективным бета2-адреномиметикам и глюкокортикоидам не оказало дополнительного позитивного эффекта в отнош</w:t>
      </w:r>
      <w:r>
        <w:rPr>
          <w:i/>
        </w:rPr>
        <w:t xml:space="preserve">ении сокращения сроков госпитализации </w:t>
      </w:r>
      <w:r>
        <w:t>[277]</w:t>
      </w:r>
      <w:r>
        <w:rPr>
          <w:i/>
        </w:rPr>
        <w:t>. В этом же обзоре были обнаружены доказательства того, что у детей, получавших аминофиллин**, наблюдалось большее улучшение функции легких, чем у детей, получавших плацебо, когда обе группы получали ингаляционные</w:t>
      </w:r>
      <w:r>
        <w:rPr>
          <w:i/>
        </w:rPr>
        <w:t xml:space="preserve"> бронхолитики и стероиды, и они не полностью реагировали на эти начальные методы лечения. Однако использование аминофиллина** также приводило к увеличению риска рвоты. При этом стоит учитывать, что повторное многократное применение КДБА может приводить к д</w:t>
      </w:r>
      <w:r>
        <w:rPr>
          <w:i/>
        </w:rPr>
        <w:t>есенситизации β2-адренорецепторов и к развитию определенных побочных эффектов. В другом исследовании было отмечено, что применение аминофиллина у детей может быть целесообразным, если наблюдаются тяжелые острые обострения астмы, когда ответ на максимальную</w:t>
      </w:r>
      <w:r>
        <w:rPr>
          <w:i/>
        </w:rPr>
        <w:t xml:space="preserve"> терапию (ингаляционные бронходилятаторы и СГКС) плохой </w:t>
      </w:r>
      <w:r>
        <w:t>[278–280]</w:t>
      </w:r>
      <w:r>
        <w:rPr>
          <w:i/>
        </w:rPr>
        <w:t>. Таким образом, мы имеем недостаточное количество исследований, разнородных по возрасту пациентов, степени тяжести обострения и наличия сопутствующих заболеваний; требуется проведение дальне</w:t>
      </w:r>
      <w:r>
        <w:rPr>
          <w:i/>
        </w:rPr>
        <w:t xml:space="preserve">йших исследований в этой области. Но с учетом вышесказанного, в случае фатальной астмы и неэффективности повторных доз КДБА и СГКС применение аминофиллина** в низких дозах способно оказать дополнительную пользу, за счет быстрого бронхорасширяющего эффекта </w:t>
      </w:r>
      <w:r>
        <w:rPr>
          <w:i/>
        </w:rPr>
        <w:t xml:space="preserve">и снизить риски летальных исходов. Применение аминофиллина** в данной ситуации не противоречит инструкции к препарату. </w:t>
      </w:r>
      <w:r>
        <w:t xml:space="preserve"> </w:t>
      </w:r>
    </w:p>
    <w:p w:rsidR="00F15F71" w:rsidRDefault="00F974CD">
      <w:pPr>
        <w:spacing w:after="152" w:line="259" w:lineRule="auto"/>
        <w:ind w:left="720" w:firstLine="0"/>
        <w:jc w:val="left"/>
      </w:pPr>
      <w:r>
        <w:t xml:space="preserve"> </w:t>
      </w:r>
    </w:p>
    <w:p w:rsidR="00F15F71" w:rsidRDefault="00F974CD">
      <w:pPr>
        <w:spacing w:after="28"/>
        <w:ind w:left="1438" w:right="841"/>
      </w:pPr>
      <w:r>
        <w:t xml:space="preserve">Аминофиллин** </w:t>
      </w:r>
      <w:r>
        <w:rPr>
          <w:i/>
        </w:rPr>
        <w:t>(код АТХ: R03DA05</w:t>
      </w:r>
      <w:r>
        <w:t>) р-р для инъекций, разовая доза 2-3 мг/кг веса (но не более 240 мг) 1-2 р в сутки внутривенно медленн</w:t>
      </w:r>
      <w:r>
        <w:t xml:space="preserve">о (капельно). </w:t>
      </w:r>
    </w:p>
    <w:p w:rsidR="00F15F71" w:rsidRDefault="00F974CD">
      <w:pPr>
        <w:spacing w:after="188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line="378" w:lineRule="auto"/>
        <w:ind w:left="720" w:right="847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 пациентам с обострением БА на фоне бактериальной инфекции (бронхит, пневмония, бактериальный риносинусит) рассмотреть вопрос о назначении противомикробных препаратов системного действия.</w:t>
      </w:r>
      <w:r>
        <w:t xml:space="preserve"> </w:t>
      </w:r>
    </w:p>
    <w:p w:rsidR="00F15F71" w:rsidRDefault="00F974CD">
      <w:pPr>
        <w:tabs>
          <w:tab w:val="center" w:pos="1173"/>
          <w:tab w:val="center" w:pos="2842"/>
          <w:tab w:val="center" w:pos="4827"/>
          <w:tab w:val="center" w:pos="6042"/>
          <w:tab w:val="center" w:pos="6953"/>
          <w:tab w:val="center" w:pos="8566"/>
        </w:tabs>
        <w:spacing w:after="151" w:line="270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Уровень </w:t>
      </w:r>
      <w:r>
        <w:rPr>
          <w:b/>
        </w:rPr>
        <w:tab/>
        <w:t xml:space="preserve">убедительности </w:t>
      </w:r>
      <w:r>
        <w:rPr>
          <w:b/>
        </w:rPr>
        <w:tab/>
        <w:t xml:space="preserve">рекомендаций </w:t>
      </w:r>
      <w:r>
        <w:rPr>
          <w:b/>
        </w:rPr>
        <w:tab/>
        <w:t xml:space="preserve">C </w:t>
      </w:r>
      <w:r>
        <w:rPr>
          <w:b/>
        </w:rPr>
        <w:tab/>
        <w:t xml:space="preserve">(уровень </w:t>
      </w:r>
      <w:r>
        <w:rPr>
          <w:b/>
        </w:rPr>
        <w:tab/>
        <w:t xml:space="preserve">достоверности </w:t>
      </w:r>
    </w:p>
    <w:p w:rsidR="00F15F71" w:rsidRDefault="00F974CD">
      <w:pPr>
        <w:spacing w:after="151" w:line="270" w:lineRule="auto"/>
        <w:ind w:left="-5" w:right="10"/>
      </w:pPr>
      <w:r>
        <w:rPr>
          <w:b/>
        </w:rPr>
        <w:t xml:space="preserve">доказательств – 5)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>Комментарии:</w:t>
      </w:r>
      <w:r>
        <w:t xml:space="preserve"> </w:t>
      </w:r>
      <w:r>
        <w:rPr>
          <w:i/>
        </w:rPr>
        <w:t>не рекомендуется рутинное применение антибактериальных препаратов для системного действия при обострении БА за исключением наличия четких указаний на бактер</w:t>
      </w:r>
      <w:r>
        <w:rPr>
          <w:i/>
        </w:rPr>
        <w:t xml:space="preserve">иальную инфекцию (например, пневмонию) </w:t>
      </w:r>
      <w:r>
        <w:t>[58]</w:t>
      </w:r>
      <w:r>
        <w:rPr>
          <w:i/>
        </w:rPr>
        <w:t xml:space="preserve">. </w:t>
      </w:r>
    </w:p>
    <w:p w:rsidR="00F15F71" w:rsidRDefault="00F974CD">
      <w:pPr>
        <w:spacing w:after="399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pStyle w:val="Heading4"/>
        <w:spacing w:after="186" w:line="259" w:lineRule="auto"/>
        <w:ind w:left="703"/>
        <w:jc w:val="left"/>
      </w:pPr>
      <w:bookmarkStart w:id="26" w:name="_Toc275183"/>
      <w:r>
        <w:rPr>
          <w:u w:val="single" w:color="000000"/>
        </w:rPr>
        <w:t>3.2 Респираторная терапия</w:t>
      </w:r>
      <w:r>
        <w:t xml:space="preserve"> </w:t>
      </w:r>
      <w:bookmarkEnd w:id="26"/>
    </w:p>
    <w:p w:rsidR="00F15F71" w:rsidRDefault="00F974CD">
      <w:pPr>
        <w:spacing w:line="378" w:lineRule="auto"/>
        <w:ind w:left="720" w:right="845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 xml:space="preserve">Рекомендуется пациентам </w:t>
      </w:r>
      <w:r>
        <w:rPr>
          <w:b/>
        </w:rPr>
        <w:t xml:space="preserve">в обострении БА с признаками дыхательной недостаточности проведение респираторной терапии для поддержания дыхательной функции, лечения гипоксии и профилактики осложнений </w:t>
      </w:r>
      <w:r>
        <w:t>[281–</w:t>
      </w:r>
    </w:p>
    <w:p w:rsidR="00F15F71" w:rsidRDefault="00F974CD">
      <w:pPr>
        <w:spacing w:after="162" w:line="259" w:lineRule="auto"/>
        <w:ind w:left="730" w:right="841"/>
      </w:pPr>
      <w:r>
        <w:t>291]</w:t>
      </w:r>
      <w:r>
        <w:rPr>
          <w:b/>
        </w:rPr>
        <w:t xml:space="preserve">.  </w:t>
      </w:r>
    </w:p>
    <w:p w:rsidR="00F15F71" w:rsidRDefault="00F974CD">
      <w:pPr>
        <w:spacing w:line="399" w:lineRule="auto"/>
        <w:ind w:left="345" w:right="10" w:hanging="360"/>
      </w:pPr>
      <w:r>
        <w:rPr>
          <w:b/>
        </w:rPr>
        <w:t>Уровень убедительности рекомендаций В (уровень достоверности доказательс</w:t>
      </w:r>
      <w:r>
        <w:rPr>
          <w:b/>
        </w:rPr>
        <w:t xml:space="preserve">тв – 2) </w:t>
      </w:r>
      <w:r>
        <w:rPr>
          <w:b/>
          <w:i/>
        </w:rPr>
        <w:t xml:space="preserve">Комментарии: </w:t>
      </w:r>
      <w:r>
        <w:rPr>
          <w:i/>
        </w:rPr>
        <w:t xml:space="preserve">могут применяться различные виды респираторной терапии: </w:t>
      </w:r>
    </w:p>
    <w:p w:rsidR="00F15F71" w:rsidRDefault="00F974CD">
      <w:pPr>
        <w:numPr>
          <w:ilvl w:val="0"/>
          <w:numId w:val="18"/>
        </w:numPr>
        <w:spacing w:after="169" w:line="259" w:lineRule="auto"/>
        <w:ind w:right="840" w:hanging="348"/>
      </w:pPr>
      <w:r>
        <w:rPr>
          <w:i/>
        </w:rPr>
        <w:t xml:space="preserve">оксигенотерапия (кислородная терапия); </w:t>
      </w:r>
    </w:p>
    <w:p w:rsidR="00F15F71" w:rsidRDefault="00F974CD">
      <w:pPr>
        <w:numPr>
          <w:ilvl w:val="0"/>
          <w:numId w:val="18"/>
        </w:numPr>
        <w:spacing w:after="167" w:line="259" w:lineRule="auto"/>
        <w:ind w:right="840" w:hanging="348"/>
      </w:pPr>
      <w:r>
        <w:rPr>
          <w:i/>
        </w:rPr>
        <w:t xml:space="preserve">гелиокс-терапия (терапия гелий-кислородной смесью); </w:t>
      </w:r>
    </w:p>
    <w:p w:rsidR="00F15F71" w:rsidRDefault="00F974CD">
      <w:pPr>
        <w:numPr>
          <w:ilvl w:val="0"/>
          <w:numId w:val="18"/>
        </w:numPr>
        <w:spacing w:after="169" w:line="259" w:lineRule="auto"/>
        <w:ind w:right="840" w:hanging="348"/>
      </w:pPr>
      <w:r>
        <w:rPr>
          <w:i/>
        </w:rPr>
        <w:t xml:space="preserve">высокопоточная назальная оксигенотерапия; </w:t>
      </w:r>
    </w:p>
    <w:p w:rsidR="00F15F71" w:rsidRDefault="00F974CD">
      <w:pPr>
        <w:numPr>
          <w:ilvl w:val="0"/>
          <w:numId w:val="18"/>
        </w:numPr>
        <w:spacing w:after="168" w:line="259" w:lineRule="auto"/>
        <w:ind w:right="840" w:hanging="348"/>
      </w:pPr>
      <w:r>
        <w:rPr>
          <w:i/>
        </w:rPr>
        <w:t xml:space="preserve">неинвазивная вентиляция легких – НВЛ; </w:t>
      </w:r>
    </w:p>
    <w:p w:rsidR="00F15F71" w:rsidRDefault="00F974CD">
      <w:pPr>
        <w:numPr>
          <w:ilvl w:val="0"/>
          <w:numId w:val="18"/>
        </w:numPr>
        <w:spacing w:after="121" w:line="259" w:lineRule="auto"/>
        <w:ind w:right="840" w:hanging="348"/>
      </w:pPr>
      <w:r>
        <w:rPr>
          <w:i/>
        </w:rPr>
        <w:t xml:space="preserve">инвазивная искусственная вентиляция легких (ИВЛ).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Выбор методики и оборудования зависит от возраста, состояния пациента и тяжести дыхательной недостаточности. </w:t>
      </w:r>
    </w:p>
    <w:p w:rsidR="00F15F71" w:rsidRDefault="00F974CD">
      <w:pPr>
        <w:spacing w:after="188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after="27" w:line="378" w:lineRule="auto"/>
        <w:ind w:left="720" w:right="845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 пациентам с обострением БА проведение оксигенотерапии в случае снижения насыщ</w:t>
      </w:r>
      <w:r>
        <w:rPr>
          <w:b/>
        </w:rPr>
        <w:t xml:space="preserve">ения крови кислородом для поддержания уровня сатурации 93-95% у взрослых и подростков и 94-98% у детей 0-11 лет. 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F15F71" w:rsidRDefault="00F974CD">
      <w:pPr>
        <w:spacing w:line="387" w:lineRule="auto"/>
        <w:ind w:left="-15" w:right="840" w:firstLine="360"/>
      </w:pPr>
      <w:r>
        <w:rPr>
          <w:b/>
          <w:i/>
        </w:rPr>
        <w:t xml:space="preserve">Комментарии: </w:t>
      </w:r>
      <w:r>
        <w:rPr>
          <w:i/>
        </w:rPr>
        <w:t xml:space="preserve">Предпочтительно титровать подачу кислорода под </w:t>
      </w:r>
      <w:r>
        <w:rPr>
          <w:i/>
        </w:rPr>
        <w:t xml:space="preserve">контролем показателей пульсоксиметрии. У госпитализированных пациентов с обострением БА контролируемая или титрованная оксигенотерапия ассоциируется с более низкой смертностью, чем при использовании 100% О2 </w:t>
      </w:r>
      <w:r>
        <w:t>[109,281–284,286,288,289]</w:t>
      </w:r>
      <w:r>
        <w:rPr>
          <w:i/>
        </w:rPr>
        <w:t>. При отсутствии пульсок</w:t>
      </w:r>
      <w:r>
        <w:rPr>
          <w:i/>
        </w:rPr>
        <w:t>симетра не рекомендуется отказываться от использования кислородной смеси. Однако, в данном случае состояние пациента требует тщательного контроля на предмет ухудшения состояния, сонливости или утомляемости вследствие развития гиперкапнии и дыхательной недо</w:t>
      </w:r>
      <w:r>
        <w:rPr>
          <w:i/>
        </w:rPr>
        <w:t xml:space="preserve">статочности </w:t>
      </w:r>
      <w:r>
        <w:t>[281–283,291]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У взрослых уровень насыщения кислородом в крови не должен превышать 96% при дополнительном назначении кислородотерапии </w:t>
      </w:r>
      <w:r>
        <w:t>[290].</w:t>
      </w:r>
      <w:r>
        <w:rPr>
          <w:i/>
        </w:rPr>
        <w:t xml:space="preserve"> Увеличение SpO2 выше целевых значений сопровождается риском гипероксии, которая отрицательно влияет на</w:t>
      </w:r>
      <w:r>
        <w:rPr>
          <w:i/>
        </w:rPr>
        <w:t xml:space="preserve"> исходы заболевания и приводит к перерасходу кислорода.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Невозможность достичь РаО2 выше 60 мм рт.ст. при использовании таких доз кислорода может свидетельствовать о наличии истинного шунта, и, следовательно, предполагает другие причины гипоксемии (чаще вс</w:t>
      </w:r>
      <w:r>
        <w:rPr>
          <w:i/>
        </w:rPr>
        <w:t xml:space="preserve">его ателектаз доли или всего легкого вследствие полной закупорки бронхов густой вязкой мокротой, возможно также наличие пневмоторакса, пневмонии, легочной эмболии).  </w:t>
      </w:r>
    </w:p>
    <w:p w:rsidR="00F15F71" w:rsidRDefault="00F974CD">
      <w:pPr>
        <w:spacing w:after="187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19"/>
        </w:numPr>
        <w:spacing w:after="35" w:line="367" w:lineRule="auto"/>
        <w:ind w:right="849" w:hanging="348"/>
      </w:pPr>
      <w:r>
        <w:rPr>
          <w:b/>
        </w:rPr>
        <w:t xml:space="preserve">Рекомендуется проведение неинвазивной вентиляции легких (НВЛ) </w:t>
      </w:r>
      <w:r>
        <w:rPr>
          <w:b/>
        </w:rPr>
        <w:t>пациентам любого возраста с обострением БА при наличии тяжелой одышки, гиперкапнии, клинических признаков повышенной работы дыхательной мускулатуры, но без признаков утомления мышц и без нарушения уровня сознания (оглушение или кома) с целью купирования си</w:t>
      </w:r>
      <w:r>
        <w:rPr>
          <w:b/>
        </w:rPr>
        <w:t xml:space="preserve">мптомов </w:t>
      </w:r>
      <w:r>
        <w:t>[109]</w:t>
      </w:r>
      <w:r>
        <w:rPr>
          <w:b/>
        </w:rPr>
        <w:t xml:space="preserve">. </w:t>
      </w:r>
    </w:p>
    <w:p w:rsidR="00F15F71" w:rsidRDefault="00F974CD">
      <w:pPr>
        <w:spacing w:after="151" w:line="270" w:lineRule="auto"/>
        <w:ind w:left="-5" w:right="10"/>
      </w:pPr>
      <w:r>
        <w:rPr>
          <w:b/>
        </w:rPr>
        <w:t xml:space="preserve">Уровень убедительности рекомендаций -В (уровень достоверности доказательств - 3).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>Комментарии:</w:t>
      </w:r>
      <w:r>
        <w:rPr>
          <w:i/>
        </w:rPr>
        <w:t xml:space="preserve"> Возможность успешного применения НВЛ у пациентов с обострением БА была продемонстрирована в нескольких проспективных исследованиях </w:t>
      </w:r>
      <w:r>
        <w:t>[284,285]</w:t>
      </w:r>
      <w:r>
        <w:rPr>
          <w:i/>
        </w:rPr>
        <w:t xml:space="preserve">. В </w:t>
      </w:r>
      <w:r>
        <w:rPr>
          <w:i/>
        </w:rPr>
        <w:t xml:space="preserve">большинстве случаев пациенты, получавшие НВЛ не требовали немедленного проведения интубации трахеи и ИВЛ, и характеризировались меньшей тяжестью ОДН, по сравнению с пациентами, которым проводилась традиционная ИВЛ. </w:t>
      </w:r>
    </w:p>
    <w:p w:rsidR="00F15F71" w:rsidRDefault="00F974CD">
      <w:pPr>
        <w:spacing w:after="188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19"/>
        </w:numPr>
        <w:spacing w:line="377" w:lineRule="auto"/>
        <w:ind w:right="849" w:hanging="348"/>
      </w:pPr>
      <w:r>
        <w:rPr>
          <w:b/>
        </w:rPr>
        <w:t>Рекомендуется рассмотреть проведение и</w:t>
      </w:r>
      <w:r>
        <w:rPr>
          <w:b/>
        </w:rPr>
        <w:t xml:space="preserve">скусственной вентиляции легких (ИВЛ) пациентам любого возраста с обострением БА в тех случаях, когда все другие виды консервативной терапии оказались неэффективными </w:t>
      </w:r>
      <w:r>
        <w:t>[109]</w:t>
      </w:r>
      <w:r>
        <w:rPr>
          <w:b/>
        </w:rPr>
        <w:t xml:space="preserve">. </w:t>
      </w:r>
    </w:p>
    <w:p w:rsidR="00F15F71" w:rsidRDefault="00F974CD">
      <w:pPr>
        <w:spacing w:after="105" w:line="270" w:lineRule="auto"/>
        <w:ind w:left="-5" w:right="10"/>
      </w:pPr>
      <w:r>
        <w:rPr>
          <w:b/>
        </w:rPr>
        <w:t xml:space="preserve">Уровень убедительности рекомендаций -C (уровень достоверности доказательств - 5) </w:t>
      </w:r>
    </w:p>
    <w:p w:rsidR="00F15F71" w:rsidRDefault="00F974CD">
      <w:pPr>
        <w:spacing w:after="254" w:line="387" w:lineRule="auto"/>
        <w:ind w:left="-15" w:right="840" w:firstLine="710"/>
      </w:pPr>
      <w:r>
        <w:rPr>
          <w:b/>
        </w:rPr>
        <w:t>К</w:t>
      </w:r>
      <w:r>
        <w:rPr>
          <w:b/>
        </w:rPr>
        <w:t xml:space="preserve">омментарии: </w:t>
      </w:r>
      <w:r>
        <w:rPr>
          <w:i/>
        </w:rPr>
        <w:t>Интубация и искусственная вентиляция легких могут спасти жизнь, но их использование у педиатрических пациентов с астмой сопряжено со значительными побочными эффектами. До 45% пациентов, интубированных из-за астмы, имеют осложнения, включая пнев</w:t>
      </w:r>
      <w:r>
        <w:rPr>
          <w:i/>
        </w:rPr>
        <w:t xml:space="preserve">монию, пневмоторакс, пневмомедиастинум и сердечно-сосудистый коллапс </w:t>
      </w:r>
      <w:r>
        <w:t>[292,293]</w:t>
      </w:r>
      <w:r>
        <w:rPr>
          <w:i/>
        </w:rPr>
        <w:t>. Этот риск подчеркивает важность адекватного, быстрого и агрессивного начального лечения острых обострений. Интубацию и искусственную вентиляцию легких следует начинать только п</w:t>
      </w:r>
      <w:r>
        <w:rPr>
          <w:i/>
        </w:rPr>
        <w:t>ри отсутствии эффекта от оптимизированной первичной помощи, только самым опытным специалистом и предпочтительно совместно со специалистом отделения интенсивной терапии. В таких ситуациях кетамин** обычно считается препаратом выбора для индукции и постоянно</w:t>
      </w:r>
      <w:r>
        <w:rPr>
          <w:i/>
        </w:rPr>
        <w:t xml:space="preserve">й седации </w:t>
      </w:r>
      <w:r>
        <w:t>[109,289]</w:t>
      </w:r>
      <w:r>
        <w:rPr>
          <w:i/>
        </w:rPr>
        <w:t xml:space="preserve">. Проводится обычно в стационарных условиях. </w:t>
      </w:r>
    </w:p>
    <w:p w:rsidR="00F15F71" w:rsidRDefault="00F974CD">
      <w:pPr>
        <w:pStyle w:val="Heading4"/>
        <w:spacing w:after="161" w:line="259" w:lineRule="auto"/>
        <w:ind w:left="703"/>
        <w:jc w:val="left"/>
      </w:pPr>
      <w:bookmarkStart w:id="27" w:name="_Toc275184"/>
      <w:r>
        <w:rPr>
          <w:u w:val="single" w:color="000000"/>
        </w:rPr>
        <w:t>3.3 Элиминационные мероприятия</w:t>
      </w:r>
      <w:r>
        <w:t xml:space="preserve"> </w:t>
      </w:r>
      <w:bookmarkEnd w:id="27"/>
    </w:p>
    <w:p w:rsidR="00F15F71" w:rsidRDefault="00F974CD">
      <w:pPr>
        <w:spacing w:after="256" w:line="387" w:lineRule="auto"/>
        <w:ind w:left="-15" w:right="840" w:firstLine="710"/>
      </w:pPr>
      <w:r>
        <w:rPr>
          <w:i/>
        </w:rPr>
        <w:t xml:space="preserve">Элиминация или удаление причинно-значимых аллергенов относится к этиопатогенетическим методам лечения аллергии </w:t>
      </w:r>
      <w:r>
        <w:rPr>
          <w:i/>
        </w:rPr>
        <w:t xml:space="preserve">и подходит для БА аллергического фенотипа. В большинстве случаев полностью исключить контакт с аллергеном невозможно. </w:t>
      </w:r>
    </w:p>
    <w:p w:rsidR="00F15F71" w:rsidRDefault="00F974CD">
      <w:pPr>
        <w:spacing w:line="397" w:lineRule="auto"/>
        <w:ind w:left="708" w:right="845" w:hanging="425"/>
      </w:pP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b/>
        </w:rPr>
        <w:t>Рекомендуется всем пациентам с аллергической (атопической) БА проведение элиминационных мероприятий в отношении причинно-</w:t>
      </w:r>
      <w:r>
        <w:rPr>
          <w:b/>
        </w:rPr>
        <w:t xml:space="preserve">значимых аллергенов с целью уменьшения выраженности симптомов БА и снижения фармакологической нагрузки </w:t>
      </w:r>
      <w:r>
        <w:t>[58,294–298]</w:t>
      </w:r>
      <w:r>
        <w:rPr>
          <w:b/>
        </w:rPr>
        <w:t xml:space="preserve">. </w:t>
      </w:r>
    </w:p>
    <w:p w:rsidR="00F15F71" w:rsidRDefault="00F974CD">
      <w:pPr>
        <w:spacing w:after="105" w:line="270" w:lineRule="auto"/>
        <w:ind w:left="-5" w:right="10"/>
      </w:pPr>
      <w:r>
        <w:rPr>
          <w:b/>
        </w:rPr>
        <w:t xml:space="preserve">Уровень убедительности рекомендаций –А (уровень достоверности доказательств -1) </w:t>
      </w:r>
    </w:p>
    <w:p w:rsidR="00F15F71" w:rsidRDefault="00F974CD">
      <w:pPr>
        <w:spacing w:after="255"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Даже частичное выполнение мер, элиминирующих</w:t>
      </w:r>
      <w:r>
        <w:rPr>
          <w:i/>
        </w:rPr>
        <w:t xml:space="preserve"> аллерген, облегчает течение заболевания, снижает необходимость использования лекарств, в том числе и сильнодействующих. Особое внимание рекомендуют уделять этим мероприятиям, когда существуют серьезные ограничения для приема многих фармакологических препа</w:t>
      </w:r>
      <w:r>
        <w:rPr>
          <w:i/>
        </w:rPr>
        <w:t xml:space="preserve">ратов (беременность, ранний возраст, наличие сопутствующей патологии) и при наличии сенсибилизации к эпидермальным аллергенам </w:t>
      </w:r>
      <w:r>
        <w:t xml:space="preserve">[58,294–298]. </w:t>
      </w:r>
    </w:p>
    <w:p w:rsidR="00F15F71" w:rsidRDefault="00F974CD">
      <w:pPr>
        <w:pStyle w:val="Heading4"/>
        <w:spacing w:after="161" w:line="259" w:lineRule="auto"/>
        <w:ind w:left="703"/>
        <w:jc w:val="left"/>
      </w:pPr>
      <w:bookmarkStart w:id="28" w:name="_Toc275185"/>
      <w:r>
        <w:rPr>
          <w:u w:val="single" w:color="000000"/>
        </w:rPr>
        <w:t>3.4 Аллерген-специфическая иммунотерапия</w:t>
      </w:r>
      <w:r>
        <w:t xml:space="preserve"> </w:t>
      </w:r>
      <w:bookmarkEnd w:id="28"/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Аллерген-специфическая иммунотерапия (АСИТ) - один из основных методов па</w:t>
      </w:r>
      <w:r>
        <w:rPr>
          <w:i/>
        </w:rPr>
        <w:t>тогенетического лечения IgE-опосредованных аллергических заболеваний, заключающийся в длительном регулярном применении повторных высоких доз лечебного аллергена способом, отличающимся от его естественной экспозиции, с целью индукции иммунной толерантности.</w:t>
      </w:r>
      <w:r>
        <w:rPr>
          <w:i/>
        </w:rPr>
        <w:t xml:space="preserve"> Клинический результат АСИТ выражается в снижении чувствительности организма к причинно-значимому аллергену, уменьшении интенсивности симптомов, снижении потребности в применении лекарственных средств, предотвращении развития БА у пациентов с аллергическим</w:t>
      </w:r>
      <w:r>
        <w:rPr>
          <w:i/>
        </w:rPr>
        <w:t xml:space="preserve"> ринитом и расширения спектра сенсибилизации </w:t>
      </w:r>
      <w:r>
        <w:t xml:space="preserve">[299,300] </w:t>
      </w:r>
    </w:p>
    <w:p w:rsidR="00F15F71" w:rsidRDefault="00F974CD">
      <w:pPr>
        <w:numPr>
          <w:ilvl w:val="0"/>
          <w:numId w:val="20"/>
        </w:numPr>
        <w:spacing w:after="43" w:line="361" w:lineRule="auto"/>
        <w:ind w:right="848" w:hanging="348"/>
      </w:pPr>
      <w:r>
        <w:rPr>
          <w:b/>
        </w:rPr>
        <w:t>Рекомендуется проведение АСИТ (сублингвальной или подкожной) пациентам с контролируемой атопической БА при наличии доказанной клинически значимой сенсибилизации при отсутствии противопоказаний с целью</w:t>
      </w:r>
      <w:r>
        <w:rPr>
          <w:b/>
        </w:rPr>
        <w:t xml:space="preserve"> уменьшения выраженности проявлений БА, снижения потребности в лекарственных препаратах, восстановления измененных параметров функции легких, уменьшения бронхиальной гиперреактивности и повышения качества жизни</w:t>
      </w:r>
      <w:r>
        <w:rPr>
          <w:i/>
        </w:rPr>
        <w:t xml:space="preserve"> </w:t>
      </w:r>
      <w:r>
        <w:t>[299–306].</w:t>
      </w:r>
      <w:r>
        <w:rPr>
          <w:b/>
        </w:rPr>
        <w:t xml:space="preserve"> </w:t>
      </w:r>
    </w:p>
    <w:p w:rsidR="00F15F71" w:rsidRDefault="00F974CD">
      <w:pPr>
        <w:spacing w:after="105" w:line="270" w:lineRule="auto"/>
        <w:ind w:left="-5" w:right="10"/>
      </w:pPr>
      <w:r>
        <w:rPr>
          <w:b/>
        </w:rPr>
        <w:t>Уровень убедительности рекомендац</w:t>
      </w:r>
      <w:r>
        <w:rPr>
          <w:b/>
        </w:rPr>
        <w:t xml:space="preserve">ий -А (уровень достоверности доказательств - 1)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для достижения контроля над симптомами БА возможно использование любых противоастматических препаратов, назначаемых в качестве базисной терапии (антагонисты лейкотриеновых рецепторов, ингаляцион</w:t>
      </w:r>
      <w:r>
        <w:rPr>
          <w:i/>
        </w:rPr>
        <w:t>ные глюкоокртикостероиды в качестве монотерапии или в комбинации с длительно действующими β2-агонистами и/или длительно действующими холинергическими препаратами, моноклональными антителами), за исключением системных глюкокортикостероидов.</w:t>
      </w:r>
      <w:r>
        <w:t xml:space="preserve"> </w:t>
      </w:r>
    </w:p>
    <w:p w:rsidR="00F15F71" w:rsidRDefault="00F974CD">
      <w:pPr>
        <w:spacing w:after="186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numPr>
          <w:ilvl w:val="0"/>
          <w:numId w:val="20"/>
        </w:numPr>
        <w:spacing w:after="29" w:line="374" w:lineRule="auto"/>
        <w:ind w:right="848" w:hanging="348"/>
      </w:pPr>
      <w:r>
        <w:rPr>
          <w:b/>
        </w:rPr>
        <w:t>Рекомендуется</w:t>
      </w:r>
      <w:r>
        <w:rPr>
          <w:b/>
        </w:rPr>
        <w:t xml:space="preserve"> проведение АСИТ сублингвальными аллергенами бытовыми (аллергенами клещей домашней пыли) (СЛИТ КДП) пациентам с частично контролируемой атопической БА при наличии доказанной клинически значимой сенсибилизации к аллергенам клещей домашней пыли </w:t>
      </w:r>
      <w:r>
        <w:rPr>
          <w:b/>
          <w:i/>
        </w:rPr>
        <w:t>Dermatophagoi</w:t>
      </w:r>
      <w:r>
        <w:rPr>
          <w:b/>
          <w:i/>
        </w:rPr>
        <w:t>des pteronissinys</w:t>
      </w:r>
      <w:r>
        <w:rPr>
          <w:b/>
        </w:rPr>
        <w:t xml:space="preserve"> и/или </w:t>
      </w:r>
      <w:r>
        <w:rPr>
          <w:b/>
          <w:i/>
        </w:rPr>
        <w:t>Dermatophagoides farinae</w:t>
      </w:r>
      <w:r>
        <w:rPr>
          <w:b/>
        </w:rPr>
        <w:t xml:space="preserve"> с целью достижения контроля над симптомами БА </w:t>
      </w:r>
      <w:r>
        <w:t>[21,295,304–310]</w:t>
      </w:r>
      <w:r>
        <w:rPr>
          <w:b/>
        </w:rPr>
        <w:t xml:space="preserve">.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 xml:space="preserve">Уровень убедительности рекомендаций -A (уровень достоверности доказательств -2) </w:t>
      </w:r>
    </w:p>
    <w:p w:rsidR="00F15F71" w:rsidRDefault="00F974CD">
      <w:pPr>
        <w:spacing w:after="252"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Пациентам с частично контролируемой БА на фоне адекватной противоастматической фармакотерапии может быть назначена АСИТ сублингвальными аллергенами клещей домашней пыли при показателях объема форсированного выдоха за 1 сек (ОФВ1) более 70% от должных велич</w:t>
      </w:r>
      <w:r>
        <w:rPr>
          <w:i/>
        </w:rPr>
        <w:t xml:space="preserve">ин и отсутствии тяжелых обострений БА за последние 12 месяцев. </w:t>
      </w:r>
    </w:p>
    <w:p w:rsidR="00F15F71" w:rsidRDefault="00F974CD">
      <w:pPr>
        <w:pStyle w:val="Heading4"/>
        <w:spacing w:after="115" w:line="259" w:lineRule="auto"/>
        <w:ind w:left="703"/>
        <w:jc w:val="left"/>
      </w:pPr>
      <w:bookmarkStart w:id="29" w:name="_Toc275186"/>
      <w:r>
        <w:rPr>
          <w:u w:val="single" w:color="000000"/>
        </w:rPr>
        <w:t>3.5 Хирургическое лечение</w:t>
      </w:r>
      <w:r>
        <w:t xml:space="preserve"> </w:t>
      </w:r>
      <w:bookmarkEnd w:id="29"/>
    </w:p>
    <w:p w:rsidR="00F15F71" w:rsidRDefault="00F974CD">
      <w:pPr>
        <w:spacing w:after="40" w:line="387" w:lineRule="auto"/>
        <w:ind w:left="-15" w:right="840" w:firstLine="710"/>
      </w:pPr>
      <w:r>
        <w:rPr>
          <w:i/>
        </w:rPr>
        <w:t xml:space="preserve">В подавляющем большинстве случаев проведение хирургического лечения БА не показано.  </w:t>
      </w:r>
    </w:p>
    <w:p w:rsidR="00F15F71" w:rsidRDefault="00F974CD">
      <w:pPr>
        <w:spacing w:line="401" w:lineRule="auto"/>
        <w:ind w:left="720" w:right="10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Взрослым пациентам с тяжелым течением БА и неэффективностью медикаментозной т</w:t>
      </w:r>
      <w:r>
        <w:rPr>
          <w:b/>
        </w:rPr>
        <w:t xml:space="preserve">ерапии, включая терапию 5 ступени, возможно рассмотреть проведение бронхиальной термопластики (БТ) при доступности ее проведения </w:t>
      </w:r>
      <w:r>
        <w:t>[311–316]</w:t>
      </w:r>
      <w:r>
        <w:rPr>
          <w:b/>
        </w:rPr>
        <w:t xml:space="preserve">. </w:t>
      </w:r>
    </w:p>
    <w:p w:rsidR="00F15F71" w:rsidRDefault="00F974CD">
      <w:pPr>
        <w:spacing w:after="105" w:line="270" w:lineRule="auto"/>
        <w:ind w:left="-5" w:right="10"/>
      </w:pPr>
      <w:r>
        <w:rPr>
          <w:b/>
        </w:rPr>
        <w:t xml:space="preserve">Уровень убедительности рекомендаций -C (уровень достоверности доказательств - 3)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БТ была одобрена в 2</w:t>
      </w:r>
      <w:r>
        <w:rPr>
          <w:i/>
        </w:rPr>
        <w:t>010 г для клинического использования в США, с 2018 г доступна на территории РФ. БТ – метод эндоскопического лечения тяжелой БА, направленный на коррекцию ремоделирования бронхиальной стенки. Точкой приложения является гипертрофированный гладкомышечный слой</w:t>
      </w:r>
      <w:r>
        <w:rPr>
          <w:i/>
        </w:rPr>
        <w:t xml:space="preserve"> бронхиальной стенки, на который воздействуют контролируемым радиочастотным тепловым излучением:</w:t>
      </w:r>
      <w:r>
        <w:t xml:space="preserve"> </w:t>
      </w:r>
      <w:r>
        <w:rPr>
          <w:i/>
        </w:rPr>
        <w:t>поочередно в основные бронхи под контролем бронхоскопа вводится радиоволновой излучатель, который разрушает часть мышечных волокон бронха. В последующем уменьш</w:t>
      </w:r>
      <w:r>
        <w:rPr>
          <w:i/>
        </w:rPr>
        <w:t>ается как общий объем мышечной массы, так и способность гладкомышечных клеток к сокращению, а соответственно, снижается бронхоконстрикция. Бронхообструкция не может быть такой выраженной, как ранее, в результате приступы становятся более редкими и менее ин</w:t>
      </w:r>
      <w:r>
        <w:rPr>
          <w:i/>
        </w:rPr>
        <w:t>тенсивными. Процедура БТ обычно проводится в три сеанса суммарной длительностью около часа. При этом сохраняется спазмолитический ответ оставшейся гладкой мускулатуры бронхов на применяемые бронходилататоры</w:t>
      </w:r>
      <w:r>
        <w:t xml:space="preserve"> [311–316]</w:t>
      </w:r>
      <w:r>
        <w:rPr>
          <w:b/>
        </w:rPr>
        <w:t xml:space="preserve">. </w:t>
      </w:r>
    </w:p>
    <w:p w:rsidR="00F15F71" w:rsidRDefault="00F974CD">
      <w:pPr>
        <w:spacing w:after="251" w:line="387" w:lineRule="auto"/>
        <w:ind w:left="-15" w:right="840" w:firstLine="710"/>
      </w:pPr>
      <w:r>
        <w:rPr>
          <w:i/>
        </w:rPr>
        <w:t>Использование БТ не означает, что пац</w:t>
      </w:r>
      <w:r>
        <w:rPr>
          <w:i/>
        </w:rPr>
        <w:t xml:space="preserve">иент может отказаться от лекарственной терапии. Показано, что пациенты, получавшие БТ, демонстрируют клинически значимый ответ и статистически значимое улучшение контроля БА. Проведение БТ приводило к сокращению числа серьезных обострений на 45%, после БТ </w:t>
      </w:r>
      <w:r>
        <w:rPr>
          <w:i/>
        </w:rPr>
        <w:t xml:space="preserve">с использованием системных ГКС </w:t>
      </w:r>
      <w:r>
        <w:t>[313]</w:t>
      </w:r>
      <w:r>
        <w:rPr>
          <w:i/>
        </w:rPr>
        <w:t xml:space="preserve">. </w:t>
      </w:r>
    </w:p>
    <w:p w:rsidR="00F15F71" w:rsidRDefault="00F974CD">
      <w:pPr>
        <w:pStyle w:val="Heading4"/>
        <w:spacing w:after="115" w:line="259" w:lineRule="auto"/>
        <w:ind w:left="703"/>
        <w:jc w:val="left"/>
      </w:pPr>
      <w:bookmarkStart w:id="30" w:name="_Toc275187"/>
      <w:r>
        <w:rPr>
          <w:u w:val="single" w:color="000000"/>
        </w:rPr>
        <w:t>3.6 Методы нетрадиционной и альтернативной медицины</w:t>
      </w:r>
      <w:r>
        <w:t xml:space="preserve"> </w:t>
      </w:r>
      <w:bookmarkEnd w:id="30"/>
    </w:p>
    <w:p w:rsidR="00F15F71" w:rsidRDefault="00F974CD">
      <w:pPr>
        <w:spacing w:after="259" w:line="387" w:lineRule="auto"/>
        <w:ind w:left="-15" w:right="840" w:firstLine="710"/>
      </w:pPr>
      <w:r>
        <w:rPr>
          <w:i/>
        </w:rPr>
        <w:t xml:space="preserve">В связи с отсутствием доказательств положительного клинического влияния на течение БА и улучшение функции легких у пациентов с БА не рекомендуется применение таких </w:t>
      </w:r>
      <w:r>
        <w:rPr>
          <w:i/>
        </w:rPr>
        <w:t xml:space="preserve">методов как иглоукалывание, китайская медицина, гомеопатия, фитотерапия, гипноз, техники релаксации, применение ионизаторов воздуха, физиотерапия </w:t>
      </w:r>
      <w:r>
        <w:t>[21,317]</w:t>
      </w:r>
      <w:r>
        <w:rPr>
          <w:i/>
        </w:rPr>
        <w:t xml:space="preserve">. </w:t>
      </w:r>
    </w:p>
    <w:p w:rsidR="00F15F71" w:rsidRDefault="00F974CD">
      <w:pPr>
        <w:spacing w:line="398" w:lineRule="auto"/>
        <w:ind w:left="708" w:right="848" w:hanging="425"/>
      </w:pP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b/>
        </w:rPr>
        <w:t xml:space="preserve">Рекомендуется пациентам с БА </w:t>
      </w:r>
      <w:r>
        <w:rPr>
          <w:b/>
        </w:rPr>
        <w:t xml:space="preserve">дыхательная гимнастика (например, дыхание по методу Бутейко) как вспомогательное средство снижения уровня </w:t>
      </w:r>
      <w:r>
        <w:rPr>
          <w:i/>
        </w:rPr>
        <w:t xml:space="preserve"> </w:t>
      </w:r>
      <w:r>
        <w:rPr>
          <w:b/>
        </w:rPr>
        <w:t xml:space="preserve">восприятия симптомов, преимущественно у пациентов с сочетанием БА и гипервентиляционным синдромом </w:t>
      </w:r>
      <w:r>
        <w:t>[318–325]</w:t>
      </w:r>
      <w:r>
        <w:rPr>
          <w:b/>
        </w:rPr>
        <w:t>.</w:t>
      </w:r>
      <w:r>
        <w:rPr>
          <w:b/>
          <w:i/>
        </w:rPr>
        <w:t xml:space="preserve"> </w:t>
      </w:r>
    </w:p>
    <w:p w:rsidR="00F15F71" w:rsidRDefault="00F974CD">
      <w:pPr>
        <w:spacing w:after="255" w:line="387" w:lineRule="auto"/>
        <w:ind w:left="-15" w:right="840" w:firstLine="0"/>
      </w:pPr>
      <w:r>
        <w:rPr>
          <w:b/>
        </w:rPr>
        <w:t xml:space="preserve">Уровень убедительности рекомендаций –B </w:t>
      </w:r>
      <w:r>
        <w:rPr>
          <w:b/>
        </w:rPr>
        <w:t xml:space="preserve">(уровень достоверности доказательств –3) Комментарии: </w:t>
      </w:r>
      <w:r>
        <w:rPr>
          <w:i/>
        </w:rPr>
        <w:t xml:space="preserve">В двух исследованиях </w:t>
      </w:r>
      <w:r>
        <w:t>[320,321]</w:t>
      </w:r>
      <w:r>
        <w:rPr>
          <w:i/>
        </w:rPr>
        <w:t xml:space="preserve"> показана возможность некоторого уменьшения симптомов и потребности в КДБА при выполнении дыхательной гимнастики по Бутейко, но без влияния на функцию лёгких и воспаление. </w:t>
      </w:r>
      <w:r>
        <w:rPr>
          <w:i/>
        </w:rPr>
        <w:t xml:space="preserve">Обучение дыхательной гимнастике следует проводить под контролем специалиста. </w:t>
      </w:r>
    </w:p>
    <w:p w:rsidR="00F15F71" w:rsidRDefault="00F974CD">
      <w:pPr>
        <w:pStyle w:val="Heading4"/>
        <w:spacing w:after="0" w:line="407" w:lineRule="auto"/>
        <w:ind w:left="0" w:firstLine="708"/>
        <w:jc w:val="left"/>
      </w:pPr>
      <w:bookmarkStart w:id="31" w:name="_Toc275188"/>
      <w:r>
        <w:rPr>
          <w:u w:val="single" w:color="000000"/>
        </w:rPr>
        <w:t xml:space="preserve">3.7 </w:t>
      </w:r>
      <w:r>
        <w:rPr>
          <w:u w:val="single" w:color="000000"/>
        </w:rPr>
        <w:tab/>
        <w:t xml:space="preserve">Особенности </w:t>
      </w:r>
      <w:r>
        <w:rPr>
          <w:u w:val="single" w:color="000000"/>
        </w:rPr>
        <w:tab/>
        <w:t xml:space="preserve">лечения </w:t>
      </w:r>
      <w:r>
        <w:rPr>
          <w:u w:val="single" w:color="000000"/>
        </w:rPr>
        <w:tab/>
        <w:t xml:space="preserve">БА </w:t>
      </w:r>
      <w:r>
        <w:rPr>
          <w:u w:val="single" w:color="000000"/>
        </w:rPr>
        <w:tab/>
        <w:t xml:space="preserve">у </w:t>
      </w:r>
      <w:r>
        <w:rPr>
          <w:u w:val="single" w:color="000000"/>
        </w:rPr>
        <w:tab/>
        <w:t xml:space="preserve">беременных </w:t>
      </w:r>
      <w:r>
        <w:rPr>
          <w:u w:val="single" w:color="000000"/>
        </w:rPr>
        <w:tab/>
        <w:t xml:space="preserve">и </w:t>
      </w:r>
      <w:r>
        <w:rPr>
          <w:u w:val="single" w:color="000000"/>
        </w:rPr>
        <w:tab/>
        <w:t xml:space="preserve">в </w:t>
      </w:r>
      <w:r>
        <w:rPr>
          <w:u w:val="single" w:color="000000"/>
        </w:rPr>
        <w:tab/>
        <w:t xml:space="preserve">период </w:t>
      </w:r>
      <w:r>
        <w:rPr>
          <w:u w:val="single" w:color="000000"/>
        </w:rPr>
        <w:tab/>
        <w:t>грудного</w:t>
      </w:r>
      <w:r>
        <w:t xml:space="preserve"> </w:t>
      </w:r>
      <w:r>
        <w:rPr>
          <w:u w:val="single" w:color="000000"/>
        </w:rPr>
        <w:t>вскармливания</w:t>
      </w:r>
      <w:r>
        <w:t xml:space="preserve"> </w:t>
      </w:r>
      <w:bookmarkEnd w:id="31"/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Физиологические изменения, происходящие при беременности, могут вызвать как ухудшение, так и у</w:t>
      </w:r>
      <w:r>
        <w:rPr>
          <w:i/>
        </w:rPr>
        <w:t>лучшение течения БА. Беременность может влиять на течение БА, а сама астма может влиять на беременность</w:t>
      </w:r>
      <w:r>
        <w:t xml:space="preserve">. </w:t>
      </w: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В период беременности под влиянием гормональных и механических факторов дыхательная система претерпевает существенные изменения: происходит перестрой</w:t>
      </w:r>
      <w:r>
        <w:rPr>
          <w:i/>
        </w:rPr>
        <w:t xml:space="preserve">ка механики дыхания, изменяются вентиляционно-перфузионные отношения </w:t>
      </w:r>
      <w:r>
        <w:t>[326]</w:t>
      </w:r>
      <w:r>
        <w:rPr>
          <w:i/>
        </w:rPr>
        <w:t>. В первом триместре беременности возможно развитие гипервентиляции вследствие гиперпрогестеронемии, изменения газового состава крови – повышения содержания РаСО2. Появление одышки н</w:t>
      </w:r>
      <w:r>
        <w:rPr>
          <w:i/>
        </w:rPr>
        <w:t>а поздних сроках беременности во многом обусловлено развитием механического фактора, который является следствием увеличения объема матки. В результате данных изменений усугубляются нарушения функции внешнего дыхания, снижаются жизненная емкость легких, фор</w:t>
      </w:r>
      <w:r>
        <w:rPr>
          <w:i/>
        </w:rPr>
        <w:t>сированная жизненная емкость легких, ОФВ1. По мере увеличения срока гестации повышается сопротивление сосудов малого круга кровообращения, что также способствует развитию одышки. В связи с этим одышка вызывает определенные трудности при проведении дифферен</w:t>
      </w:r>
      <w:r>
        <w:rPr>
          <w:i/>
        </w:rPr>
        <w:t xml:space="preserve">циальной диагностики между физиологическими изменениями функции внешнего дыхания на фоне беременности и проявлениями бронхообструкции </w:t>
      </w:r>
      <w:r>
        <w:t>[326]</w:t>
      </w:r>
      <w:r>
        <w:rPr>
          <w:i/>
        </w:rPr>
        <w:t>. Нередко у беременных без соматической патологии развивается отек слизистых оболочек носоглотки, трахеи и крупных бр</w:t>
      </w:r>
      <w:r>
        <w:rPr>
          <w:i/>
        </w:rPr>
        <w:t xml:space="preserve">онхов. Данные проявления у беременных с БА также могут усугублять симптоматику заболевания.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Ухудшению течения БА способствует низкая комплаентность: многие пациентки пытаются отказаться от приема ингаляционных глюкокортикостероидов (ИГКС) из-за боязни их </w:t>
      </w:r>
      <w:r>
        <w:rPr>
          <w:i/>
        </w:rPr>
        <w:t>возможного побочного действия. В таких случаях врачу следует объяснить женщине необходимость проведения базисной противовоспалительной терапии в связи с отрицательным влиянием неконтролируемой БА на внутриутробного ребенка. Симптомы астмы могут впервые поя</w:t>
      </w:r>
      <w:r>
        <w:rPr>
          <w:i/>
        </w:rPr>
        <w:t xml:space="preserve">виться во время беременности вследствие измененной реактивности организма и повышенной чувствительности к эндогенному простагландину F2α (PGF2α) </w:t>
      </w:r>
      <w:r>
        <w:t>[327]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Женщины, страдающие неконтролируемой или частично контролируемой БА, имеют большую вероятность рождения</w:t>
      </w:r>
      <w:r>
        <w:rPr>
          <w:i/>
        </w:rPr>
        <w:t xml:space="preserve"> детей с низкой массой тела, неврологическими расстройствами, асфиксией, врожденными пороками развития. Наибольшая доля рождения детей с малой массой тела наблюдается у женщин, страдающих стероидозависимой БА </w:t>
      </w:r>
      <w:r>
        <w:t>[328,329]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Беременные с БА подвержены высокому</w:t>
      </w:r>
      <w:r>
        <w:rPr>
          <w:i/>
        </w:rPr>
        <w:t xml:space="preserve"> риску развития токсикоза раннего срока (37 %), гестоза (43 %), угрозе прерывания беременности (26 %), плацентарной недостаточности (29 %), преждевременных родов (19 %) </w:t>
      </w:r>
      <w:r>
        <w:t>[330].</w:t>
      </w: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Акушерские осложнения, как правило, встречаются при тяжелом неконтролируемом те</w:t>
      </w:r>
      <w:r>
        <w:rPr>
          <w:i/>
        </w:rPr>
        <w:t xml:space="preserve">чении заболевания. Основным фактором, который может оказывать влияние на снижение вероятности развития осложнений беременности, является достижение медикаментозного контроля БА </w:t>
      </w:r>
      <w:r>
        <w:t>[328,331]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По этическим соображениям у беременных не проводилось контролируемы</w:t>
      </w:r>
      <w:r>
        <w:rPr>
          <w:i/>
        </w:rPr>
        <w:t>х исследований для препаратов, используемых при БА. Соответственно, для этих препаратов не существует данных, продемонстрировавших отсутствие риска для плода в любом триместре беременности.. Некоторые медикаменты, используемые для лечения БА, относятся к г</w:t>
      </w:r>
      <w:r>
        <w:rPr>
          <w:i/>
        </w:rPr>
        <w:t>руппе В (отсутствие риска в исследованиях у беременных животных, наличие данных систематических обзоров исследований «случай-контроль» об использовании у беременных женщин), которые не имеют доказательств риска для человека: будесонид**</w:t>
      </w:r>
      <w:r>
        <w:t xml:space="preserve">. 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Большинство преп</w:t>
      </w:r>
      <w:r>
        <w:rPr>
          <w:i/>
        </w:rPr>
        <w:t xml:space="preserve">аратов, применяемых при БА, относится к группе С (существует шанс вреда для плода, но потенциальная польза может перевесить потенциальный риск): салметерол, формотерол, дексаметазон**, преднизолон**. 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В период беременности предпочтение следует отдавать ин</w:t>
      </w:r>
      <w:r>
        <w:rPr>
          <w:i/>
        </w:rPr>
        <w:t xml:space="preserve">галяционным средствам, избегая без особой необходимости назначения системных глюкокортикостероидов.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Во время родов приступ удушья развивается редко. В отсутствии обострения БА кесарево сечение проводится по обычным акушерским показаниям </w:t>
      </w:r>
      <w:r>
        <w:t>[332]</w:t>
      </w:r>
      <w:r>
        <w:rPr>
          <w:i/>
        </w:rPr>
        <w:t>. Если береме</w:t>
      </w:r>
      <w:r>
        <w:rPr>
          <w:i/>
        </w:rPr>
        <w:t xml:space="preserve">нной женщине с БА показана анестезия, то региональная блокада более предпочтительна, чем общий наркоз.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Женщинам, кормящим грудью, рекомендуется использовать базисную противоастматическую терапию как обычно </w:t>
      </w:r>
      <w:r>
        <w:t xml:space="preserve">[328,331]. </w:t>
      </w:r>
      <w:r>
        <w:rPr>
          <w:i/>
        </w:rPr>
        <w:t>При назначении терапии в период грудно</w:t>
      </w:r>
      <w:r>
        <w:rPr>
          <w:i/>
        </w:rPr>
        <w:t xml:space="preserve">го вскармливания следует по возможности ограничиться лекарственными средствами для ингаляционного применения с минимальной системной биодоступностью. </w:t>
      </w:r>
    </w:p>
    <w:p w:rsidR="00F15F71" w:rsidRDefault="00F974CD">
      <w:pPr>
        <w:spacing w:after="259" w:line="387" w:lineRule="auto"/>
        <w:ind w:left="-15" w:right="840" w:firstLine="0"/>
      </w:pPr>
      <w:r>
        <w:rPr>
          <w:i/>
        </w:rPr>
        <w:t>Все препараты для системного применения, используемые для лечения БА, проникают в грудное молоко, соответ</w:t>
      </w:r>
      <w:r>
        <w:rPr>
          <w:i/>
        </w:rPr>
        <w:t xml:space="preserve">ственно, при необходимости их назначения следует рассмотреть вопрос о прекращении грудного вскармливания. </w:t>
      </w:r>
    </w:p>
    <w:p w:rsidR="00F15F71" w:rsidRDefault="00F974CD">
      <w:pPr>
        <w:numPr>
          <w:ilvl w:val="0"/>
          <w:numId w:val="21"/>
        </w:numPr>
        <w:spacing w:line="390" w:lineRule="auto"/>
        <w:ind w:right="846" w:hanging="425"/>
      </w:pPr>
      <w:r>
        <w:rPr>
          <w:b/>
        </w:rPr>
        <w:t>Рекомендуется тщательное наблюдение беременных женщин с БА</w:t>
      </w:r>
      <w:r>
        <w:rPr>
          <w:b/>
          <w:i/>
        </w:rPr>
        <w:t xml:space="preserve"> </w:t>
      </w:r>
      <w:r>
        <w:rPr>
          <w:b/>
        </w:rPr>
        <w:t>для сохранения хорошего контроля</w:t>
      </w:r>
      <w:r>
        <w:rPr>
          <w:b/>
          <w:i/>
        </w:rPr>
        <w:t xml:space="preserve"> </w:t>
      </w:r>
      <w:r>
        <w:t>[331,332]</w:t>
      </w:r>
      <w:r>
        <w:rPr>
          <w:b/>
        </w:rPr>
        <w:t>.</w:t>
      </w:r>
      <w:r>
        <w:rPr>
          <w:b/>
          <w:i/>
        </w:rPr>
        <w:t xml:space="preserve">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 xml:space="preserve">Уровень убедительности рекомендаций –С </w:t>
      </w:r>
      <w:r>
        <w:rPr>
          <w:b/>
        </w:rPr>
        <w:t xml:space="preserve">(уровень достоверности доказательств –5) </w:t>
      </w:r>
    </w:p>
    <w:p w:rsidR="00F15F71" w:rsidRDefault="00F974CD">
      <w:pPr>
        <w:spacing w:after="250" w:line="387" w:lineRule="auto"/>
        <w:ind w:left="-15" w:right="840" w:firstLine="710"/>
      </w:pPr>
      <w:r>
        <w:rPr>
          <w:b/>
        </w:rPr>
        <w:t>Комментарии:</w:t>
      </w:r>
      <w:r>
        <w:t xml:space="preserve"> </w:t>
      </w:r>
      <w:r>
        <w:rPr>
          <w:i/>
        </w:rPr>
        <w:t xml:space="preserve">Контроль БА важен во время беременности как для матери, так и для плода, уменьшая риск возможных осложнений </w:t>
      </w:r>
    </w:p>
    <w:p w:rsidR="00F15F71" w:rsidRDefault="00F974CD">
      <w:pPr>
        <w:numPr>
          <w:ilvl w:val="0"/>
          <w:numId w:val="21"/>
        </w:numPr>
        <w:spacing w:after="153" w:line="270" w:lineRule="auto"/>
        <w:ind w:right="846" w:hanging="425"/>
      </w:pPr>
      <w:r>
        <w:rPr>
          <w:b/>
        </w:rPr>
        <w:t xml:space="preserve">Рекомендуется отказ от курения беременным женщинам с БА </w:t>
      </w:r>
      <w:r>
        <w:t>[331]</w:t>
      </w:r>
      <w:r>
        <w:rPr>
          <w:b/>
        </w:rPr>
        <w:t>.</w:t>
      </w:r>
      <w:r>
        <w:rPr>
          <w:b/>
          <w:i/>
        </w:rPr>
        <w:t xml:space="preserve">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>Уровень убедительности реком</w:t>
      </w:r>
      <w:r>
        <w:rPr>
          <w:b/>
        </w:rPr>
        <w:t xml:space="preserve">ендаций –С (уровень достоверности доказательств– 5) </w:t>
      </w:r>
    </w:p>
    <w:p w:rsidR="00F15F71" w:rsidRDefault="00F974CD">
      <w:pPr>
        <w:spacing w:after="221" w:line="387" w:lineRule="auto"/>
        <w:ind w:left="-15" w:right="840" w:firstLine="710"/>
      </w:pPr>
      <w:r>
        <w:rPr>
          <w:b/>
        </w:rPr>
        <w:t>Комментарии:</w:t>
      </w:r>
      <w:r>
        <w:t xml:space="preserve"> </w:t>
      </w:r>
      <w:r>
        <w:rPr>
          <w:i/>
        </w:rPr>
        <w:t xml:space="preserve">Важно, чтобы женщины, которые курят, знали, что это опасно как для самой женщины, так и для ее будущего ребенка. </w:t>
      </w:r>
    </w:p>
    <w:p w:rsidR="00F15F71" w:rsidRDefault="00F974CD">
      <w:pPr>
        <w:numPr>
          <w:ilvl w:val="0"/>
          <w:numId w:val="21"/>
        </w:numPr>
        <w:spacing w:line="397" w:lineRule="auto"/>
        <w:ind w:right="846" w:hanging="425"/>
      </w:pPr>
      <w:r>
        <w:rPr>
          <w:b/>
        </w:rPr>
        <w:t>Рекомендуется продолжать базисную терапию на которой ранее был достигнут кон</w:t>
      </w:r>
      <w:r>
        <w:rPr>
          <w:b/>
        </w:rPr>
        <w:t>троль</w:t>
      </w:r>
      <w:r>
        <w:rPr>
          <w:i/>
        </w:rPr>
        <w:t xml:space="preserve"> </w:t>
      </w:r>
      <w:r>
        <w:rPr>
          <w:b/>
        </w:rPr>
        <w:t xml:space="preserve">беременным женщинам с БА для дальнейшего сохранения контроля над БА и снижения риска гипоксии плода и других осложнений течения беременности </w:t>
      </w:r>
      <w:r>
        <w:t>[331,332]</w:t>
      </w:r>
      <w:r>
        <w:rPr>
          <w:b/>
          <w:i/>
        </w:rPr>
        <w:t xml:space="preserve">. </w:t>
      </w:r>
    </w:p>
    <w:p w:rsidR="00F15F71" w:rsidRDefault="00F974CD">
      <w:pPr>
        <w:spacing w:after="395" w:line="270" w:lineRule="auto"/>
        <w:ind w:left="-5" w:right="10"/>
      </w:pPr>
      <w:r>
        <w:rPr>
          <w:b/>
        </w:rPr>
        <w:t xml:space="preserve">Уровень убедительности рекомендаций –С (уровень достоверности доказательств –5) </w:t>
      </w:r>
    </w:p>
    <w:p w:rsidR="00F15F71" w:rsidRDefault="00F974CD">
      <w:pPr>
        <w:numPr>
          <w:ilvl w:val="0"/>
          <w:numId w:val="21"/>
        </w:numPr>
        <w:spacing w:line="379" w:lineRule="auto"/>
        <w:ind w:right="846" w:hanging="425"/>
      </w:pPr>
      <w:r>
        <w:rPr>
          <w:b/>
        </w:rPr>
        <w:t>Рекомендуется на</w:t>
      </w:r>
      <w:r>
        <w:rPr>
          <w:b/>
        </w:rPr>
        <w:t xml:space="preserve">значать ту же терапию беременным женщинам при обострении БА, как и у небеременных, включая КДБА, будесонид** ингаляционно и СГКС с целью быстрого купирования обострения </w:t>
      </w:r>
    </w:p>
    <w:p w:rsidR="00F15F71" w:rsidRDefault="00F974CD">
      <w:pPr>
        <w:spacing w:after="164" w:line="259" w:lineRule="auto"/>
        <w:ind w:left="718" w:right="841"/>
      </w:pPr>
      <w:r>
        <w:t>[328,329,331,332]</w:t>
      </w:r>
      <w:r>
        <w:rPr>
          <w:b/>
        </w:rPr>
        <w:t>.</w:t>
      </w:r>
      <w:r>
        <w:rPr>
          <w:b/>
          <w:i/>
        </w:rPr>
        <w:t xml:space="preserve"> </w:t>
      </w:r>
    </w:p>
    <w:p w:rsidR="00F15F71" w:rsidRDefault="00F974CD">
      <w:pPr>
        <w:spacing w:after="150" w:line="270" w:lineRule="auto"/>
        <w:ind w:left="-5" w:right="10"/>
      </w:pPr>
      <w:r>
        <w:rPr>
          <w:b/>
        </w:rPr>
        <w:t>Уровень убедительности рекомендаций –С (уровень достоверности дока</w:t>
      </w:r>
      <w:r>
        <w:rPr>
          <w:b/>
        </w:rPr>
        <w:t xml:space="preserve">зательств –5) </w:t>
      </w:r>
    </w:p>
    <w:p w:rsidR="00F15F71" w:rsidRDefault="00F974CD">
      <w:pPr>
        <w:spacing w:after="259" w:line="387" w:lineRule="auto"/>
        <w:ind w:left="-15" w:right="840" w:firstLine="710"/>
      </w:pPr>
      <w:r>
        <w:rPr>
          <w:b/>
        </w:rPr>
        <w:t>Комментарии:</w:t>
      </w:r>
      <w:r>
        <w:rPr>
          <w:i/>
        </w:rPr>
        <w:t xml:space="preserve"> Для предотвращения гипоксии плода необходимо как можно быстрее купировать возникающие обострения во время беременности с применением КДБА, будесонида**, кислорода и СГКС (при необходимости) на ранних этапах. </w:t>
      </w:r>
    </w:p>
    <w:p w:rsidR="00F15F71" w:rsidRDefault="00F974CD">
      <w:pPr>
        <w:numPr>
          <w:ilvl w:val="0"/>
          <w:numId w:val="21"/>
        </w:numPr>
        <w:spacing w:after="26" w:line="377" w:lineRule="auto"/>
        <w:ind w:right="846" w:hanging="425"/>
      </w:pPr>
      <w:r>
        <w:rPr>
          <w:b/>
        </w:rPr>
        <w:t xml:space="preserve">Рекомендуется назначать ту же терапию кормящим женщинам при обострении БА, как и у некормящих, включая КДБА, будесонид** ингаляционно и СГКС с целью быстрого купирования обострения </w:t>
      </w:r>
      <w:r>
        <w:t>[328,331]</w:t>
      </w:r>
      <w:r>
        <w:rPr>
          <w:b/>
        </w:rPr>
        <w:t>.</w:t>
      </w:r>
      <w:r>
        <w:rPr>
          <w:b/>
          <w:i/>
        </w:rPr>
        <w:t xml:space="preserve"> </w:t>
      </w:r>
    </w:p>
    <w:p w:rsidR="00F15F71" w:rsidRDefault="00F974CD">
      <w:pPr>
        <w:spacing w:line="387" w:lineRule="auto"/>
        <w:ind w:left="-15" w:right="840" w:firstLine="0"/>
      </w:pPr>
      <w:r>
        <w:rPr>
          <w:b/>
        </w:rPr>
        <w:t>Уровень убедительности рекомендаций –С (уровень достоверности д</w:t>
      </w:r>
      <w:r>
        <w:rPr>
          <w:b/>
        </w:rPr>
        <w:t>оказательств –5) Комментарии:</w:t>
      </w:r>
      <w:r>
        <w:rPr>
          <w:i/>
        </w:rPr>
        <w:t xml:space="preserve"> Для предотвращения гипоксии плода необходимо как можно быстрее купировать возникающие обострения во время беременности с применением </w:t>
      </w:r>
    </w:p>
    <w:p w:rsidR="00F15F71" w:rsidRDefault="00F974CD">
      <w:pPr>
        <w:spacing w:after="115" w:line="259" w:lineRule="auto"/>
        <w:ind w:left="-15" w:right="840" w:firstLine="0"/>
      </w:pPr>
      <w:r>
        <w:rPr>
          <w:i/>
        </w:rPr>
        <w:t xml:space="preserve">КДБА, кислорода и СГКС (при необходимости) на ранних этапах. </w:t>
      </w:r>
    </w:p>
    <w:p w:rsidR="00F15F71" w:rsidRDefault="00F974CD">
      <w:pPr>
        <w:spacing w:after="444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pStyle w:val="Heading1"/>
        <w:spacing w:after="187"/>
        <w:ind w:left="17" w:right="0"/>
        <w:jc w:val="left"/>
      </w:pPr>
      <w:bookmarkStart w:id="32" w:name="_Toc275189"/>
      <w:r>
        <w:t>4. Медицинская реабилитация,</w:t>
      </w:r>
      <w:r>
        <w:t xml:space="preserve"> медицинские показания и противопоказания к </w:t>
      </w:r>
      <w:bookmarkEnd w:id="32"/>
    </w:p>
    <w:p w:rsidR="00F15F71" w:rsidRDefault="00F974CD">
      <w:pPr>
        <w:pStyle w:val="Heading1"/>
        <w:spacing w:after="384"/>
        <w:ind w:right="848"/>
      </w:pPr>
      <w:bookmarkStart w:id="33" w:name="_Toc275190"/>
      <w:r>
        <w:t>применению методов реабилитации</w:t>
      </w:r>
      <w:r>
        <w:rPr>
          <w:b/>
        </w:rPr>
        <w:t xml:space="preserve"> </w:t>
      </w:r>
      <w:bookmarkEnd w:id="33"/>
    </w:p>
    <w:p w:rsidR="00F15F71" w:rsidRDefault="00F974CD">
      <w:pPr>
        <w:spacing w:line="396" w:lineRule="auto"/>
        <w:ind w:left="708" w:right="10" w:hanging="425"/>
      </w:pP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b/>
        </w:rPr>
        <w:t xml:space="preserve">Рекомендуется всем пациентам (законным представителям пациентов) с БА проводить обучение и методы физической реабилитации </w:t>
      </w:r>
      <w:r>
        <w:t>[333]</w:t>
      </w:r>
      <w:r>
        <w:rPr>
          <w:b/>
        </w:rPr>
        <w:t xml:space="preserve">.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>Уровень убедительности рекомендаций -В (уровен</w:t>
      </w:r>
      <w:r>
        <w:rPr>
          <w:b/>
        </w:rPr>
        <w:t xml:space="preserve">ь достоверности доказательств – 3)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 xml:space="preserve">Комментарии: </w:t>
      </w:r>
      <w:r>
        <w:rPr>
          <w:i/>
        </w:rPr>
        <w:t>Программа</w:t>
      </w:r>
      <w:r>
        <w:rPr>
          <w:b/>
        </w:rPr>
        <w:t xml:space="preserve"> </w:t>
      </w:r>
      <w:r>
        <w:rPr>
          <w:i/>
        </w:rPr>
        <w:t>обучения пациентов (законных представителей пациентов) с БА должна включать предоставление информации о заболевании, составление индивидуального плана лечения для пациента, обучение технике управля</w:t>
      </w:r>
      <w:r>
        <w:rPr>
          <w:i/>
        </w:rPr>
        <w:t xml:space="preserve">емого самоведения, в том числе – вместе с психологом. </w:t>
      </w:r>
    </w:p>
    <w:p w:rsidR="00F15F71" w:rsidRDefault="00F974CD">
      <w:pPr>
        <w:spacing w:after="299" w:line="387" w:lineRule="auto"/>
        <w:ind w:left="-15" w:right="840" w:firstLine="710"/>
      </w:pPr>
      <w:r>
        <w:rPr>
          <w:i/>
        </w:rPr>
        <w:t xml:space="preserve">Методы физической реабилитации могут улучшить сердечно-легочную функцию. </w:t>
      </w:r>
      <w:r>
        <w:rPr>
          <w:i/>
        </w:rPr>
        <w:t>В результате проведения тренировки при физической нагрузке увеличивается максимальное потребление кислорода и увеличивается максимальная вентиляция легких. По имеющимся наблюдениям применение тренировки с аэробной нагрузкой, плавание, тренировка инспиратор</w:t>
      </w:r>
      <w:r>
        <w:rPr>
          <w:i/>
        </w:rPr>
        <w:t>ной мускулатуры с пороговой дозированной нагрузкой улучшают течение БА.</w:t>
      </w:r>
      <w:r>
        <w:rPr>
          <w:b/>
        </w:rPr>
        <w:t xml:space="preserve"> </w:t>
      </w:r>
    </w:p>
    <w:p w:rsidR="00F15F71" w:rsidRDefault="00F974CD">
      <w:pPr>
        <w:pStyle w:val="Heading1"/>
        <w:spacing w:after="0" w:line="396" w:lineRule="auto"/>
      </w:pPr>
      <w:bookmarkStart w:id="34" w:name="_Toc275191"/>
      <w:r>
        <w:t>5.</w:t>
      </w:r>
      <w:r>
        <w:rPr>
          <w:b/>
        </w:rPr>
        <w:t xml:space="preserve"> </w:t>
      </w:r>
      <w:r>
        <w:t xml:space="preserve">Профилактика и диспансерное наблюдение, медицинские показания и </w:t>
      </w:r>
      <w:bookmarkEnd w:id="34"/>
    </w:p>
    <w:p w:rsidR="00F15F71" w:rsidRDefault="00F974CD">
      <w:pPr>
        <w:pStyle w:val="Heading1"/>
        <w:spacing w:after="0" w:line="396" w:lineRule="auto"/>
      </w:pPr>
      <w:bookmarkStart w:id="35" w:name="_Toc275192"/>
      <w:r>
        <w:t xml:space="preserve">противопоказания к применению методов профилактики </w:t>
      </w:r>
      <w:bookmarkEnd w:id="35"/>
    </w:p>
    <w:p w:rsidR="00F15F71" w:rsidRDefault="00F974CD">
      <w:pPr>
        <w:pStyle w:val="Heading6"/>
        <w:spacing w:after="113"/>
        <w:ind w:left="10" w:right="142"/>
        <w:jc w:val="center"/>
      </w:pPr>
      <w:r>
        <w:rPr>
          <w:u w:val="none"/>
        </w:rPr>
        <w:t>Первичная профилактика</w:t>
      </w:r>
      <w:r>
        <w:rPr>
          <w:i/>
          <w:u w:val="none"/>
        </w:rPr>
        <w:t xml:space="preserve"> </w:t>
      </w:r>
      <w:r>
        <w:rPr>
          <w:u w:val="none"/>
        </w:rPr>
        <w:t>БА</w:t>
      </w:r>
      <w:r>
        <w:rPr>
          <w:b w:val="0"/>
          <w:i/>
          <w:u w:val="none"/>
        </w:rPr>
        <w:t xml:space="preserve">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В настоящее время не существует методов первичной профилактики БА, способных полностью предотвратить развитие БА у ребенка в течение первых пяти лет жизни. Тем не менее, определенные меры могут снизить риск развития заболевания. К ним относятся: </w:t>
      </w:r>
    </w:p>
    <w:p w:rsidR="00F15F71" w:rsidRDefault="00F974CD">
      <w:pPr>
        <w:numPr>
          <w:ilvl w:val="0"/>
          <w:numId w:val="22"/>
        </w:numPr>
        <w:spacing w:after="171" w:line="259" w:lineRule="auto"/>
        <w:ind w:right="840" w:hanging="348"/>
      </w:pPr>
      <w:r>
        <w:rPr>
          <w:i/>
        </w:rPr>
        <w:t xml:space="preserve">отказ от </w:t>
      </w:r>
      <w:r>
        <w:rPr>
          <w:i/>
        </w:rPr>
        <w:t xml:space="preserve">курения как во время беременности, так и после рождения ребенка;  </w:t>
      </w:r>
    </w:p>
    <w:p w:rsidR="00F15F71" w:rsidRDefault="00F974CD">
      <w:pPr>
        <w:numPr>
          <w:ilvl w:val="0"/>
          <w:numId w:val="22"/>
        </w:numPr>
        <w:spacing w:line="387" w:lineRule="auto"/>
        <w:ind w:right="840" w:hanging="348"/>
      </w:pPr>
      <w:r>
        <w:rPr>
          <w:i/>
        </w:rPr>
        <w:t>своевременное выявление и коррекция недостаточности витамина D у женщин с астмой, которые беременны или планируют беременность, может снизить риск появления бронхиальной обструкции у ребенк</w:t>
      </w:r>
      <w:r>
        <w:rPr>
          <w:i/>
        </w:rPr>
        <w:t xml:space="preserve">а в раннем возрасте; </w:t>
      </w:r>
    </w:p>
    <w:p w:rsidR="00F15F71" w:rsidRDefault="00F974CD">
      <w:pPr>
        <w:numPr>
          <w:ilvl w:val="0"/>
          <w:numId w:val="22"/>
        </w:numPr>
        <w:spacing w:after="0" w:line="399" w:lineRule="auto"/>
        <w:ind w:right="840" w:hanging="348"/>
      </w:pPr>
      <w:r>
        <w:rPr>
          <w:i/>
        </w:rPr>
        <w:t xml:space="preserve">поощрение и пропаганда естественных родов при отсутствии противопоказаний;  минимизация использования антибактериальных препаратов системного применения широкого спектра действия в течение первого года жизни ребенка;  </w:t>
      </w:r>
    </w:p>
    <w:p w:rsidR="00F15F71" w:rsidRDefault="00F974CD">
      <w:pPr>
        <w:spacing w:after="257" w:line="387" w:lineRule="auto"/>
        <w:ind w:left="-15" w:right="840" w:firstLine="566"/>
      </w:pPr>
      <w:r>
        <w:rPr>
          <w:i/>
        </w:rPr>
        <w:t>Грудное вскармл</w:t>
      </w:r>
      <w:r>
        <w:rPr>
          <w:i/>
        </w:rPr>
        <w:t xml:space="preserve">ивание не профилактирует развитие БА у ребенка, но рекомендуется в связи с положительным воздействием на другие аспекты здоровья </w:t>
      </w:r>
      <w:r>
        <w:t>[21]</w:t>
      </w:r>
      <w:r>
        <w:rPr>
          <w:i/>
        </w:rPr>
        <w:t>.</w:t>
      </w:r>
      <w:r>
        <w:rPr>
          <w:b/>
          <w:i/>
          <w:color w:val="00B050"/>
        </w:rPr>
        <w:t xml:space="preserve"> </w:t>
      </w:r>
      <w:r>
        <w:rPr>
          <w:i/>
        </w:rPr>
        <w:t xml:space="preserve">Аллергический ринит (АР) рассматривается как фактор риска развития бронхиальной астмы </w:t>
      </w:r>
      <w:r>
        <w:t>[334–336]</w:t>
      </w:r>
      <w:r>
        <w:rPr>
          <w:i/>
        </w:rPr>
        <w:t>. Единственным методом, по</w:t>
      </w:r>
      <w:r>
        <w:rPr>
          <w:i/>
        </w:rPr>
        <w:t xml:space="preserve">зволяющим предотвратить развитие БА у пациентов с АР является аллерген-специфическая иммунотерапия (АСИТ) </w:t>
      </w:r>
      <w:r>
        <w:t>[337,338]</w:t>
      </w:r>
      <w:r>
        <w:rPr>
          <w:i/>
        </w:rPr>
        <w:t xml:space="preserve">.  </w:t>
      </w:r>
    </w:p>
    <w:p w:rsidR="00F15F71" w:rsidRDefault="00F974CD">
      <w:pPr>
        <w:spacing w:line="401" w:lineRule="auto"/>
        <w:ind w:left="708" w:right="10" w:hanging="425"/>
      </w:pPr>
      <w:r>
        <w:rPr>
          <w:rFonts w:ascii="Segoe UI Symbol" w:eastAsia="Segoe UI Symbol" w:hAnsi="Segoe UI Symbol" w:cs="Segoe UI Symbol"/>
          <w:sz w:val="20"/>
        </w:rPr>
        <w:t>•</w:t>
      </w:r>
      <w:r>
        <w:rPr>
          <w:rFonts w:ascii="Arial" w:eastAsia="Arial" w:hAnsi="Arial" w:cs="Arial"/>
          <w:sz w:val="20"/>
        </w:rPr>
        <w:t xml:space="preserve"> </w:t>
      </w:r>
      <w:r>
        <w:rPr>
          <w:b/>
        </w:rPr>
        <w:t xml:space="preserve">Рекомендуется всем пациентам с аллергическим ринитом рассмотреть целесообразность проведения АСИТ с целью профилактики развития БА </w:t>
      </w:r>
    </w:p>
    <w:p w:rsidR="00F15F71" w:rsidRDefault="00F974CD">
      <w:pPr>
        <w:spacing w:after="162" w:line="259" w:lineRule="auto"/>
        <w:ind w:left="718" w:right="841"/>
      </w:pPr>
      <w:r>
        <w:t>[334–338]</w:t>
      </w:r>
      <w:r>
        <w:rPr>
          <w:b/>
        </w:rPr>
        <w:t xml:space="preserve">. </w:t>
      </w:r>
    </w:p>
    <w:p w:rsidR="00F15F71" w:rsidRDefault="00F974CD">
      <w:pPr>
        <w:spacing w:after="104" w:line="270" w:lineRule="auto"/>
        <w:ind w:left="-5" w:right="10"/>
      </w:pPr>
      <w:r>
        <w:rPr>
          <w:b/>
        </w:rPr>
        <w:t xml:space="preserve">Уровень убедительности рекомендаций –С (уровень достоверности доказательств –3) </w:t>
      </w:r>
    </w:p>
    <w:p w:rsidR="00F15F71" w:rsidRDefault="00F974CD">
      <w:pPr>
        <w:spacing w:after="162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pStyle w:val="Heading6"/>
        <w:spacing w:after="162"/>
        <w:ind w:left="10" w:right="142"/>
        <w:jc w:val="center"/>
      </w:pPr>
      <w:r>
        <w:rPr>
          <w:u w:val="none"/>
        </w:rPr>
        <w:t>Вторичная профилактика</w:t>
      </w:r>
      <w:r>
        <w:rPr>
          <w:i/>
          <w:u w:val="none"/>
        </w:rPr>
        <w:t xml:space="preserve"> </w:t>
      </w:r>
      <w:r>
        <w:rPr>
          <w:u w:val="none"/>
        </w:rPr>
        <w:t>БА</w:t>
      </w:r>
      <w:r>
        <w:rPr>
          <w:b w:val="0"/>
          <w:i/>
          <w:color w:val="FF0000"/>
          <w:sz w:val="18"/>
          <w:u w:val="none"/>
        </w:rPr>
        <w:t xml:space="preserve">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Вторичная профилактика БА – комплекс мероприятий, направленных на устранение выраженных факторов риска, которые при определенных услов</w:t>
      </w:r>
      <w:r>
        <w:rPr>
          <w:i/>
        </w:rPr>
        <w:t xml:space="preserve">иях могут привести к ухудшению контроля и обострению БА.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Стратегии по вторичной профилактике БА путем воздействия на возможные факторы риска, представлена в Приложении Б17. </w:t>
      </w:r>
    </w:p>
    <w:p w:rsidR="00F15F71" w:rsidRDefault="00F974CD">
      <w:pPr>
        <w:spacing w:after="164" w:line="259" w:lineRule="auto"/>
        <w:ind w:left="0" w:right="82" w:firstLine="0"/>
        <w:jc w:val="center"/>
      </w:pPr>
      <w:r>
        <w:rPr>
          <w:b/>
        </w:rPr>
        <w:t xml:space="preserve"> </w:t>
      </w:r>
    </w:p>
    <w:p w:rsidR="00F15F71" w:rsidRDefault="00F974CD">
      <w:pPr>
        <w:pStyle w:val="Heading6"/>
        <w:spacing w:after="162"/>
        <w:ind w:left="10" w:right="139"/>
        <w:jc w:val="center"/>
      </w:pPr>
      <w:r>
        <w:rPr>
          <w:u w:val="none"/>
        </w:rPr>
        <w:t>Третичная профилактика</w:t>
      </w:r>
      <w:r>
        <w:rPr>
          <w:i/>
          <w:u w:val="none"/>
        </w:rPr>
        <w:t xml:space="preserve"> </w:t>
      </w:r>
      <w:r>
        <w:rPr>
          <w:u w:val="none"/>
        </w:rPr>
        <w:t>БА</w:t>
      </w:r>
      <w:r>
        <w:rPr>
          <w:b w:val="0"/>
          <w:i/>
          <w:color w:val="FF0000"/>
          <w:sz w:val="18"/>
          <w:u w:val="none"/>
        </w:rPr>
        <w:t xml:space="preserve"> </w:t>
      </w:r>
    </w:p>
    <w:p w:rsidR="00F15F71" w:rsidRDefault="00F974CD">
      <w:pPr>
        <w:spacing w:after="30"/>
        <w:ind w:left="0" w:right="841" w:firstLine="708"/>
      </w:pPr>
      <w:r>
        <w:t>Третичная профилактика БА – комплекс мероприятий, на</w:t>
      </w:r>
      <w:r>
        <w:t>правленных, на предотвращение развития осложнений. Рекомендуется в качестве мероприятий третичной профилактики БА уменьшение влияния провоцирующих факторов (аллергенов, в т.ч. профессиональных), табачного дыма и других триггеров.</w:t>
      </w:r>
      <w:r>
        <w:rPr>
          <w:i/>
        </w:rPr>
        <w:t xml:space="preserve"> </w:t>
      </w:r>
    </w:p>
    <w:p w:rsidR="00F15F71" w:rsidRDefault="00F974CD">
      <w:pPr>
        <w:spacing w:after="59"/>
        <w:ind w:left="0" w:right="841" w:firstLine="708"/>
      </w:pPr>
      <w:r>
        <w:t xml:space="preserve">Острые респираторные инфекции, в частности, грипп и пневмококковая инфекция могут приводить к обострениям БА, как в детском возрасте, так и у взрослых. Кроме этого, пациенты с БА, особенно дети и пожилые, имеют высокий риск пневмококковых заболеваний. </w:t>
      </w:r>
    </w:p>
    <w:p w:rsidR="00F15F71" w:rsidRDefault="00F974CD">
      <w:pPr>
        <w:numPr>
          <w:ilvl w:val="0"/>
          <w:numId w:val="23"/>
        </w:numPr>
        <w:spacing w:after="69" w:line="259" w:lineRule="auto"/>
        <w:ind w:right="839" w:hanging="348"/>
      </w:pPr>
      <w:r>
        <w:rPr>
          <w:b/>
        </w:rPr>
        <w:t xml:space="preserve">Рекомендуется проводить вакцинацию пациентам с БА в соответствии с </w:t>
      </w:r>
    </w:p>
    <w:p w:rsidR="00F15F71" w:rsidRDefault="00F974CD">
      <w:pPr>
        <w:ind w:left="730" w:right="841"/>
      </w:pPr>
      <w:r>
        <w:rPr>
          <w:b/>
        </w:rPr>
        <w:t xml:space="preserve">национальным календарем профилактических прививок с целью предотвращения/уменьшения вероятности тяжелого (осложненного) течения инфекций </w:t>
      </w:r>
      <w:r>
        <w:t>[21]</w:t>
      </w:r>
      <w:r>
        <w:rPr>
          <w:b/>
        </w:rPr>
        <w:t>, [</w:t>
      </w:r>
      <w:r>
        <w:t>Приказ МЗ РФ от 06.12.2021 №1122н «Об утверж</w:t>
      </w:r>
      <w:r>
        <w:t>дении национального календаря профилактических прививок и календаря профилактических прививок по эпидемическим показаниям», Методические указания МУ 3.3.1.1095—02. Медицинские противопоказания к проведению профилактических прививок препаратами национальног</w:t>
      </w:r>
      <w:r>
        <w:t xml:space="preserve">о календаря прививок]. </w:t>
      </w:r>
    </w:p>
    <w:p w:rsidR="00F15F71" w:rsidRDefault="00F974CD">
      <w:pPr>
        <w:spacing w:after="152" w:line="270" w:lineRule="auto"/>
        <w:ind w:left="-5" w:right="10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F15F71" w:rsidRDefault="00F974CD">
      <w:pPr>
        <w:spacing w:after="39" w:line="387" w:lineRule="auto"/>
        <w:ind w:left="-15" w:right="840" w:firstLine="710"/>
      </w:pPr>
      <w:r>
        <w:rPr>
          <w:b/>
        </w:rPr>
        <w:t>Комментарии:</w:t>
      </w:r>
      <w:r>
        <w:t xml:space="preserve"> </w:t>
      </w:r>
      <w:r>
        <w:rPr>
          <w:i/>
        </w:rPr>
        <w:t>данные исследований показали отсутствие связи вакцинации и последующего развития астмы или ее обострений. Астма не является противопоказан</w:t>
      </w:r>
      <w:r>
        <w:rPr>
          <w:i/>
        </w:rPr>
        <w:t xml:space="preserve">ием к проведению профилактических прививок </w:t>
      </w:r>
      <w:r>
        <w:t>[339]</w:t>
      </w:r>
      <w:r>
        <w:rPr>
          <w:i/>
        </w:rPr>
        <w:t xml:space="preserve">.  </w:t>
      </w:r>
    </w:p>
    <w:p w:rsidR="00F15F71" w:rsidRDefault="00F974CD">
      <w:pPr>
        <w:numPr>
          <w:ilvl w:val="0"/>
          <w:numId w:val="23"/>
        </w:numPr>
        <w:spacing w:line="394" w:lineRule="auto"/>
        <w:ind w:right="839" w:hanging="348"/>
      </w:pPr>
      <w:r>
        <w:rPr>
          <w:b/>
        </w:rPr>
        <w:t>Рекомендуется проводить противогриппозную вакцинацию ежегодно</w:t>
      </w:r>
      <w:r>
        <w:t xml:space="preserve"> </w:t>
      </w:r>
      <w:r>
        <w:rPr>
          <w:b/>
        </w:rPr>
        <w:t xml:space="preserve">пациентам с БА с целью профилактики обострений </w:t>
      </w:r>
      <w:r>
        <w:t xml:space="preserve">[21,340].  </w:t>
      </w:r>
    </w:p>
    <w:p w:rsidR="00F15F71" w:rsidRDefault="00F974CD">
      <w:pPr>
        <w:spacing w:after="101" w:line="270" w:lineRule="auto"/>
        <w:ind w:left="-5" w:right="10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F15F71" w:rsidRDefault="00F974CD">
      <w:pPr>
        <w:spacing w:after="188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numPr>
          <w:ilvl w:val="0"/>
          <w:numId w:val="23"/>
        </w:numPr>
        <w:spacing w:line="393" w:lineRule="auto"/>
        <w:ind w:right="839" w:hanging="348"/>
      </w:pPr>
      <w:r>
        <w:rPr>
          <w:b/>
        </w:rPr>
        <w:t xml:space="preserve">Рекомендуется проводить вакцинацию против пневмококковой инфекции пациентам с БА с целью уменьшения риска развития заболеваний, вызванных </w:t>
      </w:r>
      <w:r>
        <w:rPr>
          <w:b/>
          <w:i/>
        </w:rPr>
        <w:t>S.pneumoniae</w:t>
      </w:r>
      <w:r>
        <w:rPr>
          <w:b/>
        </w:rPr>
        <w:t xml:space="preserve"> и профилактики обострений  </w:t>
      </w:r>
      <w:r>
        <w:t xml:space="preserve">[340–342]. </w:t>
      </w:r>
    </w:p>
    <w:p w:rsidR="00F15F71" w:rsidRDefault="00F974CD">
      <w:pPr>
        <w:spacing w:after="151" w:line="270" w:lineRule="auto"/>
        <w:ind w:left="-5" w:right="10"/>
      </w:pPr>
      <w:r>
        <w:rPr>
          <w:b/>
        </w:rPr>
        <w:t>Уровень убедительности рекомендаций С (уровень достоверности доказ</w:t>
      </w:r>
      <w:r>
        <w:rPr>
          <w:b/>
        </w:rPr>
        <w:t xml:space="preserve">ательств – 5)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>Комментарии</w:t>
      </w:r>
      <w:r>
        <w:t xml:space="preserve">: </w:t>
      </w:r>
      <w:r>
        <w:rPr>
          <w:i/>
        </w:rPr>
        <w:t>Вакцинация против пневмококковой инфекции (ПИ) проводится круглогодично по представленным ниже схемам, возможно совмещение с вакцинацией против гриппа. В случае обострения БА вакцинацию против ПИ проводят через 2–4 недели. После</w:t>
      </w:r>
      <w:r>
        <w:rPr>
          <w:i/>
        </w:rPr>
        <w:t xml:space="preserve"> купирования обострения, на фоне базисной терапии БА. Пациентам с БА, не привитым ранее против ПИ, рекомендуется начинать вакцинацию с вакцины для профилактики пневмококковых инфекций** (конъюгированной)/ Вакцины для профилактики пневмококковой инфекции по</w:t>
      </w:r>
      <w:r>
        <w:rPr>
          <w:i/>
        </w:rPr>
        <w:t xml:space="preserve">лисахаридной, конъюгированной, адсорбированной** (ПКВ) </w:t>
      </w:r>
      <w:r>
        <w:t>[340,342–344]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Вакцину для профилактики пневмококковых инфекций** (23-валентную вакцину) вводят в качестве бустерной дозы для расширения охвата серотипов с интервалом 12 месяцев (минимальный интервал </w:t>
      </w:r>
      <w:r>
        <w:rPr>
          <w:i/>
        </w:rPr>
        <w:t>- 8 недель) после ПКВ. Таким образом, не привитым ранее против ПИ пациентам с БА, в любом возрасте сначала вводится ПКВ, через 12 месяцев после законченной с возрастом схемы иммунизации ПКВ  (минимальный интервал – 8 недель) – вакцина для профилактики пнев</w:t>
      </w:r>
      <w:r>
        <w:rPr>
          <w:i/>
        </w:rPr>
        <w:t xml:space="preserve">мококковых инфекций** (23валентная вакцина), затем каждые 5 лет – вакцина для профилактики пневмококковых инфекций** (23-валентная вакцина).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Пациентам с БА, получившим ранее вакцину для профилактики пневмококковых инфекций** (23-</w:t>
      </w:r>
      <w:r>
        <w:rPr>
          <w:i/>
        </w:rPr>
        <w:t xml:space="preserve">валентную вакцину), не ранее чем через 1 год после этого рекомендуется однократное введение вакцины для профилактики пневмококковых инфекций** (конъюгированной) </w:t>
      </w:r>
      <w:r>
        <w:t>[342–344]</w:t>
      </w:r>
      <w:r>
        <w:rPr>
          <w:i/>
        </w:rPr>
        <w:t>.</w:t>
      </w:r>
      <w:r>
        <w:t xml:space="preserve"> </w:t>
      </w:r>
    </w:p>
    <w:p w:rsidR="00F15F71" w:rsidRDefault="00F974CD">
      <w:pPr>
        <w:spacing w:after="36" w:line="387" w:lineRule="auto"/>
        <w:ind w:left="-15" w:right="840" w:firstLine="710"/>
      </w:pPr>
      <w:r>
        <w:rPr>
          <w:i/>
        </w:rPr>
        <w:t>Интервал между вакцинациями вакциной для профилактики пневмококковых инфекций** (23</w:t>
      </w:r>
      <w:r>
        <w:rPr>
          <w:i/>
        </w:rPr>
        <w:t xml:space="preserve">-валентной вакциной) должен составлять не менее 5 лет. </w:t>
      </w:r>
    </w:p>
    <w:p w:rsidR="00F15F71" w:rsidRDefault="00F974CD">
      <w:pPr>
        <w:numPr>
          <w:ilvl w:val="0"/>
          <w:numId w:val="24"/>
        </w:numPr>
        <w:spacing w:after="27" w:line="375" w:lineRule="auto"/>
        <w:ind w:right="849" w:hanging="348"/>
      </w:pPr>
      <w:r>
        <w:rPr>
          <w:b/>
        </w:rPr>
        <w:t xml:space="preserve">Рекомендуется рассмотреть проведение дополнительных ревакцинаций против коклюша детям от 4 лет и подросткам с БА с целью минимизации риска тяжелой коклюшной инфекции </w:t>
      </w:r>
      <w:r>
        <w:t>[345–348]</w:t>
      </w:r>
      <w:r>
        <w:rPr>
          <w:b/>
        </w:rPr>
        <w:t>.</w:t>
      </w:r>
      <w:r>
        <w:t xml:space="preserve"> </w:t>
      </w:r>
    </w:p>
    <w:p w:rsidR="00F15F71" w:rsidRDefault="00F974CD">
      <w:pPr>
        <w:spacing w:after="151" w:line="270" w:lineRule="auto"/>
        <w:ind w:left="-5" w:right="10"/>
      </w:pPr>
      <w:r>
        <w:rPr>
          <w:b/>
        </w:rPr>
        <w:t>Уровень убедительности</w:t>
      </w:r>
      <w:r>
        <w:rPr>
          <w:b/>
        </w:rPr>
        <w:t xml:space="preserve"> рекомендаций С (уровень достоверности доказательств – 5)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</w:rPr>
        <w:t>Комментарии:</w:t>
      </w:r>
      <w:r>
        <w:t xml:space="preserve"> </w:t>
      </w:r>
      <w:r>
        <w:rPr>
          <w:i/>
        </w:rPr>
        <w:t>БА является фактором риска заболевания коклюшем. Повышение восприимчивости к инфекции связано со структурными изменениями дыхательных путей, ослаблением их защитного барьера и снижение</w:t>
      </w:r>
      <w:r>
        <w:rPr>
          <w:i/>
        </w:rPr>
        <w:t>м противоинфекционной защиты за счет аллергического воспаления в патогенезе БА (риск примерно в 2 раза выше, чем у здоровых). Вместе с тем заражение коклюшем приводит к ухудшению течения БА, при этом удлиняются и учащаются приступы затруднённого дыхания, п</w:t>
      </w:r>
      <w:r>
        <w:rPr>
          <w:i/>
        </w:rPr>
        <w:t>овышается частота использования препаратов неотложной терапии</w:t>
      </w:r>
      <w:r>
        <w:t xml:space="preserve">.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>С целью ревакцинации против коклюша у детей от 4-х лет, подростков и взрослых используется комбинированная вакцина, содержащая бесклеточный коклюшный компонент и дифтерийный, столбнячный анато</w:t>
      </w:r>
      <w:r>
        <w:rPr>
          <w:i/>
        </w:rPr>
        <w:t xml:space="preserve">ксины (с уменьшенным содержанием антигена). Вакцинация проводится в сроки, предусмотренные национальным календарем профилактических прививок для ревакцинации против дифтерии и столбняка. </w:t>
      </w:r>
    </w:p>
    <w:p w:rsidR="00F15F71" w:rsidRDefault="00F974CD">
      <w:pPr>
        <w:spacing w:after="188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numPr>
          <w:ilvl w:val="0"/>
          <w:numId w:val="24"/>
        </w:numPr>
        <w:spacing w:line="384" w:lineRule="auto"/>
        <w:ind w:right="849" w:hanging="348"/>
      </w:pPr>
      <w:r>
        <w:rPr>
          <w:b/>
        </w:rPr>
        <w:t>Рекомендуется проведение вакцинации против коронавирусной инфекции</w:t>
      </w:r>
      <w:r>
        <w:rPr>
          <w:b/>
        </w:rPr>
        <w:t xml:space="preserve"> нового типа (COVID-19) пациентам с БА с целью профилактики данной инфекции, предупреждения тяжелого течения и осложнений, согласно инструкциям к препаратам </w:t>
      </w:r>
      <w:r>
        <w:t>[21].</w:t>
      </w:r>
      <w:r>
        <w:rPr>
          <w:b/>
        </w:rPr>
        <w:t xml:space="preserve">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F15F71" w:rsidRDefault="00F974CD">
      <w:pPr>
        <w:tabs>
          <w:tab w:val="center" w:pos="1507"/>
          <w:tab w:val="center" w:pos="3438"/>
          <w:tab w:val="center" w:pos="4696"/>
          <w:tab w:val="center" w:pos="6462"/>
          <w:tab w:val="center" w:pos="8727"/>
        </w:tabs>
        <w:spacing w:after="16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>Комментари</w:t>
      </w:r>
      <w:r>
        <w:rPr>
          <w:b/>
        </w:rPr>
        <w:t>и:</w:t>
      </w:r>
      <w:r>
        <w:t xml:space="preserve"> </w:t>
      </w:r>
      <w:r>
        <w:tab/>
        <w:t xml:space="preserve">проводится </w:t>
      </w:r>
      <w:r>
        <w:tab/>
        <w:t xml:space="preserve">по </w:t>
      </w:r>
      <w:r>
        <w:tab/>
        <w:t xml:space="preserve">эпидемиологическим </w:t>
      </w:r>
      <w:r>
        <w:tab/>
        <w:t xml:space="preserve">показаниям. </w:t>
      </w:r>
    </w:p>
    <w:p w:rsidR="00F15F71" w:rsidRDefault="00F974CD">
      <w:pPr>
        <w:spacing w:after="112" w:line="259" w:lineRule="auto"/>
        <w:ind w:left="10" w:right="841"/>
      </w:pPr>
      <w:r>
        <w:t xml:space="preserve">Противопоказания - согласно Инструкциям к соответствующим препаратам. </w:t>
      </w:r>
    </w:p>
    <w:p w:rsidR="00F15F71" w:rsidRDefault="00F974CD">
      <w:pPr>
        <w:spacing w:after="165" w:line="259" w:lineRule="auto"/>
        <w:ind w:left="0" w:right="82" w:firstLine="0"/>
        <w:jc w:val="center"/>
      </w:pPr>
      <w:r>
        <w:rPr>
          <w:b/>
        </w:rPr>
        <w:t xml:space="preserve"> </w:t>
      </w:r>
    </w:p>
    <w:p w:rsidR="00F15F71" w:rsidRDefault="00F974CD">
      <w:pPr>
        <w:pStyle w:val="Heading6"/>
        <w:spacing w:after="162"/>
        <w:ind w:left="10" w:right="143"/>
        <w:jc w:val="center"/>
      </w:pPr>
      <w:r>
        <w:rPr>
          <w:u w:val="none"/>
        </w:rPr>
        <w:t xml:space="preserve">Диспансерное наблюдение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Диспансерное наблюдение </w:t>
      </w:r>
      <w:r>
        <w:rPr>
          <w:i/>
        </w:rPr>
        <w:t>направлено на повышение приверженности назначенной терапии для предотвращения обострений, прогрессии патологического процесса и развития осложнений, для коррекции факторов риска развития бронхиальной астмы. Диспансерное наблюдение осуществляет врач-специал</w:t>
      </w:r>
      <w:r>
        <w:rPr>
          <w:i/>
        </w:rPr>
        <w:t>ист (врач-аллерголог-иммунолог и/или врач-пульмонолог) и/или врачом общей практики (семейным врачом) или врачомпедиатром и/или врачом-терапевтом, в том числе с целью динамического контроля, назначения и коррекции терапии. При необходимости пациент направля</w:t>
      </w:r>
      <w:r>
        <w:rPr>
          <w:i/>
        </w:rPr>
        <w:t>ется на диспансерный осмотр к врачу-оториноларингологу (при наличии сопутствующих заболеваний, например, аллергического ринита или полипозного риносинусита). Минимальная периодичность диспансерных приемов (консультаций) врачомаллергологом-иммунологом или в</w:t>
      </w:r>
      <w:r>
        <w:rPr>
          <w:i/>
        </w:rPr>
        <w:t xml:space="preserve">рачом-пульмонологом и/или врачом общей практики (семейным врачом) или врачом-педиатром и/или врачом-терапевтом не реже 1 р в год для взрослых и не реже 2 раз в год для детей, по показаниям – чаще (например, 3-6 раз в год). </w:t>
      </w:r>
    </w:p>
    <w:p w:rsidR="00F15F71" w:rsidRDefault="00F974CD">
      <w:pPr>
        <w:spacing w:after="164" w:line="259" w:lineRule="auto"/>
        <w:ind w:left="708" w:right="840" w:firstLine="0"/>
      </w:pPr>
      <w:r>
        <w:rPr>
          <w:i/>
        </w:rPr>
        <w:t xml:space="preserve">Следует регулярно оценивать: </w:t>
      </w:r>
    </w:p>
    <w:p w:rsidR="00F15F71" w:rsidRDefault="00F974CD">
      <w:pPr>
        <w:numPr>
          <w:ilvl w:val="0"/>
          <w:numId w:val="25"/>
        </w:numPr>
        <w:spacing w:after="169" w:line="259" w:lineRule="auto"/>
        <w:ind w:right="840" w:hanging="348"/>
      </w:pPr>
      <w:r>
        <w:rPr>
          <w:i/>
        </w:rPr>
        <w:t>об</w:t>
      </w:r>
      <w:r>
        <w:rPr>
          <w:i/>
        </w:rPr>
        <w:t xml:space="preserve">щее состояние (включая параметры роста и массы тела);  </w:t>
      </w:r>
    </w:p>
    <w:p w:rsidR="00F15F71" w:rsidRDefault="00F974CD">
      <w:pPr>
        <w:numPr>
          <w:ilvl w:val="0"/>
          <w:numId w:val="25"/>
        </w:numPr>
        <w:spacing w:line="387" w:lineRule="auto"/>
        <w:ind w:right="840" w:hanging="348"/>
      </w:pPr>
      <w:r>
        <w:rPr>
          <w:i/>
        </w:rPr>
        <w:t xml:space="preserve">потребность в проведении исследований, подтверждающих астму в случаях сомнений в диагнозе; </w:t>
      </w:r>
    </w:p>
    <w:p w:rsidR="00F15F71" w:rsidRDefault="00F974CD">
      <w:pPr>
        <w:numPr>
          <w:ilvl w:val="0"/>
          <w:numId w:val="25"/>
        </w:numPr>
        <w:spacing w:line="387" w:lineRule="auto"/>
        <w:ind w:right="840" w:hanging="348"/>
      </w:pPr>
      <w:r>
        <w:rPr>
          <w:i/>
        </w:rPr>
        <w:t xml:space="preserve">уровень </w:t>
      </w:r>
      <w:r>
        <w:rPr>
          <w:i/>
        </w:rPr>
        <w:tab/>
        <w:t xml:space="preserve">контроля </w:t>
      </w:r>
      <w:r>
        <w:rPr>
          <w:i/>
        </w:rPr>
        <w:tab/>
        <w:t xml:space="preserve">над </w:t>
      </w:r>
      <w:r>
        <w:rPr>
          <w:i/>
        </w:rPr>
        <w:tab/>
        <w:t xml:space="preserve">симптомами </w:t>
      </w:r>
      <w:r>
        <w:rPr>
          <w:i/>
        </w:rPr>
        <w:tab/>
        <w:t xml:space="preserve">астмы, </w:t>
      </w:r>
      <w:r>
        <w:rPr>
          <w:i/>
        </w:rPr>
        <w:tab/>
        <w:t xml:space="preserve">а </w:t>
      </w:r>
      <w:r>
        <w:rPr>
          <w:i/>
        </w:rPr>
        <w:tab/>
        <w:t xml:space="preserve">также </w:t>
      </w:r>
      <w:r>
        <w:rPr>
          <w:i/>
        </w:rPr>
        <w:tab/>
        <w:t xml:space="preserve">коморбидными заболеваниями;  </w:t>
      </w:r>
    </w:p>
    <w:p w:rsidR="00F15F71" w:rsidRDefault="00F974CD">
      <w:pPr>
        <w:numPr>
          <w:ilvl w:val="0"/>
          <w:numId w:val="25"/>
        </w:numPr>
        <w:spacing w:after="171" w:line="259" w:lineRule="auto"/>
        <w:ind w:right="840" w:hanging="348"/>
      </w:pPr>
      <w:r>
        <w:rPr>
          <w:i/>
        </w:rPr>
        <w:t xml:space="preserve">технику ингаляции;  </w:t>
      </w:r>
    </w:p>
    <w:p w:rsidR="00F15F71" w:rsidRDefault="00F974CD">
      <w:pPr>
        <w:numPr>
          <w:ilvl w:val="0"/>
          <w:numId w:val="25"/>
        </w:numPr>
        <w:spacing w:after="168" w:line="259" w:lineRule="auto"/>
        <w:ind w:right="840" w:hanging="348"/>
      </w:pPr>
      <w:r>
        <w:rPr>
          <w:i/>
        </w:rPr>
        <w:t>при</w:t>
      </w:r>
      <w:r>
        <w:rPr>
          <w:i/>
        </w:rPr>
        <w:t xml:space="preserve">верженность лечению и контроль возможных побочных эффектов терапии; </w:t>
      </w:r>
    </w:p>
    <w:p w:rsidR="00F15F71" w:rsidRDefault="00F974CD">
      <w:pPr>
        <w:numPr>
          <w:ilvl w:val="0"/>
          <w:numId w:val="25"/>
        </w:numPr>
        <w:spacing w:after="171" w:line="259" w:lineRule="auto"/>
        <w:ind w:right="840" w:hanging="348"/>
      </w:pPr>
      <w:r>
        <w:rPr>
          <w:i/>
        </w:rPr>
        <w:t xml:space="preserve">наличие/присоединение коморбидных состояний; </w:t>
      </w:r>
    </w:p>
    <w:p w:rsidR="00F15F71" w:rsidRDefault="00F974CD">
      <w:pPr>
        <w:numPr>
          <w:ilvl w:val="0"/>
          <w:numId w:val="25"/>
        </w:numPr>
        <w:spacing w:line="387" w:lineRule="auto"/>
        <w:ind w:right="840" w:hanging="348"/>
      </w:pPr>
      <w:r>
        <w:rPr>
          <w:i/>
        </w:rPr>
        <w:t xml:space="preserve">функцию внешнего дыхания (спирометрию) (при возможности выполнения маневра); </w:t>
      </w:r>
    </w:p>
    <w:p w:rsidR="00F15F71" w:rsidRDefault="00F974CD">
      <w:pPr>
        <w:numPr>
          <w:ilvl w:val="0"/>
          <w:numId w:val="25"/>
        </w:numPr>
        <w:spacing w:line="387" w:lineRule="auto"/>
        <w:ind w:right="840" w:hanging="348"/>
      </w:pPr>
      <w:r>
        <w:rPr>
          <w:i/>
        </w:rPr>
        <w:t xml:space="preserve">контроль спектра сенсибилизации (Накожные </w:t>
      </w:r>
      <w:r>
        <w:rPr>
          <w:i/>
        </w:rPr>
        <w:t xml:space="preserve">исследования реакции на аллергены и/или Исследование уровня антител к антигенам растительного, животного и химического происхождения в крови) (при наличии показаний) </w:t>
      </w:r>
    </w:p>
    <w:p w:rsidR="00F15F71" w:rsidRDefault="00F974CD">
      <w:pPr>
        <w:numPr>
          <w:ilvl w:val="0"/>
          <w:numId w:val="25"/>
        </w:numPr>
        <w:spacing w:line="387" w:lineRule="auto"/>
        <w:ind w:right="840" w:hanging="348"/>
      </w:pPr>
      <w:r>
        <w:rPr>
          <w:i/>
        </w:rPr>
        <w:t>наличие воспаления в дыхательных путях (уровень выдыхаемого оксида азота – FeNO)- при воз</w:t>
      </w:r>
      <w:r>
        <w:rPr>
          <w:i/>
        </w:rPr>
        <w:t xml:space="preserve">можности </w:t>
      </w:r>
    </w:p>
    <w:p w:rsidR="00F15F71" w:rsidRDefault="00F974CD">
      <w:pPr>
        <w:numPr>
          <w:ilvl w:val="0"/>
          <w:numId w:val="25"/>
        </w:numPr>
        <w:spacing w:after="171" w:line="259" w:lineRule="auto"/>
        <w:ind w:right="840" w:hanging="348"/>
      </w:pPr>
      <w:r>
        <w:rPr>
          <w:i/>
        </w:rPr>
        <w:t xml:space="preserve">уровень информированности пациента о заболевании </w:t>
      </w:r>
    </w:p>
    <w:p w:rsidR="00F15F71" w:rsidRDefault="00F974CD">
      <w:pPr>
        <w:numPr>
          <w:ilvl w:val="0"/>
          <w:numId w:val="25"/>
        </w:numPr>
        <w:spacing w:line="387" w:lineRule="auto"/>
        <w:ind w:right="840" w:hanging="348"/>
      </w:pPr>
      <w:r>
        <w:rPr>
          <w:i/>
        </w:rPr>
        <w:t xml:space="preserve">наличие индивидуального плана ведения у пациента (и его коррекция при необходимости) и дневника пикфлоуметрии </w:t>
      </w:r>
    </w:p>
    <w:p w:rsidR="00F15F71" w:rsidRDefault="00F974CD">
      <w:pPr>
        <w:numPr>
          <w:ilvl w:val="0"/>
          <w:numId w:val="25"/>
        </w:numPr>
        <w:spacing w:line="387" w:lineRule="auto"/>
        <w:ind w:right="840" w:hanging="348"/>
      </w:pPr>
      <w:r>
        <w:rPr>
          <w:i/>
        </w:rPr>
        <w:t>статус пациента для проведения своевременной психологической поддержки (с участием сп</w:t>
      </w:r>
      <w:r>
        <w:rPr>
          <w:i/>
        </w:rPr>
        <w:t xml:space="preserve">ециалиста) 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По результатам при необходимости осуществляют коррекцию проводимой терапии и индивидуального плана ведения. </w:t>
      </w:r>
    </w:p>
    <w:p w:rsidR="00F15F71" w:rsidRDefault="00F974CD">
      <w:pPr>
        <w:spacing w:after="113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pStyle w:val="Heading1"/>
        <w:spacing w:after="95"/>
        <w:ind w:right="847"/>
      </w:pPr>
      <w:bookmarkStart w:id="36" w:name="_Toc275193"/>
      <w:r>
        <w:t>6.</w:t>
      </w:r>
      <w:r>
        <w:rPr>
          <w:b/>
        </w:rPr>
        <w:t xml:space="preserve"> </w:t>
      </w:r>
      <w:r>
        <w:t xml:space="preserve">Организация оказания медицинской помощи </w:t>
      </w:r>
      <w:bookmarkEnd w:id="36"/>
    </w:p>
    <w:p w:rsidR="00F15F71" w:rsidRDefault="00F974CD">
      <w:pPr>
        <w:spacing w:after="32"/>
        <w:ind w:left="0" w:right="841" w:firstLine="708"/>
      </w:pPr>
      <w:r>
        <w:t xml:space="preserve">Пациентам с БА при необходимости может быть оказана медицинская помощь любого вида, </w:t>
      </w:r>
      <w:r>
        <w:t xml:space="preserve">условия, формы, предусмотренная законодательством Российской Федерации. </w:t>
      </w:r>
    </w:p>
    <w:p w:rsidR="00F15F71" w:rsidRDefault="00F974CD">
      <w:pPr>
        <w:spacing w:after="30"/>
        <w:ind w:left="0" w:right="841" w:firstLine="708"/>
      </w:pPr>
      <w:r>
        <w:t>Диагностику и ведение пациентов с БА осуществляют: врач-аллерголог-иммунолог и/или врач-пульмонолог, также – врач-терапевт или врач-</w:t>
      </w:r>
      <w:r>
        <w:t xml:space="preserve">педиатр или врач общей практики (семейный врач), при необходимости осуществляется консультация/проводится лечение врачами других специальностей. </w:t>
      </w:r>
    </w:p>
    <w:p w:rsidR="00F15F71" w:rsidRDefault="00F974CD">
      <w:pPr>
        <w:ind w:left="0" w:right="841" w:firstLine="708"/>
      </w:pPr>
      <w:r>
        <w:t>В рамках оказания первичной врачебной медико-санитарной помощи врачитерапевты участковые, врачи-педиатры участ</w:t>
      </w:r>
      <w:r>
        <w:t>ковые, врачи общей практики (семейные врачи) при выявлении у пациентов симптомов или признаков бронхиальной астмы направляют пациента в медицинскую организацию пульмонологического или аллергологического профиля или в кабинет врача пульмонолога и/или аллерг</w:t>
      </w:r>
      <w:r>
        <w:t>ологаиммунолога для оказания ему первичной специализированной медико-санитарной помощи, а также осуществляют оказание медицинской помощи в соответствии с рекомендациями врача пульмонолога или врача аллерголога-иммунолога. При невозможности оказания медицин</w:t>
      </w:r>
      <w:r>
        <w:t>ской помощи в рамках первичной специализированной медико-санитарной помощи и наличии медицинских показаний пациенту может быть оказана скорая, в том числе, скорая специализированная медицинская помощь, пациент может быть направлен в медицинскую организацию</w:t>
      </w:r>
      <w:r>
        <w:t xml:space="preserve">, оказывающую специализированную медицинскую помощь. Специализированная, в том числе высокотехнологичная, медицинская помощь оказывается врачами-пульмонологами и/или врачамиаллергологами-иммунологами в условиях круглосуточного или дневного стационара. </w:t>
      </w:r>
    </w:p>
    <w:p w:rsidR="00F15F71" w:rsidRDefault="00F974CD">
      <w:pPr>
        <w:spacing w:after="35"/>
        <w:ind w:left="0" w:right="841" w:firstLine="708"/>
      </w:pPr>
      <w:r>
        <w:t>При</w:t>
      </w:r>
      <w:r>
        <w:t xml:space="preserve"> осуществлении наблюдения пациентов с БА в амбулаторных условиях следует придерживаться следующей кратности осмотров: в плановом порядке – спустя 1-3 мес от начала лечения и в дальнейшем каждые 3-12 мес в зависимости от ситуации. Во время планового осмотра</w:t>
      </w:r>
      <w:r>
        <w:t xml:space="preserve"> проводится оценка контроля над симптомами БА, факторов риска развития обострения заболевания. Уменьшение выраженности симптомов и улучшение функции легких начинается уже через несколько дней от начала лечения. Полный эффект может быть достигнут только чер</w:t>
      </w:r>
      <w:r>
        <w:t xml:space="preserve">ез 3-4 месяца [349].  </w:t>
      </w:r>
    </w:p>
    <w:p w:rsidR="00F15F71" w:rsidRDefault="00F974CD">
      <w:pPr>
        <w:spacing w:after="25"/>
        <w:ind w:left="0" w:right="841" w:firstLine="708"/>
      </w:pPr>
      <w:r>
        <w:t xml:space="preserve">В случае тяжелого течения или при длительном отсутствии адекватной терапии БА для достижения контроля может потребоваться больше времени [350]. </w:t>
      </w:r>
    </w:p>
    <w:p w:rsidR="00F15F71" w:rsidRDefault="00F974CD">
      <w:pPr>
        <w:spacing w:after="157" w:line="259" w:lineRule="auto"/>
        <w:ind w:left="10" w:right="845"/>
        <w:jc w:val="right"/>
      </w:pPr>
      <w:r>
        <w:t xml:space="preserve">После обострения БА следует назначить контрольный осмотр в течение 1 недели </w:t>
      </w:r>
    </w:p>
    <w:p w:rsidR="00F15F71" w:rsidRDefault="00F974CD">
      <w:pPr>
        <w:spacing w:after="30"/>
        <w:ind w:left="10" w:right="841"/>
      </w:pPr>
      <w:r>
        <w:t>[351]. Дале</w:t>
      </w:r>
      <w:r>
        <w:t xml:space="preserve">е пациент наблюдается регулярно в течение нескольких недель, пока не будет достигнут хороший контроль симптомов и наилучшие индивидуальные показатели легочной функции.  </w:t>
      </w:r>
    </w:p>
    <w:p w:rsidR="00F15F71" w:rsidRDefault="00F974CD">
      <w:pPr>
        <w:spacing w:after="32"/>
        <w:ind w:left="0" w:right="841" w:firstLine="708"/>
      </w:pPr>
      <w:r>
        <w:t>Дети дошкольного возраста должны быть осмотрены через 1-2 дня после выписки из стацион</w:t>
      </w:r>
      <w:r>
        <w:t xml:space="preserve">ара, и, далее еще раз в течение 1-2 мес или по необходимости. </w:t>
      </w:r>
    </w:p>
    <w:p w:rsidR="00F15F71" w:rsidRDefault="00F974CD">
      <w:pPr>
        <w:spacing w:after="153" w:line="270" w:lineRule="auto"/>
        <w:ind w:left="718" w:right="10"/>
      </w:pPr>
      <w:r>
        <w:rPr>
          <w:b/>
        </w:rPr>
        <w:t xml:space="preserve">Показания для госпитализации в медицинскую организацию: </w:t>
      </w:r>
    </w:p>
    <w:p w:rsidR="00F15F71" w:rsidRDefault="00F974CD">
      <w:pPr>
        <w:numPr>
          <w:ilvl w:val="0"/>
          <w:numId w:val="26"/>
        </w:numPr>
        <w:spacing w:after="32"/>
        <w:ind w:right="841" w:hanging="281"/>
      </w:pPr>
      <w:r>
        <w:t>Диагностика БА/проведение дифференциальной диагностики, проведение бронхоконстрикторных тестов (в том числе, с физической нагрузкой, с п</w:t>
      </w:r>
      <w:r>
        <w:t xml:space="preserve">рименением лекарственных средств), подбор терапии (при необходимости) </w:t>
      </w:r>
    </w:p>
    <w:p w:rsidR="00F15F71" w:rsidRDefault="00F974CD">
      <w:pPr>
        <w:numPr>
          <w:ilvl w:val="0"/>
          <w:numId w:val="26"/>
        </w:numPr>
        <w:spacing w:after="35"/>
        <w:ind w:right="841" w:hanging="281"/>
      </w:pPr>
      <w:r>
        <w:t>Недостаточная эффективность терапии, проводимой в амбулаторных условиях, в том числе при обострении, в том числе отсутствие ответа на лечение или прогрессивное ухудшение симптомов в теч</w:t>
      </w:r>
      <w:r>
        <w:t xml:space="preserve">ение часа от начальной терапии, направленной на купирование обострения  </w:t>
      </w:r>
    </w:p>
    <w:p w:rsidR="00F15F71" w:rsidRDefault="00F974CD">
      <w:pPr>
        <w:numPr>
          <w:ilvl w:val="0"/>
          <w:numId w:val="26"/>
        </w:numPr>
        <w:spacing w:after="30"/>
        <w:ind w:right="841" w:hanging="281"/>
      </w:pPr>
      <w:r>
        <w:t xml:space="preserve">Тяжелое и/или угрожающее жизни обострение БА с признаками дыхательной недостаточности </w:t>
      </w:r>
    </w:p>
    <w:p w:rsidR="00F15F71" w:rsidRDefault="00F974CD">
      <w:pPr>
        <w:numPr>
          <w:ilvl w:val="0"/>
          <w:numId w:val="26"/>
        </w:numPr>
        <w:spacing w:after="30"/>
        <w:ind w:right="841" w:hanging="281"/>
      </w:pPr>
      <w:r>
        <w:t xml:space="preserve">Проведение терапии ГИБП </w:t>
      </w:r>
      <w:r>
        <w:t xml:space="preserve">(плановая) в условиях дневного стационара, в условиях стационара с круглосуточным наблюдением (в отсутствии необходимости динамического наблюдения при введении ГИБП лечение может осуществляться в амбулаторных условиях) </w:t>
      </w:r>
    </w:p>
    <w:p w:rsidR="00F15F71" w:rsidRDefault="00F974CD">
      <w:pPr>
        <w:numPr>
          <w:ilvl w:val="0"/>
          <w:numId w:val="26"/>
        </w:numPr>
        <w:spacing w:after="31"/>
        <w:ind w:right="841" w:hanging="281"/>
      </w:pPr>
      <w:r>
        <w:t>Необходимость проведения ускоренного</w:t>
      </w:r>
      <w:r>
        <w:t xml:space="preserve"> курса аллерген-специфической иммунотерапии в условиях элиминации аллергена (плановая) </w:t>
      </w:r>
    </w:p>
    <w:p w:rsidR="00F15F71" w:rsidRDefault="00F974CD">
      <w:pPr>
        <w:spacing w:after="152" w:line="270" w:lineRule="auto"/>
        <w:ind w:left="718" w:right="10"/>
      </w:pPr>
      <w:r>
        <w:rPr>
          <w:b/>
        </w:rPr>
        <w:t xml:space="preserve">Показания к выписке пациента из медицинской организации: </w:t>
      </w:r>
    </w:p>
    <w:p w:rsidR="00F15F71" w:rsidRDefault="00F974CD">
      <w:pPr>
        <w:numPr>
          <w:ilvl w:val="0"/>
          <w:numId w:val="27"/>
        </w:numPr>
        <w:spacing w:after="35"/>
        <w:ind w:right="841" w:hanging="281"/>
      </w:pPr>
      <w:r>
        <w:t xml:space="preserve">Достижение контроля или частичного контроля над симптомами (например, достигнуто уменьшение частоты приступов </w:t>
      </w:r>
      <w:r>
        <w:t xml:space="preserve">удушья не чаще чем 1 раз в день и отсутствие приступов удушья ночью на момент выписки из стационара) </w:t>
      </w:r>
    </w:p>
    <w:p w:rsidR="00F15F71" w:rsidRDefault="00F974CD">
      <w:pPr>
        <w:numPr>
          <w:ilvl w:val="0"/>
          <w:numId w:val="27"/>
        </w:numPr>
        <w:spacing w:after="30"/>
        <w:ind w:right="841" w:hanging="281"/>
      </w:pPr>
      <w:r>
        <w:t xml:space="preserve">Достигнуто увеличение ПСВ и ОФВ1 ≥80% от индивидуального лучшего или расчетного показателя на момент выписки из стационара </w:t>
      </w:r>
    </w:p>
    <w:p w:rsidR="00F15F71" w:rsidRDefault="00F974CD">
      <w:pPr>
        <w:numPr>
          <w:ilvl w:val="0"/>
          <w:numId w:val="28"/>
        </w:numPr>
        <w:spacing w:after="159" w:line="259" w:lineRule="auto"/>
        <w:ind w:right="841" w:hanging="259"/>
      </w:pPr>
      <w:r>
        <w:t>Отсутствие признаков острой ды</w:t>
      </w:r>
      <w:r>
        <w:t xml:space="preserve">хательной недостаточности </w:t>
      </w:r>
    </w:p>
    <w:p w:rsidR="00F15F71" w:rsidRDefault="00F974CD">
      <w:pPr>
        <w:numPr>
          <w:ilvl w:val="0"/>
          <w:numId w:val="28"/>
        </w:numPr>
        <w:spacing w:after="157" w:line="259" w:lineRule="auto"/>
        <w:ind w:right="841" w:hanging="259"/>
      </w:pPr>
      <w:r>
        <w:t xml:space="preserve">Завершение периода наблюдения после введения ГИБП </w:t>
      </w:r>
    </w:p>
    <w:p w:rsidR="00F15F71" w:rsidRDefault="00F974CD">
      <w:pPr>
        <w:numPr>
          <w:ilvl w:val="0"/>
          <w:numId w:val="28"/>
        </w:numPr>
        <w:spacing w:after="166" w:line="259" w:lineRule="auto"/>
        <w:ind w:right="841" w:hanging="259"/>
      </w:pPr>
      <w:r>
        <w:t xml:space="preserve">Завершение курса аллерген-специфической иммунотерапии. </w:t>
      </w:r>
    </w:p>
    <w:p w:rsidR="00F15F71" w:rsidRDefault="00F974CD">
      <w:pPr>
        <w:spacing w:after="151" w:line="270" w:lineRule="auto"/>
        <w:ind w:left="718" w:right="10"/>
      </w:pPr>
      <w:r>
        <w:rPr>
          <w:b/>
        </w:rPr>
        <w:t xml:space="preserve">Остальные критерии возможной выписки пациента из стационара: </w:t>
      </w:r>
    </w:p>
    <w:p w:rsidR="00F15F71" w:rsidRDefault="00F974CD">
      <w:pPr>
        <w:numPr>
          <w:ilvl w:val="0"/>
          <w:numId w:val="29"/>
        </w:numPr>
        <w:ind w:right="841" w:hanging="281"/>
      </w:pPr>
      <w:r>
        <w:t>Пациентов с БА, у которых показатели функции легких (ПСВ и д</w:t>
      </w:r>
      <w:r>
        <w:t xml:space="preserve">р.) после лечения не достигли нормы, рекомендуется выписать при условии, что им будет обеспечено адекватное медицинское наблюдение в амбулаторных условиях и есть уверенность, что они будут выполнять врачебные рекомендации </w:t>
      </w:r>
    </w:p>
    <w:p w:rsidR="00F15F71" w:rsidRDefault="00F974CD">
      <w:pPr>
        <w:numPr>
          <w:ilvl w:val="0"/>
          <w:numId w:val="29"/>
        </w:numPr>
        <w:spacing w:after="33"/>
        <w:ind w:right="841" w:hanging="281"/>
      </w:pPr>
      <w:r>
        <w:t xml:space="preserve">Если ОФВ1 или ПСВ после лечения составляет 40-60% от должных величин, пациент может быть выписан, но с учетом факторов риска и возможности организации дальнейшего лечения в амбулаторных условиях </w:t>
      </w:r>
    </w:p>
    <w:p w:rsidR="00F15F71" w:rsidRDefault="00F974CD">
      <w:pPr>
        <w:numPr>
          <w:ilvl w:val="0"/>
          <w:numId w:val="29"/>
        </w:numPr>
        <w:spacing w:after="29"/>
        <w:ind w:right="841" w:hanging="281"/>
      </w:pPr>
      <w:r>
        <w:t>Критерием выписки из стационара ребенка 5 лет и младше являе</w:t>
      </w:r>
      <w:r>
        <w:t xml:space="preserve">тся его стабильное состояние (например, он должен вставать с постели, не иметь проблем с приемом пищи, быть активным) </w:t>
      </w:r>
    </w:p>
    <w:p w:rsidR="00F15F71" w:rsidRDefault="00F974CD">
      <w:pPr>
        <w:spacing w:after="162" w:line="259" w:lineRule="auto"/>
        <w:ind w:left="427" w:firstLine="0"/>
        <w:jc w:val="left"/>
      </w:pPr>
      <w:r>
        <w:t xml:space="preserve"> </w:t>
      </w:r>
    </w:p>
    <w:p w:rsidR="00F15F71" w:rsidRDefault="00F974CD">
      <w:pPr>
        <w:spacing w:after="29"/>
        <w:ind w:left="0" w:right="841" w:firstLine="708"/>
      </w:pPr>
      <w:r>
        <w:t>Экспертиза по назначению таргетной терапии (препаратами ГИБП) для пациентов с бронхиальной астмой осуществляется с проведением врачебно</w:t>
      </w:r>
      <w:r>
        <w:t xml:space="preserve">го консилиума. </w:t>
      </w:r>
    </w:p>
    <w:p w:rsidR="00F15F71" w:rsidRDefault="00F974CD">
      <w:pPr>
        <w:spacing w:after="151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pStyle w:val="Heading1"/>
        <w:spacing w:after="187"/>
        <w:ind w:left="197" w:right="0"/>
        <w:jc w:val="left"/>
      </w:pPr>
      <w:bookmarkStart w:id="37" w:name="_Toc275194"/>
      <w:r>
        <w:t xml:space="preserve">7. Дополнительная информация (в том числе факторы, влияющие на исход </w:t>
      </w:r>
      <w:bookmarkEnd w:id="37"/>
    </w:p>
    <w:p w:rsidR="00F15F71" w:rsidRDefault="00F974CD">
      <w:pPr>
        <w:pStyle w:val="Heading1"/>
        <w:spacing w:after="93"/>
        <w:ind w:right="848"/>
      </w:pPr>
      <w:bookmarkStart w:id="38" w:name="_Toc275195"/>
      <w:r>
        <w:t xml:space="preserve">заболевания или состояния) </w:t>
      </w:r>
      <w:bookmarkEnd w:id="38"/>
    </w:p>
    <w:p w:rsidR="00F15F71" w:rsidRDefault="00F974CD">
      <w:pPr>
        <w:spacing w:after="163" w:line="259" w:lineRule="auto"/>
        <w:ind w:left="0" w:right="787" w:firstLine="0"/>
        <w:jc w:val="center"/>
      </w:pPr>
      <w:r>
        <w:rPr>
          <w:b/>
        </w:rPr>
        <w:t xml:space="preserve"> </w:t>
      </w:r>
    </w:p>
    <w:p w:rsidR="00F15F71" w:rsidRDefault="00F974CD">
      <w:pPr>
        <w:pStyle w:val="Heading6"/>
        <w:spacing w:after="162"/>
        <w:ind w:left="10" w:right="850"/>
        <w:jc w:val="center"/>
      </w:pPr>
      <w:r>
        <w:rPr>
          <w:u w:val="none"/>
        </w:rPr>
        <w:t xml:space="preserve">Терапевтическое сотрудничество </w:t>
      </w:r>
    </w:p>
    <w:p w:rsidR="00F15F71" w:rsidRDefault="00F974CD">
      <w:pPr>
        <w:spacing w:line="387" w:lineRule="auto"/>
        <w:ind w:left="-15" w:right="840" w:firstLine="0"/>
      </w:pPr>
      <w:r>
        <w:rPr>
          <w:i/>
        </w:rPr>
        <w:t xml:space="preserve"> </w:t>
      </w:r>
      <w:r>
        <w:rPr>
          <w:i/>
        </w:rPr>
        <w:t>Работа над терапевтическим сотрудничеством между пациентом и лечащим врачом существенно повышает приверженность к терапии, способствует улучшению контроля над симптомами БА, снижает риски обострений и осложнений, а в случае развившегося обострения позволяе</w:t>
      </w:r>
      <w:r>
        <w:rPr>
          <w:i/>
        </w:rPr>
        <w:t xml:space="preserve">т пациенту самостоятельно принять меры по его купированию и своевременно обратиться за медицинской помощью.   </w:t>
      </w:r>
    </w:p>
    <w:p w:rsidR="00F15F71" w:rsidRDefault="00F974CD">
      <w:pPr>
        <w:spacing w:after="188" w:line="259" w:lineRule="auto"/>
        <w:ind w:left="0" w:firstLine="0"/>
        <w:jc w:val="left"/>
      </w:pPr>
      <w:r>
        <w:t xml:space="preserve"> </w:t>
      </w:r>
    </w:p>
    <w:p w:rsidR="00F15F71" w:rsidRDefault="00F974CD">
      <w:pPr>
        <w:spacing w:after="44" w:line="364" w:lineRule="auto"/>
        <w:ind w:left="720" w:right="848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 xml:space="preserve">Рекомендовано разработать и предоставить индивидуальный письменный план действий пациентам с БА при обострениях и для их предотвращения с целью своевременной коррекции терапии и для избежания ухудшения состояния </w:t>
      </w:r>
      <w:r>
        <w:t>[21,78,352]</w:t>
      </w:r>
      <w:r>
        <w:rPr>
          <w:b/>
        </w:rPr>
        <w:t xml:space="preserve">.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>Уровень убедительности рекомен</w:t>
      </w:r>
      <w:r>
        <w:rPr>
          <w:b/>
        </w:rPr>
        <w:t xml:space="preserve">даций B (уровень достоверности доказательств – 1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  <w:i/>
        </w:rPr>
        <w:t xml:space="preserve">Комментарии: </w:t>
      </w:r>
      <w:r>
        <w:rPr>
          <w:i/>
        </w:rPr>
        <w:t>Письменный план действий при обострении БА, разработанный лечащим врачом, должен помочь пациенту распознать признаки обострения; конкретные инструкции по изменению объема терапии (препараты для</w:t>
      </w:r>
      <w:r>
        <w:rPr>
          <w:i/>
        </w:rPr>
        <w:t xml:space="preserve"> облегчения симптомов, базисная терапия и использование СГКС) и по обращению за медицинской помощью к специалисту. 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 </w:t>
      </w:r>
      <w:r>
        <w:rPr>
          <w:b/>
          <w:i/>
        </w:rPr>
        <w:t>Критериями для увеличения объема терапии</w:t>
      </w:r>
      <w:r>
        <w:rPr>
          <w:i/>
        </w:rPr>
        <w:t xml:space="preserve"> при ухудшении состояния пациента предложено считать наличие клинически значимых симптомов, которы</w:t>
      </w:r>
      <w:r>
        <w:rPr>
          <w:i/>
        </w:rPr>
        <w:t xml:space="preserve">е мешают нормальной жизнедеятельности пациента, либо снижение ПСВ на 20% и более в течение как минимум 2 дней </w:t>
      </w:r>
      <w:r>
        <w:t>[353].</w:t>
      </w: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План действий при обострении БА для взрослых, подростков и детей см. Приложения Б13 и Б14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 </w:t>
      </w:r>
      <w:r>
        <w:rPr>
          <w:b/>
          <w:i/>
        </w:rPr>
        <w:t>При самостоятельном купировании обострений</w:t>
      </w:r>
      <w:r>
        <w:rPr>
          <w:i/>
        </w:rPr>
        <w:t xml:space="preserve"> пац</w:t>
      </w:r>
      <w:r>
        <w:rPr>
          <w:i/>
        </w:rPr>
        <w:t xml:space="preserve">иент должен обратиться к врачу в течение 1-2 недель, желательно до отмены СГКС, для оценки контроля над БА и факторов риска обострения.  </w:t>
      </w:r>
    </w:p>
    <w:p w:rsidR="00F15F71" w:rsidRDefault="00F974CD">
      <w:pPr>
        <w:spacing w:after="1" w:line="400" w:lineRule="auto"/>
        <w:ind w:left="-15" w:right="835" w:firstLine="698"/>
      </w:pPr>
      <w:r>
        <w:rPr>
          <w:b/>
          <w:i/>
        </w:rPr>
        <w:t>Если состояние пациента быстро ухудшается или ему требуются повторные дозы ИГКС+ДДБА (или ИГКС+КДБА) в течение 1-2 дне</w:t>
      </w:r>
      <w:r>
        <w:rPr>
          <w:b/>
          <w:i/>
        </w:rPr>
        <w:t>й</w:t>
      </w:r>
      <w:r>
        <w:rPr>
          <w:i/>
        </w:rPr>
        <w:t xml:space="preserve">, ему следует обратиться за получением медицинской помощи незамедлительно. </w:t>
      </w:r>
    </w:p>
    <w:p w:rsidR="00F15F71" w:rsidRDefault="00F974CD">
      <w:pPr>
        <w:spacing w:after="1" w:line="400" w:lineRule="auto"/>
        <w:ind w:left="-15" w:right="835" w:firstLine="698"/>
      </w:pPr>
      <w:r>
        <w:rPr>
          <w:b/>
          <w:i/>
        </w:rPr>
        <w:t xml:space="preserve">При обострении БА у детей 5 лет и младше следует обратиться к врачу незамедлительно в случае: </w:t>
      </w:r>
    </w:p>
    <w:p w:rsidR="00F15F71" w:rsidRDefault="00F974CD">
      <w:pPr>
        <w:numPr>
          <w:ilvl w:val="0"/>
          <w:numId w:val="30"/>
        </w:numPr>
        <w:spacing w:after="160" w:line="259" w:lineRule="auto"/>
        <w:ind w:right="840" w:firstLine="710"/>
      </w:pPr>
      <w:r>
        <w:rPr>
          <w:i/>
        </w:rPr>
        <w:t xml:space="preserve">развития дистресс-синдрома; </w:t>
      </w:r>
    </w:p>
    <w:p w:rsidR="00F15F71" w:rsidRDefault="00F974CD">
      <w:pPr>
        <w:numPr>
          <w:ilvl w:val="0"/>
          <w:numId w:val="30"/>
        </w:numPr>
        <w:spacing w:after="158" w:line="259" w:lineRule="auto"/>
        <w:ind w:right="840" w:firstLine="710"/>
      </w:pPr>
      <w:r>
        <w:rPr>
          <w:i/>
        </w:rPr>
        <w:t xml:space="preserve">если симптомы БА не купируются с помощью КДБА; </w:t>
      </w:r>
    </w:p>
    <w:p w:rsidR="00F15F71" w:rsidRDefault="00F974CD">
      <w:pPr>
        <w:numPr>
          <w:ilvl w:val="0"/>
          <w:numId w:val="30"/>
        </w:numPr>
        <w:spacing w:after="161" w:line="259" w:lineRule="auto"/>
        <w:ind w:right="840" w:firstLine="710"/>
      </w:pPr>
      <w:r>
        <w:rPr>
          <w:i/>
        </w:rPr>
        <w:t>промежу</w:t>
      </w:r>
      <w:r>
        <w:rPr>
          <w:i/>
        </w:rPr>
        <w:t xml:space="preserve">ток между ингаляцией КДБА укорачивается; </w:t>
      </w:r>
    </w:p>
    <w:p w:rsidR="00F15F71" w:rsidRDefault="00F974CD">
      <w:pPr>
        <w:numPr>
          <w:ilvl w:val="0"/>
          <w:numId w:val="30"/>
        </w:numPr>
        <w:spacing w:line="387" w:lineRule="auto"/>
        <w:ind w:right="840" w:firstLine="710"/>
      </w:pPr>
      <w:r>
        <w:rPr>
          <w:i/>
        </w:rPr>
        <w:t xml:space="preserve">ребенку младше 1 года в течение нескольких часов требуется повторная ингаляция КДБА; </w:t>
      </w:r>
    </w:p>
    <w:p w:rsidR="00F15F71" w:rsidRDefault="00F974CD">
      <w:pPr>
        <w:numPr>
          <w:ilvl w:val="0"/>
          <w:numId w:val="30"/>
        </w:numPr>
        <w:spacing w:line="387" w:lineRule="auto"/>
        <w:ind w:right="840" w:firstLine="710"/>
      </w:pPr>
      <w:r>
        <w:rPr>
          <w:i/>
        </w:rPr>
        <w:t xml:space="preserve">для купирования симптомов обострения БА требуется более 6 ингаляций сальбутамола** в течение 2 часов или симптомы не купируются в течение 24 часов </w:t>
      </w:r>
    </w:p>
    <w:p w:rsidR="00F15F71" w:rsidRDefault="00F974CD">
      <w:pPr>
        <w:spacing w:after="162" w:line="259" w:lineRule="auto"/>
        <w:ind w:left="708" w:right="840" w:firstLine="0"/>
      </w:pPr>
      <w:r>
        <w:rPr>
          <w:i/>
        </w:rPr>
        <w:t xml:space="preserve">. </w:t>
      </w:r>
    </w:p>
    <w:p w:rsidR="00F15F71" w:rsidRDefault="00F974CD">
      <w:pPr>
        <w:pStyle w:val="Heading6"/>
        <w:spacing w:after="115"/>
        <w:ind w:left="10" w:right="850"/>
        <w:jc w:val="center"/>
      </w:pPr>
      <w:r>
        <w:rPr>
          <w:u w:val="none"/>
        </w:rPr>
        <w:t xml:space="preserve">Техника ингаляции </w:t>
      </w:r>
    </w:p>
    <w:p w:rsidR="00F15F71" w:rsidRDefault="00F974CD">
      <w:pPr>
        <w:spacing w:after="43" w:line="387" w:lineRule="auto"/>
        <w:ind w:left="-15" w:right="840" w:firstLine="710"/>
      </w:pPr>
      <w:r>
        <w:rPr>
          <w:i/>
        </w:rPr>
        <w:t>Правильное выполнение техники ингаляции играет ключевую роль в реализации эффектов инг</w:t>
      </w:r>
      <w:r>
        <w:rPr>
          <w:i/>
        </w:rPr>
        <w:t xml:space="preserve">аляционной терапии. Неправильная техника ингаляции может приводить как к снижению эффективности терапии, так и к повышенному риску побочных эффектов. </w:t>
      </w:r>
    </w:p>
    <w:p w:rsidR="00F15F71" w:rsidRDefault="00F974CD">
      <w:pPr>
        <w:spacing w:line="357" w:lineRule="auto"/>
        <w:ind w:left="720" w:right="848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Выбор ингаляционного устройства для терапии стабильной БА рекомендуется основывать на предпочтении паци</w:t>
      </w:r>
      <w:r>
        <w:rPr>
          <w:b/>
        </w:rPr>
        <w:t xml:space="preserve">ента и оценке возможности выполнения правильной техники с целью избегания ошибок дальнейшего использования </w:t>
      </w:r>
    </w:p>
    <w:p w:rsidR="00F15F71" w:rsidRDefault="00F974CD">
      <w:pPr>
        <w:spacing w:after="165" w:line="259" w:lineRule="auto"/>
        <w:ind w:left="730" w:right="841"/>
      </w:pPr>
      <w:r>
        <w:t>[354,355]</w:t>
      </w:r>
      <w:r>
        <w:rPr>
          <w:b/>
        </w:rPr>
        <w:t xml:space="preserve">. </w:t>
      </w:r>
    </w:p>
    <w:p w:rsidR="00F15F71" w:rsidRDefault="00F974CD">
      <w:pPr>
        <w:spacing w:after="149" w:line="270" w:lineRule="auto"/>
        <w:ind w:left="-5" w:right="10"/>
      </w:pPr>
      <w:r>
        <w:rPr>
          <w:b/>
        </w:rPr>
        <w:t xml:space="preserve">Уровень убедительности рекомендаций B (уровень достоверности доказательств – 2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  <w:i/>
        </w:rPr>
        <w:t xml:space="preserve">Комментарии: </w:t>
      </w:r>
      <w:r>
        <w:rPr>
          <w:i/>
        </w:rPr>
        <w:t>перед назначением ингаляционного лекарствен</w:t>
      </w:r>
      <w:r>
        <w:rPr>
          <w:i/>
        </w:rPr>
        <w:t xml:space="preserve">ного средства необходимо проводить обучение пациента по использованию устройства и убедиться в удовлетворительной технике ингаляции </w:t>
      </w:r>
      <w:r>
        <w:t>[354–358]</w:t>
      </w:r>
      <w:r>
        <w:rPr>
          <w:i/>
        </w:rPr>
        <w:t>. Оценку техники ингаляции и правил использования средства доставки лекарственного препарата необходимо осуществлят</w:t>
      </w:r>
      <w:r>
        <w:rPr>
          <w:i/>
        </w:rPr>
        <w:t>ь регулярно. При сомнениях в приверженности назначенному лечению или затруднениях при использовании средств доставки следует рассмотреть вопрос о выборе другой формы препарата или средства его доставки (Приложение Б15). У взрослых и подростков со стабильны</w:t>
      </w:r>
      <w:r>
        <w:rPr>
          <w:i/>
        </w:rPr>
        <w:t>м течением заболевания ДАИ + спейсер столь же эффективен, как любой другой ручной ингалятор, хотя пациенты могут предпочесть некоторые виды ДПИ</w:t>
      </w:r>
      <w:r>
        <w:t xml:space="preserve">. </w:t>
      </w:r>
    </w:p>
    <w:p w:rsidR="00F15F71" w:rsidRDefault="00F974CD">
      <w:pPr>
        <w:spacing w:after="186" w:line="259" w:lineRule="auto"/>
        <w:ind w:left="-15" w:right="840" w:firstLine="0"/>
      </w:pPr>
      <w:r>
        <w:rPr>
          <w:i/>
        </w:rPr>
        <w:t>Многие пациенты не готовы использовать спейсер, предпочитая небулайзер</w:t>
      </w:r>
      <w:r>
        <w:t xml:space="preserve">. </w:t>
      </w:r>
    </w:p>
    <w:p w:rsidR="00F15F71" w:rsidRDefault="00F974CD">
      <w:pPr>
        <w:spacing w:after="41" w:line="367" w:lineRule="auto"/>
        <w:ind w:left="720" w:right="848" w:hanging="360"/>
      </w:pPr>
      <w:r>
        <w:rPr>
          <w:rFonts w:ascii="Segoe UI Symbol" w:eastAsia="Segoe UI Symbol" w:hAnsi="Segoe UI Symbol" w:cs="Segoe UI Symbol"/>
        </w:rPr>
        <w:t>•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 xml:space="preserve">У детей от 0 до 5 лет в качестве способа доставки препаратов для лечения обструктивных заболеваний дыхательных путей (бронхолитиков) или глюкокортикоидов (для ингаляционного применения) рекомендуются ДАИ + спейсер или небулайзер </w:t>
      </w:r>
      <w:r>
        <w:t>[44,158,229]</w:t>
      </w:r>
      <w:r>
        <w:rPr>
          <w:b/>
        </w:rPr>
        <w:t xml:space="preserve">.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>Уровень убед</w:t>
      </w:r>
      <w:r>
        <w:rPr>
          <w:b/>
        </w:rPr>
        <w:t xml:space="preserve">ительности рекомендаций B (уровень достоверности доказательств – 3 </w:t>
      </w:r>
    </w:p>
    <w:p w:rsidR="00F15F71" w:rsidRDefault="00F974CD">
      <w:pPr>
        <w:spacing w:line="387" w:lineRule="auto"/>
        <w:ind w:left="-15" w:right="840" w:firstLine="710"/>
      </w:pPr>
      <w:r>
        <w:rPr>
          <w:b/>
          <w:i/>
        </w:rPr>
        <w:t xml:space="preserve">Комментарии: </w:t>
      </w:r>
      <w:r>
        <w:rPr>
          <w:i/>
        </w:rPr>
        <w:t xml:space="preserve">Лицевая маска необходима, если ребенок не может дышать с использованием мундштука.  </w:t>
      </w:r>
    </w:p>
    <w:p w:rsidR="00F15F71" w:rsidRDefault="00F974CD">
      <w:pPr>
        <w:spacing w:after="101" w:line="270" w:lineRule="auto"/>
        <w:ind w:left="-5" w:right="10"/>
      </w:pPr>
      <w:r>
        <w:rPr>
          <w:b/>
        </w:rPr>
        <w:t xml:space="preserve">Меры, позволяющие снизить риск нежелательных явлений от проводимого лечения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>Для исключени</w:t>
      </w:r>
      <w:r>
        <w:rPr>
          <w:i/>
        </w:rPr>
        <w:t xml:space="preserve">я риска нежелательных явлений детям с БА, получающим лечение ИГКС следует проводить измерение роста не реже, чем 1 раз в год </w:t>
      </w:r>
      <w:r>
        <w:t>[21].</w:t>
      </w:r>
      <w:r>
        <w:rPr>
          <w:i/>
        </w:rPr>
        <w:t xml:space="preserve"> 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>Для исключения риска нежелательных явлений следует напоминать пациентам о необходимости прополоскать зев после применения и</w:t>
      </w:r>
      <w:r>
        <w:rPr>
          <w:i/>
        </w:rPr>
        <w:t xml:space="preserve">нгаляционных средств доставки лекарственных препаратов (а также умыть лицо, если использовалась маска).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>При отклонении от ростовых показателей необходимо изучить и другие факторы, способные влиять на рост (с учетом возраста – например, в предпубертатном п</w:t>
      </w:r>
      <w:r>
        <w:rPr>
          <w:i/>
        </w:rPr>
        <w:t xml:space="preserve">ериоде): плохо контролируемая БА, частый прием СГКС, нарушения питания </w:t>
      </w:r>
      <w:r>
        <w:t>[21].</w:t>
      </w: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>Исследования динамики роста детей отмечают возможность некоторого снижения ежегодного прироста в первые 1-2 года после инициации терапии ИГКС; в дальнейшем прогресса в отставании</w:t>
      </w:r>
      <w:r>
        <w:rPr>
          <w:i/>
        </w:rPr>
        <w:t xml:space="preserve"> в росте не наблюдается </w:t>
      </w:r>
      <w:r>
        <w:t>[359,360]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>Для пациентов с БА длительно получающих СГКС и высокие дозы ИГКС, в том числе взрослых, при подозрении на развитие остеопороза можно рассмотреть проведение Ультразвуковой денситометрии для определения плотности костной т</w:t>
      </w:r>
      <w:r>
        <w:rPr>
          <w:i/>
        </w:rPr>
        <w:t xml:space="preserve">кани </w:t>
      </w:r>
    </w:p>
    <w:p w:rsidR="00F15F71" w:rsidRDefault="00F974CD">
      <w:pPr>
        <w:spacing w:after="161" w:line="259" w:lineRule="auto"/>
        <w:ind w:left="10" w:right="841"/>
      </w:pPr>
      <w:r>
        <w:t>[21]</w:t>
      </w:r>
      <w:r>
        <w:rPr>
          <w:i/>
        </w:rPr>
        <w:t xml:space="preserve">. </w:t>
      </w:r>
    </w:p>
    <w:p w:rsidR="00F15F71" w:rsidRDefault="00F974CD">
      <w:pPr>
        <w:spacing w:line="387" w:lineRule="auto"/>
        <w:ind w:left="-15" w:right="840" w:firstLine="566"/>
      </w:pPr>
      <w:r>
        <w:rPr>
          <w:i/>
        </w:rPr>
        <w:t>Снижение дозы ИГКС следует осуществлять медленно для исключения риска развития обострения. При достаточном контроле возможно снижение дозы каждые три месяца, примерно на 25-50% с регулярным контролем состояния пациента, в том числе показателей</w:t>
      </w:r>
      <w:r>
        <w:rPr>
          <w:i/>
        </w:rPr>
        <w:t xml:space="preserve"> функции дыхания.  </w:t>
      </w:r>
    </w:p>
    <w:p w:rsidR="00F15F71" w:rsidRDefault="00F974CD">
      <w:pPr>
        <w:spacing w:after="113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pStyle w:val="Heading1"/>
        <w:ind w:right="848"/>
      </w:pPr>
      <w:bookmarkStart w:id="39" w:name="_Toc275196"/>
      <w:r>
        <w:t xml:space="preserve">8. Критерии оценки качества медицинской помощи </w:t>
      </w:r>
      <w:bookmarkEnd w:id="39"/>
    </w:p>
    <w:p w:rsidR="00F15F71" w:rsidRDefault="00F974CD">
      <w:pPr>
        <w:spacing w:line="270" w:lineRule="auto"/>
        <w:ind w:left="-5" w:right="10"/>
      </w:pPr>
      <w:r>
        <w:rPr>
          <w:b/>
        </w:rPr>
        <w:t xml:space="preserve">8.1. Критерии оценки качества первичной медико-санитарной помощи детям при бронхиальной астме (коды по МКБ - 10: J45, J46) </w:t>
      </w:r>
    </w:p>
    <w:tbl>
      <w:tblPr>
        <w:tblStyle w:val="TableGrid"/>
        <w:tblW w:w="9352" w:type="dxa"/>
        <w:tblInd w:w="-108" w:type="dxa"/>
        <w:tblCellMar>
          <w:top w:w="13" w:type="dxa"/>
          <w:left w:w="106" w:type="dxa"/>
          <w:bottom w:w="6" w:type="dxa"/>
          <w:right w:w="52" w:type="dxa"/>
        </w:tblCellMar>
        <w:tblLook w:val="04A0" w:firstRow="1" w:lastRow="0" w:firstColumn="1" w:lastColumn="0" w:noHBand="0" w:noVBand="1"/>
      </w:tblPr>
      <w:tblGrid>
        <w:gridCol w:w="816"/>
        <w:gridCol w:w="6950"/>
        <w:gridCol w:w="1586"/>
      </w:tblGrid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6" w:line="259" w:lineRule="auto"/>
              <w:ind w:left="0" w:right="55" w:firstLine="0"/>
              <w:jc w:val="center"/>
            </w:pPr>
            <w:r>
              <w:t xml:space="preserve">№ </w:t>
            </w:r>
          </w:p>
          <w:p w:rsidR="00F15F71" w:rsidRDefault="00F974CD">
            <w:pPr>
              <w:spacing w:after="0" w:line="259" w:lineRule="auto"/>
              <w:ind w:left="0" w:right="56" w:firstLine="0"/>
              <w:jc w:val="center"/>
            </w:pPr>
            <w:r>
              <w:t xml:space="preserve">п/п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 Критерии оценки качества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Оценка выполнения </w:t>
            </w:r>
          </w:p>
        </w:tc>
      </w:tr>
      <w:tr w:rsidR="00F15F71">
        <w:trPr>
          <w:trHeight w:val="1114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1.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58" w:firstLine="0"/>
            </w:pPr>
            <w:r>
              <w:t xml:space="preserve">Выполнено исследование дыхательных объемов с применением лекарственных препаратов (спирометрия с бронходилатационным тестом) (при отсутствии медицинских противопоказаний при установлении диагноза)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1114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2.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59" w:firstLine="0"/>
            </w:pPr>
            <w:r>
              <w:t xml:space="preserve">Выполнена рентгенография органов грудной клетки в прямой проекции или компьютерная томография органов грудной полости (при установлении диагноза, при необходимости исключения/подтверждения альтернативных диагнозов)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3.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>Выполнен общий (клинический</w:t>
            </w:r>
            <w:r>
              <w:t xml:space="preserve">) анализ крови развернутый (при установлении диагноза)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4.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Выполнена пульсоксиметрия (при обострении бронхиальной астмы)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 </w:t>
            </w:r>
          </w:p>
        </w:tc>
      </w:tr>
      <w:tr w:rsidR="00F15F71">
        <w:trPr>
          <w:trHeight w:val="139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5.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7" w:line="238" w:lineRule="auto"/>
              <w:ind w:left="2" w:right="60" w:firstLine="0"/>
            </w:pPr>
            <w:r>
              <w:t xml:space="preserve">Выполнено назначение лекарственных препаратов групп: адренергические средства для ингаляционного введения или адренергические средства в комбинации с глюкокортикоидами или другими препаратами, кроме антихолинергических средств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(при отсутствии медицинских 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Да/Нет </w:t>
            </w:r>
          </w:p>
        </w:tc>
      </w:tr>
      <w:tr w:rsidR="00F15F71">
        <w:trPr>
          <w:trHeight w:val="194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 xml:space="preserve">6.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58" w:firstLine="0"/>
            </w:pPr>
            <w:r>
              <w:t>Выполнено назначение лекарственных препаратов групп: глюкокортикоиды (системного действия или ингаляционно, кроме случаев применения адренергических средств в комбинации с глюкокортикоидами или д</w:t>
            </w:r>
            <w:r>
              <w:t xml:space="preserve">ругими препаратами, кроме антихолинергических средств) и/или лейкотриеновых рецепторов антагонисты (в зависимости от медицинских показаний при отсутствии медицинских 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</w:tbl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line="270" w:lineRule="auto"/>
        <w:ind w:left="-5" w:right="10"/>
      </w:pPr>
      <w:r>
        <w:rPr>
          <w:b/>
        </w:rPr>
        <w:t xml:space="preserve">8.2. Критерии оценки качества специализированной медицинской помощи детям при бронхиальной астме (коды по МКБ - 10: J45, J46) </w:t>
      </w:r>
    </w:p>
    <w:tbl>
      <w:tblPr>
        <w:tblStyle w:val="TableGrid"/>
        <w:tblW w:w="9352" w:type="dxa"/>
        <w:tblInd w:w="-108" w:type="dxa"/>
        <w:tblCellMar>
          <w:top w:w="13" w:type="dxa"/>
          <w:left w:w="106" w:type="dxa"/>
          <w:bottom w:w="6" w:type="dxa"/>
          <w:right w:w="50" w:type="dxa"/>
        </w:tblCellMar>
        <w:tblLook w:val="04A0" w:firstRow="1" w:lastRow="0" w:firstColumn="1" w:lastColumn="0" w:noHBand="0" w:noVBand="1"/>
      </w:tblPr>
      <w:tblGrid>
        <w:gridCol w:w="816"/>
        <w:gridCol w:w="6950"/>
        <w:gridCol w:w="1586"/>
      </w:tblGrid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6" w:line="259" w:lineRule="auto"/>
              <w:ind w:left="2" w:firstLine="0"/>
              <w:jc w:val="left"/>
            </w:pPr>
            <w:r>
              <w:t xml:space="preserve">№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п/п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 Критерии оценки качества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Оценка выполнения </w:t>
            </w:r>
          </w:p>
        </w:tc>
      </w:tr>
      <w:tr w:rsidR="00F15F71">
        <w:trPr>
          <w:trHeight w:val="1116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1.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60" w:firstLine="0"/>
            </w:pPr>
            <w:r>
              <w:t xml:space="preserve">Выполнено исследование дыхательных объемов с применением лекарственных препаратов (спирометрия с бронходилатационным тестом) (при отсутствии медицинских противопоказаний при установлении диагноза)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1114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2.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60" w:firstLine="0"/>
            </w:pPr>
            <w:r>
              <w:t xml:space="preserve">Выполнена рентгенография органов грудной клетки в прямой проекции или компьютерная томография органов грудной полости (при установлении диагноза, при необходимости исключения/подтверждения альтернативных диагнозов)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3.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Выполнен общий (клинический) анализ крови развернутый (при установлении диагноза)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838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4.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57" w:firstLine="0"/>
            </w:pPr>
            <w:r>
              <w:t>Выполнен осмотр врачом-анестезиологом-</w:t>
            </w:r>
            <w:r>
              <w:t xml:space="preserve">реаниматологом не позднее 30 минут от момента поступления в стационар (при обострении бронхиальной астмы при сатурации&lt;90%)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5.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Выполнена пульсоксиметрия (при обострении бронхиальной астмы)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840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6.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7" w:line="238" w:lineRule="auto"/>
              <w:ind w:left="2" w:firstLine="0"/>
            </w:pPr>
            <w:r>
              <w:t xml:space="preserve">Проведено ингаляционное введение кислорода (при сатурации менее 90%) (при обострении бронхиальной астмы при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отсутствии медицинских 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</w:tr>
      <w:tr w:rsidR="00F15F71">
        <w:trPr>
          <w:trHeight w:val="1390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 xml:space="preserve">7.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7" w:line="238" w:lineRule="auto"/>
              <w:ind w:left="2" w:right="61" w:firstLine="0"/>
            </w:pPr>
            <w:r>
              <w:t xml:space="preserve">Выполнено назначение лекарственных препаратов групп: адренергические средства для ингаляционного введения или адренергические средства в комбинации с глюкокортикоидами или другими препаратами, кроме антихолинергических средств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(при отсутствии медицинских </w:t>
            </w:r>
            <w:r>
              <w:t xml:space="preserve">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Да/Нет </w:t>
            </w:r>
          </w:p>
        </w:tc>
      </w:tr>
      <w:tr w:rsidR="00F15F71">
        <w:trPr>
          <w:trHeight w:val="194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 xml:space="preserve">8.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59" w:firstLine="0"/>
            </w:pPr>
            <w:r>
              <w:t xml:space="preserve">Выполнено назначение лекарственных препаратов групп: глюкокортикоиды (системного действия или ингаляционно, кроме случаев применения адренергических средств в комбинации с глюкокортикоидам или другими препаратами, </w:t>
            </w:r>
            <w:r>
              <w:t xml:space="preserve">кроме антихолинергических средств) и/или лейкотриеновых рецепторов антагонисты (в зависимости от медицинских показаний при отсутствии медицинских 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</w:tbl>
    <w:p w:rsidR="00F15F71" w:rsidRDefault="00F974CD">
      <w:pPr>
        <w:spacing w:after="163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line="270" w:lineRule="auto"/>
        <w:ind w:left="-5" w:right="10"/>
      </w:pPr>
      <w:r>
        <w:rPr>
          <w:b/>
        </w:rPr>
        <w:t>8.3 Критерии оценки качества первичной медико-</w:t>
      </w:r>
      <w:r>
        <w:rPr>
          <w:b/>
        </w:rPr>
        <w:t xml:space="preserve">санитарной помощи взрослым при бронхиальной астме (коды по МКБ - 10: J45, J46) </w:t>
      </w:r>
    </w:p>
    <w:tbl>
      <w:tblPr>
        <w:tblStyle w:val="TableGrid"/>
        <w:tblW w:w="9352" w:type="dxa"/>
        <w:tblInd w:w="-108" w:type="dxa"/>
        <w:tblCellMar>
          <w:top w:w="13" w:type="dxa"/>
          <w:left w:w="106" w:type="dxa"/>
          <w:bottom w:w="6" w:type="dxa"/>
          <w:right w:w="50" w:type="dxa"/>
        </w:tblCellMar>
        <w:tblLook w:val="04A0" w:firstRow="1" w:lastRow="0" w:firstColumn="1" w:lastColumn="0" w:noHBand="0" w:noVBand="1"/>
      </w:tblPr>
      <w:tblGrid>
        <w:gridCol w:w="816"/>
        <w:gridCol w:w="6950"/>
        <w:gridCol w:w="1586"/>
      </w:tblGrid>
      <w:tr w:rsidR="00F15F71">
        <w:trPr>
          <w:trHeight w:val="564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6" w:line="259" w:lineRule="auto"/>
              <w:ind w:left="2" w:firstLine="0"/>
              <w:jc w:val="left"/>
            </w:pPr>
            <w:r>
              <w:t xml:space="preserve">№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п/п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 Критерии оценки качества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Оценка выполнения </w:t>
            </w:r>
          </w:p>
        </w:tc>
      </w:tr>
      <w:tr w:rsidR="00F15F71">
        <w:trPr>
          <w:trHeight w:val="1114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1.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Выполнено исследование дыхательных объемов с применением лекарственных </w:t>
            </w:r>
            <w:r>
              <w:tab/>
              <w:t xml:space="preserve">препаратов </w:t>
            </w:r>
            <w:r>
              <w:tab/>
              <w:t xml:space="preserve">(спирометрия </w:t>
            </w:r>
            <w:r>
              <w:tab/>
              <w:t xml:space="preserve">с бронходилатационным тестом) (при отсутствии медицинских потивопоказаний)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2.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Выполнен общий (клинический) анализ крови развернутый (при установлении диагноза)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>3.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Выполнена пульсоксиметрия (при обострении бронхиальной астмы)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 </w:t>
            </w:r>
          </w:p>
        </w:tc>
      </w:tr>
      <w:tr w:rsidR="00F15F71">
        <w:trPr>
          <w:trHeight w:val="1390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 xml:space="preserve">4.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7" w:line="238" w:lineRule="auto"/>
              <w:ind w:left="2" w:right="59" w:firstLine="0"/>
            </w:pPr>
            <w:r>
              <w:t xml:space="preserve">Выполнено назначение лекарственных препаратов групп: адренергические средства для ингаляционного введения или адренергические средства в комбинации с глюкокортикоидами или другими препаратами, кроме антихолинергических средств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(при отсутствии медицинских 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Да/Нет </w:t>
            </w:r>
          </w:p>
        </w:tc>
      </w:tr>
      <w:tr w:rsidR="00F15F71">
        <w:trPr>
          <w:trHeight w:val="194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2" w:firstLine="0"/>
              <w:jc w:val="left"/>
            </w:pPr>
            <w:r>
              <w:t xml:space="preserve">5.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59" w:firstLine="0"/>
            </w:pPr>
            <w:r>
              <w:t>Выполнено назначение лекарственных препаратов групп: глюкокортикоиды (системного действия или ингаляционно, кроме случаев применения адренергических средств в комбинации с глюкокортикоидам или др</w:t>
            </w:r>
            <w:r>
              <w:t xml:space="preserve">угими препаратами, кроме антихолинергических средств) и/или лейкотриеновых рецепторов антагонисты (в зависимости от медицинских показаний при отсутствии медицинских 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</w:tbl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line="270" w:lineRule="auto"/>
        <w:ind w:left="-5" w:right="385"/>
      </w:pPr>
      <w:r>
        <w:rPr>
          <w:b/>
        </w:rPr>
        <w:t xml:space="preserve">8.4 Критерии оценки качества специализированной медицинской помощи взрослым при бронхиальной астме (коды по МКБ - 10: J45, J46) </w:t>
      </w:r>
    </w:p>
    <w:tbl>
      <w:tblPr>
        <w:tblStyle w:val="TableGrid"/>
        <w:tblW w:w="9352" w:type="dxa"/>
        <w:tblInd w:w="-108" w:type="dxa"/>
        <w:tblCellMar>
          <w:top w:w="14" w:type="dxa"/>
          <w:left w:w="106" w:type="dxa"/>
          <w:bottom w:w="6" w:type="dxa"/>
          <w:right w:w="50" w:type="dxa"/>
        </w:tblCellMar>
        <w:tblLook w:val="04A0" w:firstRow="1" w:lastRow="0" w:firstColumn="1" w:lastColumn="0" w:noHBand="0" w:noVBand="1"/>
      </w:tblPr>
      <w:tblGrid>
        <w:gridCol w:w="816"/>
        <w:gridCol w:w="6950"/>
        <w:gridCol w:w="1586"/>
      </w:tblGrid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6" w:line="259" w:lineRule="auto"/>
              <w:ind w:left="2" w:firstLine="0"/>
              <w:jc w:val="left"/>
            </w:pPr>
            <w:r>
              <w:t xml:space="preserve">№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п/п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 Критерии оценки качества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Оценка выполнения </w:t>
            </w:r>
          </w:p>
        </w:tc>
      </w:tr>
      <w:tr w:rsidR="00F15F71">
        <w:trPr>
          <w:trHeight w:val="1114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1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Выполнено исследование дыхательных объемов с применением лекарственных </w:t>
            </w:r>
            <w:r>
              <w:tab/>
              <w:t xml:space="preserve">препаратов </w:t>
            </w:r>
            <w:r>
              <w:tab/>
              <w:t xml:space="preserve">(спирометрия </w:t>
            </w:r>
            <w:r>
              <w:tab/>
              <w:t xml:space="preserve">с бронходилатационным тестом) (при отсутствии медицинских 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286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2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Выполнена рентгенография органов грудной клетки в прямой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564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9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проекции (при установлении диагноза, при необходимости исключения/подтверждения альтернативных диагнозов) </w:t>
            </w:r>
          </w:p>
        </w:tc>
        <w:tc>
          <w:tcPr>
            <w:tcW w:w="158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3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Выполнен общий (клинический) анализ крови развернутый (при установлении диагноза)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838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rPr>
                <w:strike/>
              </w:rPr>
              <w:t>4</w:t>
            </w:r>
            <w:r>
              <w:t xml:space="preserve">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59" w:firstLine="0"/>
            </w:pPr>
            <w:r>
              <w:t>Выполнен осмотр врачом-анестезиологом-</w:t>
            </w:r>
            <w:r>
              <w:t xml:space="preserve">реаниматологом не позднее 30 минут от момента поступления в стационар (при обострении бронхиальной астмы при сатурации &lt;90%)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5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5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Выполнена пульсоксиметрия (при обострении бронхиальной астмы)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1390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6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7" w:line="238" w:lineRule="auto"/>
              <w:ind w:left="2" w:right="61" w:firstLine="0"/>
            </w:pPr>
            <w:r>
              <w:t xml:space="preserve">Выполнено назначение лекарственных препаратов групп: адренергические средства для ингаляционного введения или адренергические средства в комбинации с глюкокортикоидами или другими препаратами, кроме антихолинергических средств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(при отсутствии медицинских </w:t>
            </w:r>
            <w:r>
              <w:t xml:space="preserve">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Да/Нет </w:t>
            </w:r>
          </w:p>
        </w:tc>
      </w:tr>
      <w:tr w:rsidR="00F15F71">
        <w:trPr>
          <w:trHeight w:val="194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7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58" w:firstLine="0"/>
            </w:pPr>
            <w:r>
              <w:t xml:space="preserve">Выполнено назначение лекарственных препаратов групп: глюкокортикоиды (системного действия или ингаляционно, кроме случаев применения адренергических средств в комбинации с глюкокортикоидам или другими препаратами, </w:t>
            </w:r>
            <w:r>
              <w:t xml:space="preserve">кроме антихолинергических средств) и/или лейкотриеновых рецепторов антагонисты (в зависимости от медицинских показаний при отсутствии медицинских 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  <w:tr w:rsidR="00F15F71">
        <w:trPr>
          <w:trHeight w:val="840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9 </w:t>
            </w:r>
          </w:p>
        </w:tc>
        <w:tc>
          <w:tcPr>
            <w:tcW w:w="6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7" w:line="238" w:lineRule="auto"/>
              <w:ind w:left="2" w:firstLine="0"/>
            </w:pPr>
            <w:r>
              <w:t xml:space="preserve">Проведено ингаляционное введение кислорода (при сатурации менее 90%) (при обострении бронхиальной астмы при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отсутствии медицинских противопоказаний) </w:t>
            </w:r>
          </w:p>
        </w:tc>
        <w:tc>
          <w:tcPr>
            <w:tcW w:w="1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Да/Нет </w:t>
            </w:r>
          </w:p>
        </w:tc>
      </w:tr>
    </w:tbl>
    <w:p w:rsidR="00F15F71" w:rsidRDefault="00F974CD">
      <w:pPr>
        <w:spacing w:after="0" w:line="259" w:lineRule="auto"/>
        <w:ind w:left="708" w:firstLine="0"/>
      </w:pPr>
      <w:r>
        <w:t xml:space="preserve"> </w:t>
      </w:r>
      <w:r>
        <w:br w:type="page"/>
      </w:r>
    </w:p>
    <w:p w:rsidR="00F15F71" w:rsidRDefault="00F974CD">
      <w:pPr>
        <w:pStyle w:val="Heading1"/>
        <w:spacing w:after="98"/>
        <w:ind w:right="848"/>
      </w:pPr>
      <w:bookmarkStart w:id="40" w:name="_Toc275197"/>
      <w:r>
        <w:t xml:space="preserve">Список литературы </w:t>
      </w:r>
      <w:bookmarkEnd w:id="40"/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Ray, A., Camiolo, M., Fitzpatrick, A., Gauthier, M., &amp; Wenzel, S. E. (2020). Are We Meeting the Promise of Endotypes and Precision Medicine in Asthma? Physiological </w:t>
      </w:r>
    </w:p>
    <w:p w:rsidR="00F15F71" w:rsidRDefault="00F974CD">
      <w:pPr>
        <w:spacing w:after="162" w:line="259" w:lineRule="auto"/>
        <w:ind w:left="641" w:right="50"/>
        <w:jc w:val="left"/>
      </w:pPr>
      <w:r>
        <w:t xml:space="preserve">Reviews, 100(3), 983–1017. </w:t>
      </w:r>
      <w:hyperlink r:id="rId17">
        <w:r>
          <w:rPr>
            <w:color w:val="0000FF"/>
            <w:u w:val="single" w:color="0000FF"/>
          </w:rPr>
          <w:t>h</w:t>
        </w:r>
        <w:r>
          <w:rPr>
            <w:color w:val="0000FF"/>
            <w:u w:val="single" w:color="0000FF"/>
          </w:rPr>
          <w:t>ttps://doi.org/10</w:t>
        </w:r>
      </w:hyperlink>
      <w:hyperlink r:id="rId18">
        <w:r>
          <w:rPr>
            <w:color w:val="0000FF"/>
            <w:u w:val="single" w:color="0000FF"/>
          </w:rPr>
          <w:t>.11</w:t>
        </w:r>
      </w:hyperlink>
      <w:hyperlink r:id="rId19">
        <w:r>
          <w:rPr>
            <w:color w:val="0000FF"/>
            <w:u w:val="single" w:color="0000FF"/>
          </w:rPr>
          <w:t>52/PHYSREV.00023.2019</w:t>
        </w:r>
      </w:hyperlink>
      <w:hyperlink r:id="rId2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Moore, W. C., Meyers, D. A.</w:t>
      </w:r>
      <w:r>
        <w:t>, Wenzel, S. E., Teague, W. G., Li, H., Li, X., D’Agostino, R., Castro, M., Curran-Everett, D., Fitzpatrick, A. M., Gaston, B., Jarjour, N. N., Sorkness, R., Calhoun, W. J., Chung, K. F., Comhair, S. A. A., Dweik, R. A., Israel, E., Peters, S. P., … Bleeck</w:t>
      </w:r>
      <w:r>
        <w:t xml:space="preserve">er, E. R. (2010). Identification of asthma phenotypes using cluster analysis in the Severe Asthma Research Program. American Journal of Respiratory and Critical Care Medicine, 181(4), 315–323. </w:t>
      </w:r>
      <w:hyperlink r:id="rId21">
        <w:r>
          <w:rPr>
            <w:color w:val="0000FF"/>
            <w:u w:val="single" w:color="0000FF"/>
          </w:rPr>
          <w:t>h</w:t>
        </w:r>
        <w:r>
          <w:rPr>
            <w:color w:val="0000FF"/>
            <w:u w:val="single" w:color="0000FF"/>
          </w:rPr>
          <w:t>ttps://doi.org/10.1164/RCCM.200906</w:t>
        </w:r>
      </w:hyperlink>
      <w:hyperlink r:id="rId22">
        <w:r>
          <w:rPr>
            <w:color w:val="0000FF"/>
            <w:u w:val="single" w:color="0000FF"/>
          </w:rPr>
          <w:t>-</w:t>
        </w:r>
      </w:hyperlink>
      <w:hyperlink r:id="rId23">
        <w:r>
          <w:rPr>
            <w:color w:val="0000FF"/>
            <w:u w:val="single" w:color="0000FF"/>
          </w:rPr>
          <w:t>0896OC</w:t>
        </w:r>
      </w:hyperlink>
      <w:hyperlink r:id="rId2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Abbafati, C., Abbas, K. M.,</w:t>
      </w:r>
      <w:r>
        <w:t xml:space="preserve"> Abbasi, M., Abbasifard, M., Abbasi-Kangevari, M., Abbastabar, H., Abd-Allah, F., Abdelalim, A., Abdollahi, M., Abdollahpour, I., Abedi, A., Abedi, P., Abegaz, K. H., Abolhassani, H., Abosetugn, A. E., Aboyans, V., Abrams, E. </w:t>
      </w:r>
    </w:p>
    <w:p w:rsidR="00F15F71" w:rsidRDefault="00F974CD">
      <w:pPr>
        <w:ind w:left="656" w:right="841"/>
      </w:pPr>
      <w:r>
        <w:t xml:space="preserve">M., Abreu, L. G., Abrigo, M. </w:t>
      </w:r>
      <w:r>
        <w:t>R. M., … Murray, C. J. L. (2020). Global burden of 369 diseases and injuries in 204 countries and territories, 1990-2019: a systematic analysis for the Global Burden of Disease Study 2019. Lancet (London, England), 396(10258), 1204–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1222. </w:t>
      </w:r>
      <w:hyperlink r:id="rId25">
        <w:r>
          <w:rPr>
            <w:color w:val="0000FF"/>
            <w:u w:val="single" w:color="0000FF"/>
          </w:rPr>
          <w:t>https://doi.org/10.1016/S0140</w:t>
        </w:r>
      </w:hyperlink>
      <w:hyperlink r:id="rId26">
        <w:r>
          <w:rPr>
            <w:color w:val="0000FF"/>
            <w:u w:val="single" w:color="0000FF"/>
          </w:rPr>
          <w:t>-</w:t>
        </w:r>
      </w:hyperlink>
      <w:hyperlink r:id="rId27">
        <w:r>
          <w:rPr>
            <w:color w:val="0000FF"/>
            <w:u w:val="single" w:color="0000FF"/>
          </w:rPr>
          <w:t>6736(20)30925</w:t>
        </w:r>
      </w:hyperlink>
      <w:hyperlink r:id="rId28">
        <w:r>
          <w:rPr>
            <w:color w:val="0000FF"/>
            <w:u w:val="single" w:color="0000FF"/>
          </w:rPr>
          <w:t>-</w:t>
        </w:r>
      </w:hyperlink>
      <w:hyperlink r:id="rId29">
        <w:r>
          <w:rPr>
            <w:color w:val="0000FF"/>
            <w:u w:val="single" w:color="0000FF"/>
          </w:rPr>
          <w:t>9</w:t>
        </w:r>
      </w:hyperlink>
      <w:hyperlink r:id="rId3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21" w:line="259" w:lineRule="auto"/>
        <w:ind w:right="841" w:hanging="689"/>
      </w:pPr>
      <w:r>
        <w:t xml:space="preserve">GLOBAL STRATEGY FOR ASTHMA MANAGEMENT AND PREVENTION Updated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2020. (2020). </w:t>
      </w:r>
      <w:hyperlink r:id="rId31">
        <w:r>
          <w:rPr>
            <w:color w:val="0000FF"/>
            <w:u w:val="single" w:color="0000FF"/>
          </w:rPr>
          <w:t>www.ginasthma.org</w:t>
        </w:r>
      </w:hyperlink>
      <w:hyperlink r:id="rId3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21" w:line="259" w:lineRule="auto"/>
        <w:ind w:right="841" w:hanging="689"/>
      </w:pPr>
      <w:r>
        <w:t xml:space="preserve">Chuchalin, A. G., Khaltaev, N., Antonov, N. S., Galkin, D. V., Manakov, L. G., Antonini, </w:t>
      </w:r>
    </w:p>
    <w:p w:rsidR="00F15F71" w:rsidRDefault="00F974CD">
      <w:pPr>
        <w:spacing w:after="36"/>
        <w:ind w:left="656" w:right="841"/>
      </w:pPr>
      <w:r>
        <w:t xml:space="preserve">P., Murphy, M., Solodovnikov, A. G., Bousquet, J., Pereira, M. H. S., &amp; Demko, I. V. (2014). Chronic respiratory diseases and risk factors in 12 regions of the Russian Federation. International Journal of Chronic Obstructive Pulmonary Disease, 9, 963–974. </w:t>
      </w:r>
      <w:hyperlink r:id="rId33">
        <w:r>
          <w:rPr>
            <w:color w:val="0000FF"/>
            <w:u w:val="single" w:color="0000FF"/>
          </w:rPr>
          <w:t>https://doi.org/10.2147/COPD.S</w:t>
        </w:r>
      </w:hyperlink>
      <w:hyperlink r:id="rId34">
        <w:r>
          <w:rPr>
            <w:color w:val="0000FF"/>
            <w:u w:val="single" w:color="0000FF"/>
          </w:rPr>
          <w:t>67283</w:t>
        </w:r>
      </w:hyperlink>
      <w:hyperlink r:id="rId3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8"/>
        <w:ind w:right="841" w:hanging="689"/>
      </w:pPr>
      <w:r>
        <w:t>Национальная программа «Бронхиальная астма у детей. Ст</w:t>
      </w:r>
      <w:r>
        <w:t xml:space="preserve">ратегия лечения и профилактика», IV издание. – М., 2012. – 182 с.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Most Recent Asthma Data | CDC. (n.d.). Retrieved February 9, 2024, from </w:t>
      </w:r>
      <w:hyperlink r:id="rId36">
        <w:r>
          <w:rPr>
            <w:color w:val="0000FF"/>
            <w:u w:val="single" w:color="0000FF"/>
          </w:rPr>
          <w:t>https://www.cdc.gov/asthma/most_recent_data.htm</w:t>
        </w:r>
      </w:hyperlink>
      <w:hyperlink r:id="rId3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mednet.ru — Яндекс: нашлось 4 тыс. результатов. (n.d.). Retrieved February 8, 2024, from </w:t>
      </w:r>
      <w:hyperlink r:id="rId38">
        <w:r>
          <w:rPr>
            <w:color w:val="0000FF"/>
            <w:u w:val="single" w:color="0000FF"/>
          </w:rPr>
          <w:t>https://yande</w:t>
        </w:r>
        <w:r>
          <w:rPr>
            <w:color w:val="0000FF"/>
            <w:u w:val="single" w:color="0000FF"/>
          </w:rPr>
          <w:t>x.ru/search/?text=mednet.ru&amp;lr=213&amp;clid=2270455&amp;win=587</w:t>
        </w:r>
      </w:hyperlink>
      <w:hyperlink r:id="rId3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3" w:line="259" w:lineRule="auto"/>
        <w:ind w:right="841" w:hanging="689"/>
      </w:pPr>
      <w:r>
        <w:t xml:space="preserve">ФГБУ «ЦНИИОИЗ» Минздрава России - Главная страница. (n.d.). Retrieved February 9,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2024, from </w:t>
      </w:r>
      <w:hyperlink r:id="rId40">
        <w:r>
          <w:rPr>
            <w:color w:val="0000FF"/>
            <w:u w:val="single" w:color="0000FF"/>
          </w:rPr>
          <w:t>https://mednet.ru/</w:t>
        </w:r>
      </w:hyperlink>
      <w:hyperlink r:id="rId4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6"/>
        <w:ind w:right="841" w:hanging="689"/>
      </w:pPr>
      <w:r>
        <w:t>Krahn, M., Berka, C., Langlois, P., &amp; Detsky, A. S. (1996). Direct and indirect costs of asthma in Canada, 1990. CMAJ : Canadian Medical Association Journal = Journal de l’Assoc</w:t>
      </w:r>
      <w:r>
        <w:t xml:space="preserve">iation Medicale Canadienne. </w:t>
      </w:r>
    </w:p>
    <w:p w:rsidR="00F15F71" w:rsidRDefault="00F974CD">
      <w:pPr>
        <w:numPr>
          <w:ilvl w:val="0"/>
          <w:numId w:val="31"/>
        </w:numPr>
        <w:spacing w:after="114" w:line="259" w:lineRule="auto"/>
        <w:ind w:right="841" w:hanging="689"/>
      </w:pPr>
      <w:r>
        <w:t>Braman, S. S., &amp; Kaemmerlen, J. T. (1990). Intensive Care of Status Asthmaticus: A 10-</w:t>
      </w:r>
    </w:p>
    <w:p w:rsidR="00F15F71" w:rsidRDefault="00F974CD">
      <w:pPr>
        <w:tabs>
          <w:tab w:val="center" w:pos="873"/>
          <w:tab w:val="center" w:pos="2874"/>
          <w:tab w:val="center" w:pos="5001"/>
          <w:tab w:val="center" w:pos="6909"/>
          <w:tab w:val="center" w:pos="8909"/>
        </w:tabs>
        <w:spacing w:after="121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Year </w:t>
      </w:r>
      <w:r>
        <w:tab/>
        <w:t xml:space="preserve">Experience. </w:t>
      </w:r>
      <w:r>
        <w:tab/>
        <w:t xml:space="preserve">JAMA, </w:t>
      </w:r>
      <w:r>
        <w:tab/>
        <w:t xml:space="preserve">264(3), </w:t>
      </w:r>
      <w:r>
        <w:tab/>
        <w:t xml:space="preserve">366–368.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42">
        <w:r>
          <w:rPr>
            <w:color w:val="0000FF"/>
            <w:u w:val="single" w:color="0000FF"/>
          </w:rPr>
          <w:t>https://doi.org/10.1001/JAMA.1990.03450030090038</w:t>
        </w:r>
      </w:hyperlink>
      <w:hyperlink r:id="rId4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Weber, E. J., Silverman, R. A., Callaham, M. L., Pollack, C. V., Woodruff, P. G., Clark, S., &amp; Camargo, C. A. (2002). A prospective multic</w:t>
      </w:r>
      <w:r>
        <w:t xml:space="preserve">enter study of factors associated with hospital admission among adults with acute asthma. American Journal of Medicine, 113(5), 371–378. </w:t>
      </w:r>
      <w:hyperlink r:id="rId44">
        <w:r>
          <w:rPr>
            <w:color w:val="0000FF"/>
            <w:u w:val="single" w:color="0000FF"/>
          </w:rPr>
          <w:t>https://doi.org/10.1016/S0002</w:t>
        </w:r>
      </w:hyperlink>
      <w:hyperlink r:id="rId45">
        <w:r>
          <w:rPr>
            <w:color w:val="0000FF"/>
            <w:u w:val="single" w:color="0000FF"/>
          </w:rPr>
          <w:t>-</w:t>
        </w:r>
      </w:hyperlink>
      <w:hyperlink r:id="rId46">
        <w:r>
          <w:rPr>
            <w:color w:val="0000FF"/>
            <w:u w:val="single" w:color="0000FF"/>
          </w:rPr>
          <w:t>9343(02)01242</w:t>
        </w:r>
      </w:hyperlink>
      <w:hyperlink r:id="rId47">
        <w:r>
          <w:rPr>
            <w:color w:val="0000FF"/>
            <w:u w:val="single" w:color="0000FF"/>
          </w:rPr>
          <w:t>-</w:t>
        </w:r>
      </w:hyperlink>
      <w:hyperlink r:id="rId48">
        <w:r>
          <w:rPr>
            <w:color w:val="0000FF"/>
            <w:u w:val="single" w:color="0000FF"/>
          </w:rPr>
          <w:t>1</w:t>
        </w:r>
      </w:hyperlink>
      <w:hyperlink r:id="rId4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Salmeron, S., Liard, R., Elkharrat, D., Muir, J. F., Neukirch, F., &amp; Ellrodt, A. (2001). Asthma severity and adequacy of management in accident and emergency departments in </w:t>
      </w:r>
    </w:p>
    <w:p w:rsidR="00F15F71" w:rsidRDefault="00F974CD">
      <w:pPr>
        <w:ind w:left="651" w:right="841"/>
      </w:pPr>
      <w:r>
        <w:t>France: A prospec</w:t>
      </w:r>
      <w:r>
        <w:t xml:space="preserve">tive study. Lancet, 358(9282), 629–635. </w:t>
      </w:r>
      <w:hyperlink r:id="rId50">
        <w:r>
          <w:rPr>
            <w:color w:val="0000FF"/>
            <w:u w:val="single" w:color="0000FF"/>
          </w:rPr>
          <w:t>https://doi.org/10.1016/S0140</w:t>
        </w:r>
      </w:hyperlink>
      <w:hyperlink r:id="rId51"/>
      <w:hyperlink r:id="rId52">
        <w:r>
          <w:rPr>
            <w:color w:val="0000FF"/>
            <w:u w:val="single" w:color="0000FF"/>
          </w:rPr>
          <w:t>6736(01)05779</w:t>
        </w:r>
      </w:hyperlink>
      <w:hyperlink r:id="rId53">
        <w:r>
          <w:rPr>
            <w:color w:val="0000FF"/>
            <w:u w:val="single" w:color="0000FF"/>
          </w:rPr>
          <w:t>-</w:t>
        </w:r>
      </w:hyperlink>
      <w:hyperlink r:id="rId54">
        <w:r>
          <w:rPr>
            <w:color w:val="0000FF"/>
            <w:u w:val="single" w:color="0000FF"/>
          </w:rPr>
          <w:t>8</w:t>
        </w:r>
      </w:hyperlink>
      <w:hyperlink r:id="rId5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Krishnan, V., Diette, G. B., Rand, C</w:t>
      </w:r>
      <w:r>
        <w:t xml:space="preserve">. S., Bilderback, A. L., Merriman, B., Hansel, N. N., &amp; Krishnan, J. A. (2006). Mortality in patients hospitalized for asthma exacerbations in the </w:t>
      </w:r>
    </w:p>
    <w:p w:rsidR="00F15F71" w:rsidRDefault="00F974CD">
      <w:pPr>
        <w:spacing w:after="115" w:line="259" w:lineRule="auto"/>
        <w:ind w:left="651" w:right="841"/>
      </w:pPr>
      <w:r>
        <w:t>United States. American Journal of Respiratory and Critical Care Medicine, 174(6), 633–</w:t>
      </w:r>
    </w:p>
    <w:p w:rsidR="00F15F71" w:rsidRDefault="00F974CD">
      <w:pPr>
        <w:spacing w:after="158" w:line="259" w:lineRule="auto"/>
        <w:ind w:left="641" w:right="50"/>
        <w:jc w:val="left"/>
      </w:pPr>
      <w:r>
        <w:t xml:space="preserve">638. </w:t>
      </w:r>
      <w:hyperlink r:id="rId56">
        <w:r>
          <w:rPr>
            <w:color w:val="0000FF"/>
            <w:u w:val="single" w:color="0000FF"/>
          </w:rPr>
          <w:t>https://doi.org/10.1164/RCCM.200601</w:t>
        </w:r>
      </w:hyperlink>
      <w:hyperlink r:id="rId57">
        <w:r>
          <w:rPr>
            <w:color w:val="0000FF"/>
            <w:u w:val="single" w:color="0000FF"/>
          </w:rPr>
          <w:t>-</w:t>
        </w:r>
      </w:hyperlink>
      <w:hyperlink r:id="rId58">
        <w:r>
          <w:rPr>
            <w:color w:val="0000FF"/>
            <w:u w:val="single" w:color="0000FF"/>
          </w:rPr>
          <w:t>007OC</w:t>
        </w:r>
      </w:hyperlink>
      <w:hyperlink r:id="rId5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2"/>
        <w:ind w:right="841" w:hanging="689"/>
      </w:pPr>
      <w:r>
        <w:t xml:space="preserve">Ненашева Н.М. Клинические фенотипы атопической бронхиальной астмы: диагностика и лечение. Palmarium Academic Publishing, 2012, 319с. (n.d.). Retrieved February 9, 2024, from </w:t>
      </w:r>
      <w:hyperlink r:id="rId60">
        <w:r>
          <w:rPr>
            <w:color w:val="0000FF"/>
            <w:u w:val="single" w:color="0000FF"/>
          </w:rPr>
          <w:t>https:</w:t>
        </w:r>
        <w:r>
          <w:rPr>
            <w:color w:val="0000FF"/>
            <w:u w:val="single" w:color="0000FF"/>
          </w:rPr>
          <w:t>//bookmix.ru/book.phtml?id=2271191</w:t>
        </w:r>
      </w:hyperlink>
      <w:hyperlink r:id="rId6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Moore, W. C., Meyers, D. A., Wenzel, S. E., Teague, W. G., Li, H., Li, X., D’Agostino, R., Castro, M., Curran-Everett, D., Fitzpatrick, A. M., Gaston, B., Jarjo</w:t>
      </w:r>
      <w:r>
        <w:t xml:space="preserve">ur, N. N., Sorkness, R., Calhoun, W. J., Chung, K. F., Comhair, S. A. A., Dweik, R. A., Israel, E., Peters, S. P., … Bleecker, E. R. (2010). Identification of asthma phenotypes using cluster analysis in the Severe Asthma Research Program. American Journal </w:t>
      </w:r>
      <w:r>
        <w:t xml:space="preserve">of Respiratory and Critical Care Medicine, 181(4), 315–323. </w:t>
      </w:r>
      <w:hyperlink r:id="rId62">
        <w:r>
          <w:rPr>
            <w:color w:val="0000FF"/>
            <w:u w:val="single" w:color="0000FF"/>
          </w:rPr>
          <w:t>https://doi.org/10.1164/RCCM.200906</w:t>
        </w:r>
      </w:hyperlink>
      <w:hyperlink r:id="rId63">
        <w:r>
          <w:rPr>
            <w:color w:val="0000FF"/>
            <w:u w:val="single" w:color="0000FF"/>
          </w:rPr>
          <w:t>-</w:t>
        </w:r>
      </w:hyperlink>
      <w:hyperlink r:id="rId64">
        <w:r>
          <w:rPr>
            <w:color w:val="0000FF"/>
            <w:u w:val="single" w:color="0000FF"/>
          </w:rPr>
          <w:t>0896OC</w:t>
        </w:r>
      </w:hyperlink>
      <w:hyperlink r:id="rId6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Pearce, N., Pekkanen, J., &amp; Beasley, R. (1999). How much asthma is really attributable to atopy? Thorax, 54(3), 268–272. </w:t>
      </w:r>
      <w:hyperlink r:id="rId66">
        <w:r>
          <w:rPr>
            <w:color w:val="0000FF"/>
            <w:u w:val="single" w:color="0000FF"/>
          </w:rPr>
          <w:t>https://doi.org/10.1136/THX.54.3.268</w:t>
        </w:r>
      </w:hyperlink>
      <w:hyperlink r:id="rId6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Reddel, H. K., Taylor, D. R., Bateman, E. D., Boulet, L. P., Boushey, H. A., Busse, W. W., Casale, T. B., Chanez, P., Enright, P. L., Gibson, P. </w:t>
      </w:r>
      <w:r>
        <w:t xml:space="preserve">G., De Jongste, J. C., Kerstjens, H. A. </w:t>
      </w:r>
    </w:p>
    <w:p w:rsidR="00F15F71" w:rsidRDefault="00F974CD">
      <w:pPr>
        <w:spacing w:after="113" w:line="259" w:lineRule="auto"/>
        <w:ind w:left="651" w:right="841"/>
      </w:pPr>
      <w:r>
        <w:t xml:space="preserve">M., Lazarus, S. C., Levy, M. L., O’Byrne, P. M., Partridge, M. R., Pavord, I. D., Sears, M. </w:t>
      </w:r>
    </w:p>
    <w:p w:rsidR="00F15F71" w:rsidRDefault="00F974CD">
      <w:pPr>
        <w:ind w:left="651" w:right="841"/>
      </w:pPr>
      <w:r>
        <w:t>R., Sterk, P. J., … Wenzel, S. E. (2009). An official American Thoracic Society/European Respiratory Society statement: asthma control and exacerbations: standardizing endpoints for clinical asthma trials and clinical practice. American Journal of Respirat</w:t>
      </w:r>
      <w:r>
        <w:t xml:space="preserve">ory and Critical Care Medicine, 180(1), 59–99. </w:t>
      </w:r>
      <w:hyperlink r:id="rId68">
        <w:r>
          <w:rPr>
            <w:color w:val="0000FF"/>
            <w:u w:val="single" w:color="0000FF"/>
          </w:rPr>
          <w:t>https://doi.org/10.1164/RCCM.200801</w:t>
        </w:r>
      </w:hyperlink>
      <w:hyperlink r:id="rId69">
        <w:r>
          <w:rPr>
            <w:color w:val="0000FF"/>
            <w:u w:val="single" w:color="0000FF"/>
          </w:rPr>
          <w:t>-</w:t>
        </w:r>
      </w:hyperlink>
      <w:hyperlink r:id="rId70">
        <w:r>
          <w:rPr>
            <w:color w:val="0000FF"/>
            <w:u w:val="single" w:color="0000FF"/>
          </w:rPr>
          <w:t>060ST</w:t>
        </w:r>
      </w:hyperlink>
      <w:hyperlink r:id="rId7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Taylor, D. R., Bateman, E. D., Boulet, L. P., Boushey, H. A., Busse, W. W., Casale, T. B., Chanez, P., Enright, P. L., Gibson, P. G., De Jongste, J. C., Kerstjens, H. A. M., Lazarus, </w:t>
      </w:r>
    </w:p>
    <w:p w:rsidR="00F15F71" w:rsidRDefault="00F974CD">
      <w:pPr>
        <w:ind w:left="651" w:right="841"/>
      </w:pPr>
      <w:r>
        <w:t>S. C., Levy, M. L., O’Byrne, P. M., Partridge, M. R., Pavord, I. D., Sea</w:t>
      </w:r>
      <w:r>
        <w:t xml:space="preserve">rs, M. R., Sterk, P. J., Stoloff, S. W., … Reddel, H. K. (2008). A new perspective on concepts of asthma severity and control. The European Respiratory Journal, 32(3), 545–554. </w:t>
      </w:r>
      <w:hyperlink r:id="rId72">
        <w:r>
          <w:rPr>
            <w:color w:val="0000FF"/>
            <w:u w:val="single" w:color="0000FF"/>
          </w:rPr>
          <w:t>https://doi.org/10</w:t>
        </w:r>
        <w:r>
          <w:rPr>
            <w:color w:val="0000FF"/>
            <w:u w:val="single" w:color="0000FF"/>
          </w:rPr>
          <w:t>.1183/09031936.00155307</w:t>
        </w:r>
      </w:hyperlink>
      <w:hyperlink r:id="rId7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Chung, K. F., Wenzel, S. E., Brozek, J. L., Bush, A., Castro, M., Sterk, P. J., Adcock, I. M., Bateman, E. D., Bel, E. H., Bleecker, E. R., Boulet, L. P., Brightling, C.,</w:t>
      </w:r>
      <w:r>
        <w:t xml:space="preserve"> Chanez, P., </w:t>
      </w:r>
    </w:p>
    <w:p w:rsidR="00F15F71" w:rsidRDefault="00F974CD">
      <w:pPr>
        <w:ind w:left="651" w:right="841"/>
      </w:pPr>
      <w:r>
        <w:t xml:space="preserve">Dahlen, S. E., Djukanovic, R., Frey, U., Gaga, M., Gibson, P., Hamid, Q., … Teague, W. G. (2014). International ERS/ATS guidelines on definition, evaluation and treatment of severe asthma. The European Respiratory Journal, 43(2), 343–373. </w:t>
      </w:r>
      <w:hyperlink r:id="rId74">
        <w:r>
          <w:rPr>
            <w:color w:val="0000FF"/>
            <w:u w:val="single" w:color="0000FF"/>
          </w:rPr>
          <w:t>https://doi.org/10.1183/09031936.00202013</w:t>
        </w:r>
      </w:hyperlink>
      <w:hyperlink r:id="rId7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26" w:line="259" w:lineRule="auto"/>
        <w:ind w:right="841" w:hanging="689"/>
      </w:pPr>
      <w:r>
        <w:t xml:space="preserve">GINA Main Report 2023 Front Cove. Global Strategy for Asthma Management and </w:t>
      </w:r>
    </w:p>
    <w:p w:rsidR="00F15F71" w:rsidRDefault="00F974CD">
      <w:pPr>
        <w:spacing w:after="113" w:line="259" w:lineRule="auto"/>
        <w:ind w:left="651" w:right="841"/>
      </w:pPr>
      <w:r>
        <w:t>Prevention, Globa</w:t>
      </w:r>
      <w:r>
        <w:t xml:space="preserve">l Initiative for Asthma (GINA) 2023. [Электронный ресурс],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10.06.2023. URL: </w:t>
      </w:r>
      <w:hyperlink r:id="rId76">
        <w:r>
          <w:rPr>
            <w:color w:val="0000FF"/>
            <w:u w:val="single" w:color="0000FF"/>
          </w:rPr>
          <w:t>http</w:t>
        </w:r>
      </w:hyperlink>
      <w:hyperlink r:id="rId77">
        <w:r>
          <w:rPr>
            <w:color w:val="0000FF"/>
            <w:u w:val="single" w:color="0000FF"/>
          </w:rPr>
          <w:t>://</w:t>
        </w:r>
      </w:hyperlink>
      <w:hyperlink r:id="rId78">
        <w:r>
          <w:rPr>
            <w:color w:val="0000FF"/>
            <w:u w:val="single" w:color="0000FF"/>
          </w:rPr>
          <w:t>www</w:t>
        </w:r>
      </w:hyperlink>
      <w:hyperlink r:id="rId79">
        <w:r>
          <w:rPr>
            <w:color w:val="0000FF"/>
            <w:u w:val="single" w:color="0000FF"/>
          </w:rPr>
          <w:t>.</w:t>
        </w:r>
      </w:hyperlink>
      <w:hyperlink r:id="rId80">
        <w:r>
          <w:rPr>
            <w:color w:val="0000FF"/>
            <w:u w:val="single" w:color="0000FF"/>
          </w:rPr>
          <w:t>ginasthma</w:t>
        </w:r>
      </w:hyperlink>
      <w:hyperlink r:id="rId81">
        <w:r>
          <w:rPr>
            <w:color w:val="0000FF"/>
            <w:u w:val="single" w:color="0000FF"/>
          </w:rPr>
          <w:t>.</w:t>
        </w:r>
      </w:hyperlink>
      <w:hyperlink r:id="rId82">
        <w:r>
          <w:rPr>
            <w:color w:val="0000FF"/>
            <w:u w:val="single" w:color="0000FF"/>
          </w:rPr>
          <w:t>org</w:t>
        </w:r>
      </w:hyperlink>
      <w:hyperlink r:id="rId83">
        <w:r>
          <w:rPr>
            <w:color w:val="0000FF"/>
            <w:u w:val="single" w:color="0000FF"/>
          </w:rPr>
          <w:t>/</w:t>
        </w:r>
      </w:hyperlink>
      <w:hyperlink r:id="rId84">
        <w:r>
          <w:t>.</w:t>
        </w:r>
      </w:hyperlink>
      <w:r>
        <w:t xml:space="preserve">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Ba</w:t>
      </w:r>
      <w:r>
        <w:t>rnes, P. J., Szefler, S. J., Reddel, H. K., &amp; Chipps, B. E. (2019). Symptoms and perception of airway obstruction in asthmatic patients: Clinical implications for use of reliever medications. The Journal of Allergy and Clinical Immunology, 144(5), 1180– 11</w:t>
      </w:r>
      <w:r>
        <w:t xml:space="preserve">86. </w:t>
      </w:r>
      <w:hyperlink r:id="rId85">
        <w:r>
          <w:rPr>
            <w:color w:val="0000FF"/>
            <w:u w:val="single" w:color="0000FF"/>
          </w:rPr>
          <w:t>https://doi.org/10.1016/J.JACI.2019.06.040</w:t>
        </w:r>
      </w:hyperlink>
      <w:hyperlink r:id="rId8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2"/>
        <w:ind w:right="841" w:hanging="689"/>
      </w:pPr>
      <w:r>
        <w:t xml:space="preserve">Killian, K. J., Watson, R., Otis, J., St. Amand, T. A., &amp; O’Byrne, P. M. (2000). Symptom perception during acute bronchoconstriction. American Journal of Respiratory and Critical Care Medicine, 162(2 Pt 1), 490–496. </w:t>
      </w:r>
      <w:hyperlink r:id="rId87">
        <w:r>
          <w:rPr>
            <w:color w:val="0000FF"/>
            <w:u w:val="single" w:color="0000FF"/>
          </w:rPr>
          <w:t>https</w:t>
        </w:r>
      </w:hyperlink>
      <w:hyperlink r:id="rId88">
        <w:r>
          <w:rPr>
            <w:color w:val="0000FF"/>
            <w:u w:val="single" w:color="0000FF"/>
          </w:rPr>
          <w:t>://</w:t>
        </w:r>
      </w:hyperlink>
      <w:hyperlink r:id="rId89">
        <w:r>
          <w:rPr>
            <w:color w:val="0000FF"/>
            <w:u w:val="single" w:color="0000FF"/>
          </w:rPr>
          <w:t>doi</w:t>
        </w:r>
      </w:hyperlink>
      <w:hyperlink r:id="rId90">
        <w:r>
          <w:rPr>
            <w:color w:val="0000FF"/>
            <w:u w:val="single" w:color="0000FF"/>
          </w:rPr>
          <w:t>.</w:t>
        </w:r>
      </w:hyperlink>
      <w:hyperlink r:id="rId91">
        <w:r>
          <w:rPr>
            <w:color w:val="0000FF"/>
            <w:u w:val="single" w:color="0000FF"/>
          </w:rPr>
          <w:t>org</w:t>
        </w:r>
      </w:hyperlink>
      <w:hyperlink r:id="rId92">
        <w:r>
          <w:rPr>
            <w:color w:val="0000FF"/>
            <w:u w:val="single" w:color="0000FF"/>
          </w:rPr>
          <w:t>/10.1164/</w:t>
        </w:r>
      </w:hyperlink>
      <w:hyperlink r:id="rId93">
        <w:r>
          <w:rPr>
            <w:color w:val="0000FF"/>
            <w:u w:val="single" w:color="0000FF"/>
          </w:rPr>
          <w:t>AJRCCM</w:t>
        </w:r>
      </w:hyperlink>
      <w:hyperlink r:id="rId94">
        <w:r>
          <w:rPr>
            <w:color w:val="0000FF"/>
            <w:u w:val="single" w:color="0000FF"/>
          </w:rPr>
          <w:t>.162.2.990</w:t>
        </w:r>
        <w:r>
          <w:rPr>
            <w:color w:val="0000FF"/>
            <w:u w:val="single" w:color="0000FF"/>
          </w:rPr>
          <w:t>5079</w:t>
        </w:r>
      </w:hyperlink>
      <w:hyperlink r:id="rId9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9"/>
        <w:ind w:right="841" w:hanging="689"/>
      </w:pPr>
      <w:r>
        <w:t xml:space="preserve">Авдеев С.Н. Дыхательная недостаточность.  Практическая пульмонология. 2004., №1, с.21-26. </w:t>
      </w:r>
    </w:p>
    <w:p w:rsidR="00F15F71" w:rsidRDefault="00F974CD">
      <w:pPr>
        <w:numPr>
          <w:ilvl w:val="0"/>
          <w:numId w:val="31"/>
        </w:numPr>
        <w:spacing w:after="31"/>
        <w:ind w:right="841" w:hanging="689"/>
      </w:pPr>
      <w:r>
        <w:t>Горячкина Л.А., Ненашева Н.М., Тотикова М.Ч. Шмелева Н.В. Особенности бронхиальной астмы у подр</w:t>
      </w:r>
      <w:r>
        <w:t>остков мужского пола. Пульмонология, 2008, №2, с.15-</w:t>
      </w:r>
    </w:p>
    <w:p w:rsidR="00F15F71" w:rsidRDefault="00F974CD">
      <w:pPr>
        <w:spacing w:after="160" w:line="259" w:lineRule="auto"/>
        <w:ind w:left="641" w:right="50"/>
        <w:jc w:val="left"/>
      </w:pPr>
      <w:r>
        <w:t>19.</w:t>
      </w:r>
      <w:hyperlink r:id="rId96">
        <w:r>
          <w:t xml:space="preserve"> </w:t>
        </w:r>
      </w:hyperlink>
      <w:hyperlink r:id="rId97">
        <w:r>
          <w:rPr>
            <w:color w:val="0000FF"/>
            <w:u w:val="single" w:color="0000FF"/>
          </w:rPr>
          <w:t>https://doi.org/</w:t>
        </w:r>
      </w:hyperlink>
      <w:hyperlink r:id="rId98">
        <w:r>
          <w:rPr>
            <w:color w:val="0000FF"/>
            <w:u w:val="single" w:color="0000FF"/>
          </w:rPr>
          <w:t>10.18093/0869</w:t>
        </w:r>
      </w:hyperlink>
      <w:hyperlink r:id="rId99">
        <w:r>
          <w:rPr>
            <w:color w:val="0000FF"/>
            <w:u w:val="single" w:color="0000FF"/>
          </w:rPr>
          <w:t>-</w:t>
        </w:r>
      </w:hyperlink>
      <w:hyperlink r:id="rId100">
        <w:r>
          <w:rPr>
            <w:color w:val="0000FF"/>
            <w:u w:val="single" w:color="0000FF"/>
          </w:rPr>
          <w:t>0189</w:t>
        </w:r>
      </w:hyperlink>
      <w:hyperlink r:id="rId101">
        <w:r>
          <w:rPr>
            <w:color w:val="0000FF"/>
            <w:u w:val="single" w:color="0000FF"/>
          </w:rPr>
          <w:t>-</w:t>
        </w:r>
      </w:hyperlink>
      <w:hyperlink r:id="rId102">
        <w:r>
          <w:rPr>
            <w:color w:val="0000FF"/>
            <w:u w:val="single" w:color="0000FF"/>
          </w:rPr>
          <w:t>2008</w:t>
        </w:r>
      </w:hyperlink>
      <w:hyperlink r:id="rId103">
        <w:r>
          <w:rPr>
            <w:color w:val="0000FF"/>
            <w:u w:val="single" w:color="0000FF"/>
          </w:rPr>
          <w:t>-</w:t>
        </w:r>
      </w:hyperlink>
      <w:hyperlink r:id="rId104">
        <w:r>
          <w:rPr>
            <w:color w:val="0000FF"/>
            <w:u w:val="single" w:color="0000FF"/>
          </w:rPr>
          <w:t>0</w:t>
        </w:r>
      </w:hyperlink>
      <w:hyperlink r:id="rId105">
        <w:r>
          <w:rPr>
            <w:color w:val="0000FF"/>
            <w:u w:val="single" w:color="0000FF"/>
          </w:rPr>
          <w:t>-</w:t>
        </w:r>
      </w:hyperlink>
      <w:hyperlink r:id="rId106">
        <w:r>
          <w:rPr>
            <w:color w:val="0000FF"/>
            <w:u w:val="single" w:color="0000FF"/>
          </w:rPr>
          <w:t>2</w:t>
        </w:r>
      </w:hyperlink>
      <w:hyperlink r:id="rId107">
        <w:r>
          <w:rPr>
            <w:color w:val="0000FF"/>
            <w:u w:val="single" w:color="0000FF"/>
          </w:rPr>
          <w:t>-</w:t>
        </w:r>
      </w:hyperlink>
      <w:hyperlink r:id="rId108">
        <w:r>
          <w:rPr>
            <w:color w:val="0000FF"/>
            <w:u w:val="single" w:color="0000FF"/>
          </w:rPr>
          <w:t>15</w:t>
        </w:r>
      </w:hyperlink>
      <w:hyperlink r:id="rId109">
        <w:r>
          <w:rPr>
            <w:color w:val="0000FF"/>
            <w:u w:val="single" w:color="0000FF"/>
          </w:rPr>
          <w:t>-</w:t>
        </w:r>
      </w:hyperlink>
      <w:hyperlink r:id="rId110">
        <w:r>
          <w:rPr>
            <w:color w:val="0000FF"/>
            <w:u w:val="single" w:color="0000FF"/>
          </w:rPr>
          <w:t>19</w:t>
        </w:r>
      </w:hyperlink>
      <w:hyperlink r:id="rId11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Шальнова О.А., Кириллов М.М., Орлова М.М. Изуч</w:t>
      </w:r>
      <w:r>
        <w:t xml:space="preserve">ение патологии легких у юношей призывного возраста как возможность исследования ранних форм бронхиальной астмы и хронического бронхита. Пульмонология, 2005, №2, с.57-62. </w:t>
      </w:r>
      <w:hyperlink r:id="rId112">
        <w:r>
          <w:rPr>
            <w:color w:val="0000FF"/>
            <w:u w:val="single" w:color="0000FF"/>
          </w:rPr>
          <w:t>https://doi.org/1</w:t>
        </w:r>
        <w:r>
          <w:rPr>
            <w:color w:val="0000FF"/>
            <w:u w:val="single" w:color="0000FF"/>
          </w:rPr>
          <w:t>0.18093/0869</w:t>
        </w:r>
      </w:hyperlink>
      <w:hyperlink r:id="rId113">
        <w:r>
          <w:rPr>
            <w:color w:val="0000FF"/>
            <w:u w:val="single" w:color="0000FF"/>
          </w:rPr>
          <w:t>-</w:t>
        </w:r>
      </w:hyperlink>
      <w:hyperlink r:id="rId114">
        <w:r>
          <w:rPr>
            <w:color w:val="0000FF"/>
            <w:u w:val="single" w:color="0000FF"/>
          </w:rPr>
          <w:t>0189</w:t>
        </w:r>
      </w:hyperlink>
      <w:hyperlink r:id="rId115">
        <w:r>
          <w:rPr>
            <w:color w:val="0000FF"/>
            <w:u w:val="single" w:color="0000FF"/>
          </w:rPr>
          <w:t>-</w:t>
        </w:r>
      </w:hyperlink>
      <w:hyperlink r:id="rId116">
        <w:r>
          <w:rPr>
            <w:color w:val="0000FF"/>
            <w:u w:val="single" w:color="0000FF"/>
          </w:rPr>
          <w:t>2005</w:t>
        </w:r>
      </w:hyperlink>
      <w:hyperlink r:id="rId117">
        <w:r>
          <w:rPr>
            <w:color w:val="0000FF"/>
            <w:u w:val="single" w:color="0000FF"/>
          </w:rPr>
          <w:t>-</w:t>
        </w:r>
      </w:hyperlink>
      <w:hyperlink r:id="rId118">
        <w:r>
          <w:rPr>
            <w:color w:val="0000FF"/>
            <w:u w:val="single" w:color="0000FF"/>
          </w:rPr>
          <w:t>0</w:t>
        </w:r>
      </w:hyperlink>
      <w:hyperlink r:id="rId119">
        <w:r>
          <w:rPr>
            <w:color w:val="0000FF"/>
            <w:u w:val="single" w:color="0000FF"/>
          </w:rPr>
          <w:t>-</w:t>
        </w:r>
      </w:hyperlink>
      <w:hyperlink r:id="rId120">
        <w:r>
          <w:rPr>
            <w:color w:val="0000FF"/>
            <w:u w:val="single" w:color="0000FF"/>
          </w:rPr>
          <w:t>2</w:t>
        </w:r>
      </w:hyperlink>
      <w:hyperlink r:id="rId121">
        <w:r>
          <w:rPr>
            <w:color w:val="0000FF"/>
            <w:u w:val="single" w:color="0000FF"/>
          </w:rPr>
          <w:t>-</w:t>
        </w:r>
      </w:hyperlink>
      <w:hyperlink r:id="rId122">
        <w:r>
          <w:rPr>
            <w:color w:val="0000FF"/>
            <w:u w:val="single" w:color="0000FF"/>
          </w:rPr>
          <w:t>57</w:t>
        </w:r>
      </w:hyperlink>
      <w:hyperlink r:id="rId123">
        <w:r>
          <w:rPr>
            <w:color w:val="0000FF"/>
            <w:u w:val="single" w:color="0000FF"/>
          </w:rPr>
          <w:t>-</w:t>
        </w:r>
      </w:hyperlink>
      <w:hyperlink r:id="rId124">
        <w:r>
          <w:rPr>
            <w:color w:val="0000FF"/>
            <w:u w:val="single" w:color="0000FF"/>
          </w:rPr>
          <w:t>62</w:t>
        </w:r>
      </w:hyperlink>
      <w:hyperlink r:id="rId12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1"/>
        <w:ind w:right="841" w:hanging="689"/>
      </w:pPr>
      <w:r>
        <w:t xml:space="preserve">Жолондзь Н.Н., Воронина Н.В., Мамровская Т.П., Щукина М.П., Долгаева Н.С. Особенности течения бронхиальной астмы у подростков и юношей призывного </w:t>
      </w:r>
    </w:p>
    <w:p w:rsidR="00F15F71" w:rsidRDefault="00F974CD">
      <w:pPr>
        <w:tabs>
          <w:tab w:val="center" w:pos="1106"/>
          <w:tab w:val="center" w:pos="3050"/>
          <w:tab w:val="center" w:pos="5219"/>
          <w:tab w:val="center" w:pos="6878"/>
          <w:tab w:val="center" w:pos="8117"/>
          <w:tab w:val="center" w:pos="9152"/>
        </w:tabs>
        <w:spacing w:after="121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возраста. </w:t>
      </w:r>
      <w:r>
        <w:tab/>
        <w:t xml:space="preserve">Дальневосточный </w:t>
      </w:r>
      <w:r>
        <w:tab/>
        <w:t xml:space="preserve">медицинский </w:t>
      </w:r>
      <w:r>
        <w:tab/>
        <w:t xml:space="preserve">журнал. </w:t>
      </w:r>
      <w:r>
        <w:tab/>
        <w:t xml:space="preserve">2011, </w:t>
      </w:r>
      <w:r>
        <w:tab/>
        <w:t xml:space="preserve">№3.  </w:t>
      </w:r>
    </w:p>
    <w:p w:rsidR="00F15F71" w:rsidRDefault="00F974CD">
      <w:pPr>
        <w:spacing w:after="47" w:line="356" w:lineRule="auto"/>
        <w:ind w:left="641" w:right="50"/>
        <w:jc w:val="left"/>
      </w:pPr>
      <w:hyperlink r:id="rId126">
        <w:r>
          <w:rPr>
            <w:color w:val="0000FF"/>
            <w:u w:val="single" w:color="0000FF"/>
          </w:rPr>
          <w:t>https://cyberleninka.ru/article/n/osobennosti</w:t>
        </w:r>
      </w:hyperlink>
      <w:hyperlink r:id="rId127">
        <w:r>
          <w:rPr>
            <w:color w:val="0000FF"/>
            <w:u w:val="single" w:color="0000FF"/>
          </w:rPr>
          <w:t>-</w:t>
        </w:r>
      </w:hyperlink>
      <w:hyperlink r:id="rId128">
        <w:r>
          <w:rPr>
            <w:color w:val="0000FF"/>
            <w:u w:val="single" w:color="0000FF"/>
          </w:rPr>
          <w:t>techeniya</w:t>
        </w:r>
      </w:hyperlink>
      <w:hyperlink r:id="rId129">
        <w:r>
          <w:rPr>
            <w:color w:val="0000FF"/>
            <w:u w:val="single" w:color="0000FF"/>
          </w:rPr>
          <w:t>-</w:t>
        </w:r>
      </w:hyperlink>
      <w:hyperlink r:id="rId130">
        <w:r>
          <w:rPr>
            <w:color w:val="0000FF"/>
            <w:u w:val="single" w:color="0000FF"/>
          </w:rPr>
          <w:t>bronhialnoy</w:t>
        </w:r>
      </w:hyperlink>
      <w:hyperlink r:id="rId131">
        <w:r>
          <w:rPr>
            <w:color w:val="0000FF"/>
            <w:u w:val="single" w:color="0000FF"/>
          </w:rPr>
          <w:t>-</w:t>
        </w:r>
      </w:hyperlink>
      <w:hyperlink r:id="rId132">
        <w:r>
          <w:rPr>
            <w:color w:val="0000FF"/>
            <w:u w:val="single" w:color="0000FF"/>
          </w:rPr>
          <w:t>astmy</w:t>
        </w:r>
      </w:hyperlink>
      <w:hyperlink r:id="rId133">
        <w:r>
          <w:rPr>
            <w:color w:val="0000FF"/>
            <w:u w:val="single" w:color="0000FF"/>
          </w:rPr>
          <w:t>-</w:t>
        </w:r>
      </w:hyperlink>
      <w:hyperlink r:id="rId134">
        <w:r>
          <w:rPr>
            <w:color w:val="0000FF"/>
            <w:u w:val="single" w:color="0000FF"/>
          </w:rPr>
          <w:t>u</w:t>
        </w:r>
      </w:hyperlink>
      <w:hyperlink r:id="rId135">
        <w:r>
          <w:rPr>
            <w:color w:val="0000FF"/>
            <w:u w:val="single" w:color="0000FF"/>
          </w:rPr>
          <w:t>-</w:t>
        </w:r>
      </w:hyperlink>
      <w:hyperlink r:id="rId136">
        <w:r>
          <w:rPr>
            <w:color w:val="0000FF"/>
            <w:u w:val="single" w:color="0000FF"/>
          </w:rPr>
          <w:t>podrostkov</w:t>
        </w:r>
      </w:hyperlink>
      <w:hyperlink r:id="rId137">
        <w:r>
          <w:rPr>
            <w:color w:val="0000FF"/>
            <w:u w:val="single" w:color="0000FF"/>
          </w:rPr>
          <w:t>-</w:t>
        </w:r>
      </w:hyperlink>
      <w:hyperlink r:id="rId138">
        <w:r>
          <w:rPr>
            <w:color w:val="0000FF"/>
            <w:u w:val="single" w:color="0000FF"/>
          </w:rPr>
          <w:t>i</w:t>
        </w:r>
      </w:hyperlink>
      <w:hyperlink r:id="rId139"/>
      <w:hyperlink r:id="rId140">
        <w:r>
          <w:rPr>
            <w:color w:val="0000FF"/>
            <w:u w:val="single" w:color="0000FF"/>
          </w:rPr>
          <w:t>yunoshey</w:t>
        </w:r>
      </w:hyperlink>
      <w:hyperlink r:id="rId141">
        <w:r>
          <w:rPr>
            <w:color w:val="0000FF"/>
            <w:u w:val="single" w:color="0000FF"/>
          </w:rPr>
          <w:t>-</w:t>
        </w:r>
      </w:hyperlink>
      <w:hyperlink r:id="rId142">
        <w:r>
          <w:rPr>
            <w:color w:val="0000FF"/>
            <w:u w:val="single" w:color="0000FF"/>
          </w:rPr>
          <w:t>prizyvnogo</w:t>
        </w:r>
      </w:hyperlink>
      <w:hyperlink r:id="rId143">
        <w:r>
          <w:rPr>
            <w:color w:val="0000FF"/>
            <w:u w:val="single" w:color="0000FF"/>
          </w:rPr>
          <w:t>-</w:t>
        </w:r>
      </w:hyperlink>
      <w:hyperlink r:id="rId144">
        <w:r>
          <w:rPr>
            <w:color w:val="0000FF"/>
            <w:u w:val="single" w:color="0000FF"/>
          </w:rPr>
          <w:t>vozrasta</w:t>
        </w:r>
      </w:hyperlink>
      <w:hyperlink r:id="rId14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2" w:line="259" w:lineRule="auto"/>
        <w:ind w:right="841" w:hanging="689"/>
      </w:pPr>
      <w:r>
        <w:t>Астафьева Н.Г. (2005). Бронхиальная астма у подростков. Аллергология, №2, с.12–</w:t>
      </w:r>
    </w:p>
    <w:p w:rsidR="00F15F71" w:rsidRDefault="00F974CD">
      <w:pPr>
        <w:spacing w:after="160" w:line="259" w:lineRule="auto"/>
        <w:ind w:left="651" w:right="841"/>
      </w:pPr>
      <w:r>
        <w:t xml:space="preserve">16.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Емельянов А.В. Особенности бронхиальной астмы в пожилом и старческом возрасте. РМЖ, 2</w:t>
      </w:r>
      <w:r>
        <w:t xml:space="preserve">016, №16, с. 1102-1107. https://doi.org/10.18565/PHARMATECA.2020.5.85-94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Mellis, C. (2009). Respiratory noises: how useful are they clinically? Pediatric Clinics of North America, 56(1), 1–17. </w:t>
      </w:r>
      <w:hyperlink r:id="rId146">
        <w:r>
          <w:rPr>
            <w:color w:val="0000FF"/>
            <w:u w:val="single" w:color="0000FF"/>
          </w:rPr>
          <w:t>h</w:t>
        </w:r>
        <w:r>
          <w:rPr>
            <w:color w:val="0000FF"/>
            <w:u w:val="single" w:color="0000FF"/>
          </w:rPr>
          <w:t>ttps://doi.org/10.1016/J.PCL.2008.10.003</w:t>
        </w:r>
      </w:hyperlink>
      <w:hyperlink r:id="rId14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2" w:line="259" w:lineRule="auto"/>
        <w:ind w:right="841" w:hanging="689"/>
      </w:pPr>
      <w:r>
        <w:t xml:space="preserve">Louis, R., Satia, I., Ojanguren, I., Schleich, F., Bonini, M., Tonia, T., Rigau, D., Brinke, A. </w:t>
      </w:r>
    </w:p>
    <w:p w:rsidR="00F15F71" w:rsidRDefault="00F974CD">
      <w:pPr>
        <w:spacing w:after="115" w:line="259" w:lineRule="auto"/>
        <w:ind w:left="651" w:right="841"/>
      </w:pPr>
      <w:r>
        <w:t>ten, Buhl, R., Loukides, S., Kocks, J. W. H., Boulet, L.</w:t>
      </w:r>
      <w:r>
        <w:t xml:space="preserve"> P., Bourdin, A., Coleman, C., </w:t>
      </w:r>
    </w:p>
    <w:p w:rsidR="00F15F71" w:rsidRDefault="00F974CD">
      <w:pPr>
        <w:spacing w:after="34"/>
        <w:ind w:left="651" w:right="841"/>
      </w:pPr>
      <w:r>
        <w:t xml:space="preserve">Needham, K., Thomas, M., Idzko, M., Papi, A., Porsbjerg, C., … Usmani, O. S. (2022). European Respiratory Society Guidelines for the Diagnosis of Asthma in Adults. The European Respiratory Journal, 60(3). </w:t>
      </w:r>
      <w:hyperlink r:id="rId148">
        <w:r>
          <w:rPr>
            <w:color w:val="0000FF"/>
            <w:u w:val="single" w:color="0000FF"/>
          </w:rPr>
          <w:t>https</w:t>
        </w:r>
      </w:hyperlink>
      <w:hyperlink r:id="rId149">
        <w:r>
          <w:rPr>
            <w:color w:val="0000FF"/>
            <w:u w:val="single" w:color="0000FF"/>
          </w:rPr>
          <w:t>://</w:t>
        </w:r>
      </w:hyperlink>
      <w:hyperlink r:id="rId150">
        <w:r>
          <w:rPr>
            <w:color w:val="0000FF"/>
            <w:u w:val="single" w:color="0000FF"/>
          </w:rPr>
          <w:t>doi</w:t>
        </w:r>
      </w:hyperlink>
      <w:hyperlink r:id="rId151">
        <w:r>
          <w:rPr>
            <w:color w:val="0000FF"/>
            <w:u w:val="single" w:color="0000FF"/>
          </w:rPr>
          <w:t>.</w:t>
        </w:r>
      </w:hyperlink>
      <w:hyperlink r:id="rId152">
        <w:r>
          <w:rPr>
            <w:color w:val="0000FF"/>
            <w:u w:val="single" w:color="0000FF"/>
          </w:rPr>
          <w:t>org</w:t>
        </w:r>
      </w:hyperlink>
      <w:hyperlink r:id="rId153">
        <w:r>
          <w:rPr>
            <w:color w:val="0000FF"/>
            <w:u w:val="single" w:color="0000FF"/>
          </w:rPr>
          <w:t>/10.1183/13993003.01585</w:t>
        </w:r>
      </w:hyperlink>
      <w:hyperlink r:id="rId154">
        <w:r>
          <w:rPr>
            <w:color w:val="0000FF"/>
            <w:u w:val="single" w:color="0000FF"/>
          </w:rPr>
          <w:t>-</w:t>
        </w:r>
      </w:hyperlink>
      <w:hyperlink r:id="rId155">
        <w:r>
          <w:rPr>
            <w:color w:val="0000FF"/>
            <w:u w:val="single" w:color="0000FF"/>
          </w:rPr>
          <w:t>2021</w:t>
        </w:r>
      </w:hyperlink>
      <w:hyperlink r:id="rId15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Вишнева Е. А., Намазова-Баранова Л. С., Селимзянова Л. Р., Алексеева А. А., Новик Г. А., Эфендиева К. Е., Левина Ю. Г., Добрынина Е. А. Актуальная тактика ведения дет</w:t>
      </w:r>
      <w:r>
        <w:t>ей с бронхиальной астмой // Педиатрическая фармакология. 2017. № 14 (6). С. 443–458.</w:t>
      </w:r>
      <w:hyperlink r:id="rId157">
        <w:r>
          <w:t xml:space="preserve"> </w:t>
        </w:r>
      </w:hyperlink>
      <w:hyperlink r:id="rId158">
        <w:r>
          <w:rPr>
            <w:color w:val="0000FF"/>
            <w:u w:val="single" w:color="0000FF"/>
          </w:rPr>
          <w:t>https://doi.org/10.15690/pf.v14i6.1828</w:t>
        </w:r>
      </w:hyperlink>
      <w:hyperlink r:id="rId15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1"/>
        <w:ind w:right="841" w:hanging="689"/>
      </w:pPr>
      <w:r>
        <w:t xml:space="preserve">Reddel, H. K., Taylor, D. R., Bateman, E. D., Boulet, L. P., Boushey, H. A., Busse, W. W., Casale, T. B., Chanez, P., Enright, P. L., Gibson, P. G., De Jongste, J. C., Kerstjens, H. A. </w:t>
      </w:r>
    </w:p>
    <w:p w:rsidR="00F15F71" w:rsidRDefault="00F974CD">
      <w:pPr>
        <w:spacing w:after="132" w:line="259" w:lineRule="auto"/>
        <w:ind w:left="651" w:right="841"/>
      </w:pPr>
      <w:r>
        <w:t xml:space="preserve">M., Lazarus, S. C., Levy, M. L., O’Byrne, P. M., Partridge, M. R., Pavord, I. D., Sears, M. </w:t>
      </w:r>
    </w:p>
    <w:p w:rsidR="00F15F71" w:rsidRDefault="00F974CD">
      <w:pPr>
        <w:ind w:left="651" w:right="841"/>
      </w:pPr>
      <w:r>
        <w:t>R., Sterk, P. J., … Wenzel, S. E. (2009). An official American Thoracic Society/European Respiratory Society statement: asthma control and exacerbations: standardi</w:t>
      </w:r>
      <w:r>
        <w:t xml:space="preserve">zing endpoints for clinical asthma trials and clinical practice. American Journal of Respiratory and Critical Care Medicine, 180(1), 59–99. </w:t>
      </w:r>
      <w:hyperlink r:id="rId160">
        <w:r>
          <w:rPr>
            <w:color w:val="0000FF"/>
            <w:u w:val="single" w:color="0000FF"/>
          </w:rPr>
          <w:t>https://doi.org/10.1164/RCCM.200801</w:t>
        </w:r>
      </w:hyperlink>
      <w:hyperlink r:id="rId161">
        <w:r>
          <w:rPr>
            <w:color w:val="0000FF"/>
            <w:u w:val="single" w:color="0000FF"/>
          </w:rPr>
          <w:t>-</w:t>
        </w:r>
      </w:hyperlink>
      <w:hyperlink r:id="rId162">
        <w:r>
          <w:rPr>
            <w:color w:val="0000FF"/>
            <w:u w:val="single" w:color="0000FF"/>
          </w:rPr>
          <w:t>060ST</w:t>
        </w:r>
      </w:hyperlink>
      <w:hyperlink r:id="rId16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Thomas, M., Kay, S., Pike, J., Williams, A., Carranza Rosenzweig, J. R., Hillyer, E. </w:t>
      </w:r>
      <w:r>
        <w:t xml:space="preserve">V., &amp; Price, D. (2009). The Asthma Control Test (ACT) as a predictor of GINA guidelinedefined asthma control: analysis of a multinational cross-sectional survey. Primary Care </w:t>
      </w:r>
    </w:p>
    <w:p w:rsidR="00F15F71" w:rsidRDefault="00F974CD">
      <w:pPr>
        <w:ind w:left="651" w:right="841"/>
      </w:pPr>
      <w:r>
        <w:t>Respiratory Journal : Journal of the General Practice Airways Group, 18(1), 41–4</w:t>
      </w:r>
      <w:r>
        <w:t xml:space="preserve">9. </w:t>
      </w:r>
      <w:hyperlink r:id="rId164">
        <w:r>
          <w:rPr>
            <w:color w:val="0000FF"/>
            <w:u w:val="single" w:color="0000FF"/>
          </w:rPr>
          <w:t>https://doi.org/10.4104/PCRJ.2009.00010</w:t>
        </w:r>
      </w:hyperlink>
      <w:hyperlink r:id="rId16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2" w:line="259" w:lineRule="auto"/>
        <w:ind w:right="841" w:hanging="689"/>
      </w:pPr>
      <w:r>
        <w:t xml:space="preserve">Liu, A. H., Zeiger, R., Sorkness, C., Mahr, T., Ostrom, N., Burgess, S., Rosenzweig, J. C., </w:t>
      </w:r>
    </w:p>
    <w:p w:rsidR="00F15F71" w:rsidRDefault="00F974CD">
      <w:pPr>
        <w:spacing w:line="358" w:lineRule="auto"/>
        <w:ind w:left="651" w:right="666"/>
        <w:jc w:val="left"/>
      </w:pPr>
      <w:r>
        <w:t>&amp;</w:t>
      </w:r>
      <w:r>
        <w:t xml:space="preserve"> Manjunath, R. (2007). Development and cross-sectional validation of the Childhood Asthma Control Test. The Journal of Allergy and Clinical Immunology, 119(4), 817–825. </w:t>
      </w:r>
      <w:hyperlink r:id="rId166">
        <w:r>
          <w:rPr>
            <w:color w:val="0000FF"/>
            <w:u w:val="single" w:color="0000FF"/>
          </w:rPr>
          <w:t>https://doi.org/10.1016/J</w:t>
        </w:r>
        <w:r>
          <w:rPr>
            <w:color w:val="0000FF"/>
            <w:u w:val="single" w:color="0000FF"/>
          </w:rPr>
          <w:t>.JACI.2006.12.662</w:t>
        </w:r>
      </w:hyperlink>
      <w:hyperlink r:id="rId16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Juniper, E. F., Gruffydd-Jones, K., Ward, S., &amp; Svensson, K. (2010). Asthma Control Questionnaire in children: validation, measurement properties, interpretation. The </w:t>
      </w:r>
    </w:p>
    <w:p w:rsidR="00F15F71" w:rsidRDefault="00F974CD">
      <w:pPr>
        <w:ind w:left="651" w:right="841"/>
      </w:pPr>
      <w:r>
        <w:t xml:space="preserve">European </w:t>
      </w:r>
      <w:r>
        <w:tab/>
        <w:t xml:space="preserve">Respiratory </w:t>
      </w:r>
      <w:r>
        <w:tab/>
        <w:t xml:space="preserve">Journal, </w:t>
      </w:r>
      <w:r>
        <w:tab/>
        <w:t xml:space="preserve">36(6), </w:t>
      </w:r>
      <w:r>
        <w:tab/>
        <w:t xml:space="preserve">1410–1416. </w:t>
      </w:r>
      <w:hyperlink r:id="rId168">
        <w:r>
          <w:rPr>
            <w:color w:val="0000FF"/>
            <w:u w:val="single" w:color="0000FF"/>
          </w:rPr>
          <w:t>https://doi.org/10.1183/09031936.00117509</w:t>
        </w:r>
      </w:hyperlink>
      <w:hyperlink r:id="rId16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3"/>
        <w:ind w:right="841" w:hanging="689"/>
      </w:pPr>
      <w:r>
        <w:t>Nguyen, J. M., Holbrook, J. T., Wei, C.</w:t>
      </w:r>
      <w:r>
        <w:t xml:space="preserve"> Y., Gerald, L. B., Teague, W. G., &amp; Wise, R. A. (2014). Validation and psychometric properties of the Asthma Control Questionnaire among children. The Journal of Allergy and Clinical Immunology, 133(1). </w:t>
      </w:r>
      <w:hyperlink r:id="rId170">
        <w:r>
          <w:rPr>
            <w:color w:val="0000FF"/>
            <w:u w:val="single" w:color="0000FF"/>
          </w:rPr>
          <w:t>https://doi.org/10.1016/J.JACI.2013.06.029</w:t>
        </w:r>
      </w:hyperlink>
      <w:hyperlink r:id="rId17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Авдеев С. Н. Опросник ACQ – новый инструмент оценки контроля над бронхиальной астмой. Пульмонология. 2011. № 2. с.93–99. </w:t>
      </w:r>
      <w:hyperlink r:id="rId172">
        <w:r>
          <w:rPr>
            <w:color w:val="0000FF"/>
            <w:u w:val="single" w:color="0000FF"/>
          </w:rPr>
          <w:t>https</w:t>
        </w:r>
      </w:hyperlink>
      <w:hyperlink r:id="rId173">
        <w:r>
          <w:rPr>
            <w:color w:val="0000FF"/>
            <w:u w:val="single" w:color="0000FF"/>
          </w:rPr>
          <w:t>://</w:t>
        </w:r>
      </w:hyperlink>
      <w:hyperlink r:id="rId174">
        <w:r>
          <w:rPr>
            <w:color w:val="0000FF"/>
            <w:u w:val="single" w:color="0000FF"/>
          </w:rPr>
          <w:t>doi</w:t>
        </w:r>
      </w:hyperlink>
      <w:hyperlink r:id="rId175">
        <w:r>
          <w:rPr>
            <w:color w:val="0000FF"/>
            <w:u w:val="single" w:color="0000FF"/>
          </w:rPr>
          <w:t>.</w:t>
        </w:r>
      </w:hyperlink>
      <w:hyperlink r:id="rId176">
        <w:r>
          <w:rPr>
            <w:color w:val="0000FF"/>
            <w:u w:val="single" w:color="0000FF"/>
          </w:rPr>
          <w:t>org</w:t>
        </w:r>
      </w:hyperlink>
      <w:hyperlink r:id="rId177">
        <w:r>
          <w:rPr>
            <w:color w:val="0000FF"/>
            <w:u w:val="single" w:color="0000FF"/>
          </w:rPr>
          <w:t>/10.18093/0869</w:t>
        </w:r>
      </w:hyperlink>
      <w:hyperlink r:id="rId178">
        <w:r>
          <w:rPr>
            <w:color w:val="0000FF"/>
            <w:u w:val="single" w:color="0000FF"/>
          </w:rPr>
          <w:t>-</w:t>
        </w:r>
      </w:hyperlink>
      <w:hyperlink r:id="rId179">
        <w:r>
          <w:rPr>
            <w:color w:val="0000FF"/>
            <w:u w:val="single" w:color="0000FF"/>
          </w:rPr>
          <w:t>0189</w:t>
        </w:r>
      </w:hyperlink>
      <w:hyperlink r:id="rId180">
        <w:r>
          <w:rPr>
            <w:color w:val="0000FF"/>
            <w:u w:val="single" w:color="0000FF"/>
          </w:rPr>
          <w:t>-</w:t>
        </w:r>
      </w:hyperlink>
      <w:hyperlink r:id="rId181">
        <w:r>
          <w:rPr>
            <w:color w:val="0000FF"/>
            <w:u w:val="single" w:color="0000FF"/>
          </w:rPr>
          <w:t>2011</w:t>
        </w:r>
      </w:hyperlink>
      <w:hyperlink r:id="rId182"/>
      <w:hyperlink r:id="rId183">
        <w:r>
          <w:rPr>
            <w:color w:val="0000FF"/>
            <w:u w:val="single" w:color="0000FF"/>
          </w:rPr>
          <w:t>0</w:t>
        </w:r>
      </w:hyperlink>
      <w:hyperlink r:id="rId184">
        <w:r>
          <w:rPr>
            <w:color w:val="0000FF"/>
            <w:u w:val="single" w:color="0000FF"/>
          </w:rPr>
          <w:t>-</w:t>
        </w:r>
      </w:hyperlink>
      <w:hyperlink r:id="rId185">
        <w:r>
          <w:rPr>
            <w:color w:val="0000FF"/>
            <w:u w:val="single" w:color="0000FF"/>
          </w:rPr>
          <w:t>2</w:t>
        </w:r>
      </w:hyperlink>
      <w:hyperlink r:id="rId186">
        <w:r>
          <w:rPr>
            <w:color w:val="0000FF"/>
            <w:u w:val="single" w:color="0000FF"/>
          </w:rPr>
          <w:t>-</w:t>
        </w:r>
      </w:hyperlink>
      <w:hyperlink r:id="rId187">
        <w:r>
          <w:rPr>
            <w:color w:val="0000FF"/>
            <w:u w:val="single" w:color="0000FF"/>
          </w:rPr>
          <w:t>276</w:t>
        </w:r>
      </w:hyperlink>
      <w:hyperlink r:id="rId188">
        <w:r>
          <w:rPr>
            <w:color w:val="0000FF"/>
            <w:u w:val="single" w:color="0000FF"/>
          </w:rPr>
          <w:t>-</w:t>
        </w:r>
      </w:hyperlink>
      <w:hyperlink r:id="rId189">
        <w:r>
          <w:rPr>
            <w:color w:val="0000FF"/>
            <w:u w:val="single" w:color="0000FF"/>
          </w:rPr>
          <w:t>287</w:t>
        </w:r>
      </w:hyperlink>
      <w:hyperlink r:id="rId19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Murphy, K. R., Zeiger, R. S., Kosinski, M., Chipps, B., Mellon, M., Schatz, M., Lampl, K., Hanlon, J. T., &amp; Ramachandran, S. (2009). </w:t>
      </w:r>
      <w:r>
        <w:t xml:space="preserve">Test for respiratory and asthma control in kids (TRACK): a caregiver-completed questionnaire for preschool-aged children. The Journal of Allergy and Clinical Immunology, 123(4). </w:t>
      </w:r>
      <w:hyperlink r:id="rId191">
        <w:r>
          <w:rPr>
            <w:color w:val="0000FF"/>
            <w:u w:val="single" w:color="0000FF"/>
          </w:rPr>
          <w:t>https://doi.org/</w:t>
        </w:r>
        <w:r>
          <w:rPr>
            <w:color w:val="0000FF"/>
            <w:u w:val="single" w:color="0000FF"/>
          </w:rPr>
          <w:t>10.1016/J.JACI.2009.01.058</w:t>
        </w:r>
      </w:hyperlink>
      <w:hyperlink r:id="rId19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2" w:line="259" w:lineRule="auto"/>
        <w:ind w:right="841" w:hanging="689"/>
      </w:pPr>
      <w:r>
        <w:t xml:space="preserve">Papadopoulos, N. G., Arakawa, H., Carlsen, K. H., Custovic, A., Gern, J., Lemanske, R., </w:t>
      </w:r>
    </w:p>
    <w:p w:rsidR="00F15F71" w:rsidRDefault="00F974CD">
      <w:pPr>
        <w:spacing w:after="0" w:line="377" w:lineRule="auto"/>
        <w:ind w:left="716" w:right="859"/>
        <w:jc w:val="center"/>
      </w:pPr>
      <w:r>
        <w:t>Le Souef, P., Mäkelä, M., Roberts, G., Wong, G., Zar, H., Akdis, C. A., Bacha</w:t>
      </w:r>
      <w:r>
        <w:t xml:space="preserve">rier, L. B., Baraldi, E., Van Bever, H. P., De Blic, J., Boner, A., Burks, W., Casale, T. B., … Zeiger, </w:t>
      </w:r>
    </w:p>
    <w:p w:rsidR="00F15F71" w:rsidRDefault="00F974CD">
      <w:pPr>
        <w:spacing w:after="115" w:line="259" w:lineRule="auto"/>
        <w:ind w:left="651" w:right="841"/>
      </w:pPr>
      <w:r>
        <w:t>R. S. (2012). International consensus on (ICON) pediatric asthma. Allergy, 67(8), 976–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997. </w:t>
      </w:r>
      <w:hyperlink r:id="rId193">
        <w:r>
          <w:rPr>
            <w:color w:val="0000FF"/>
            <w:u w:val="single" w:color="0000FF"/>
          </w:rPr>
          <w:t>https://doi.org/10.1111/J.1398</w:t>
        </w:r>
      </w:hyperlink>
      <w:hyperlink r:id="rId194">
        <w:r>
          <w:rPr>
            <w:color w:val="0000FF"/>
            <w:u w:val="single" w:color="0000FF"/>
          </w:rPr>
          <w:t>-</w:t>
        </w:r>
      </w:hyperlink>
      <w:hyperlink r:id="rId195">
        <w:r>
          <w:rPr>
            <w:color w:val="0000FF"/>
            <w:u w:val="single" w:color="0000FF"/>
          </w:rPr>
          <w:t>9995.2012.02865.X</w:t>
        </w:r>
      </w:hyperlink>
      <w:hyperlink r:id="rId19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42" w:line="259" w:lineRule="auto"/>
        <w:ind w:right="841" w:hanging="689"/>
      </w:pPr>
      <w:r>
        <w:t xml:space="preserve">Bousquet, J., Boulet, L. P., Peters, M. J., Magnussen, H., Quiralte, J., Martinez-Aguilar, N. </w:t>
      </w:r>
    </w:p>
    <w:p w:rsidR="00F15F71" w:rsidRDefault="00F974CD">
      <w:pPr>
        <w:ind w:left="651" w:right="841"/>
      </w:pPr>
      <w:r>
        <w:t>E., &amp; Carlsheimer, Å. (2007). Budesonide/formoterol for maintenance and relief in uncontrolled as</w:t>
      </w:r>
      <w:r>
        <w:t xml:space="preserve">thma vs. high-dose salmeterol/fluticasone. Respiratory Medicine, 101(12), 2437–2446. </w:t>
      </w:r>
      <w:hyperlink r:id="rId197">
        <w:r>
          <w:rPr>
            <w:color w:val="0000FF"/>
            <w:u w:val="single" w:color="0000FF"/>
          </w:rPr>
          <w:t>https://doi.org/10.1016/J.RMED.2007.07.014</w:t>
        </w:r>
      </w:hyperlink>
      <w:hyperlink r:id="rId19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Buh</w:t>
      </w:r>
      <w:r>
        <w:t>l, R., Kuna, P., Peters, M. J., Andersson, T. L. G., Naya, I. P., Peterson, S., &amp; Rabe, K. F. (2012). The effect of budesonide/formoterol maintenance and reliever therapy on the risk of severe asthma exacerbations following episodes of high reliever use: a</w:t>
      </w:r>
      <w:r>
        <w:t xml:space="preserve">n exploratory analysis of two randomised, controlled studies with comparisons to standard therapy. Respiratory Research, 13(1). </w:t>
      </w:r>
      <w:hyperlink r:id="rId199">
        <w:r>
          <w:rPr>
            <w:color w:val="0000FF"/>
            <w:u w:val="single" w:color="0000FF"/>
          </w:rPr>
          <w:t>https://doi.org/10.1186/1465</w:t>
        </w:r>
      </w:hyperlink>
      <w:hyperlink r:id="rId200">
        <w:r>
          <w:rPr>
            <w:color w:val="0000FF"/>
            <w:u w:val="single" w:color="0000FF"/>
          </w:rPr>
          <w:t>-</w:t>
        </w:r>
      </w:hyperlink>
      <w:hyperlink r:id="rId201">
        <w:r>
          <w:rPr>
            <w:color w:val="0000FF"/>
            <w:u w:val="single" w:color="0000FF"/>
          </w:rPr>
          <w:t>9921</w:t>
        </w:r>
      </w:hyperlink>
      <w:hyperlink r:id="rId202">
        <w:r>
          <w:rPr>
            <w:color w:val="0000FF"/>
            <w:u w:val="single" w:color="0000FF"/>
          </w:rPr>
          <w:t>-</w:t>
        </w:r>
      </w:hyperlink>
      <w:hyperlink r:id="rId203">
        <w:r>
          <w:rPr>
            <w:color w:val="0000FF"/>
            <w:u w:val="single" w:color="0000FF"/>
          </w:rPr>
          <w:t>13</w:t>
        </w:r>
      </w:hyperlink>
      <w:hyperlink r:id="rId204">
        <w:r>
          <w:rPr>
            <w:color w:val="0000FF"/>
            <w:u w:val="single" w:color="0000FF"/>
          </w:rPr>
          <w:t>-</w:t>
        </w:r>
      </w:hyperlink>
      <w:hyperlink r:id="rId205">
        <w:r>
          <w:rPr>
            <w:color w:val="0000FF"/>
            <w:u w:val="single" w:color="0000FF"/>
          </w:rPr>
          <w:t>59</w:t>
        </w:r>
      </w:hyperlink>
      <w:hyperlink r:id="rId20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3" w:line="259" w:lineRule="auto"/>
        <w:ind w:right="841" w:hanging="689"/>
      </w:pPr>
      <w:r>
        <w:t xml:space="preserve">Albers, F. C., Licskai, C., Chanez, P., Bratton, D. J., Bradford, E. S., Yancey, S. W., Kwon, </w:t>
      </w:r>
    </w:p>
    <w:p w:rsidR="00F15F71" w:rsidRDefault="00F974CD">
      <w:pPr>
        <w:spacing w:line="358" w:lineRule="auto"/>
        <w:ind w:left="651" w:right="666"/>
        <w:jc w:val="left"/>
      </w:pPr>
      <w:r>
        <w:t>N., &amp; Quirce, S. (2019). Baselin</w:t>
      </w:r>
      <w:r>
        <w:t xml:space="preserve">e blood eosinophil count as a predictor of treatment response to the licensed dose of mepolizumab in severe eosinophilic asthma. Respiratory Medicine, 159. </w:t>
      </w:r>
      <w:hyperlink r:id="rId207">
        <w:r>
          <w:rPr>
            <w:color w:val="0000FF"/>
            <w:u w:val="single" w:color="0000FF"/>
          </w:rPr>
          <w:t>https://doi.org/10.1016/J.RMED.2019.10</w:t>
        </w:r>
        <w:r>
          <w:rPr>
            <w:color w:val="0000FF"/>
            <w:u w:val="single" w:color="0000FF"/>
          </w:rPr>
          <w:t>5806</w:t>
        </w:r>
      </w:hyperlink>
      <w:hyperlink r:id="rId20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Bush, A. (2018). Management of asthma in children. Minerva Pediatrica, 70(5), 444–457. </w:t>
      </w:r>
      <w:hyperlink r:id="rId209">
        <w:r>
          <w:rPr>
            <w:color w:val="0000FF"/>
            <w:u w:val="single" w:color="0000FF"/>
          </w:rPr>
          <w:t>https://doi.org/10.23736/S0026</w:t>
        </w:r>
      </w:hyperlink>
      <w:hyperlink r:id="rId210">
        <w:r>
          <w:rPr>
            <w:color w:val="0000FF"/>
            <w:u w:val="single" w:color="0000FF"/>
          </w:rPr>
          <w:t>-</w:t>
        </w:r>
      </w:hyperlink>
      <w:hyperlink r:id="rId211">
        <w:r>
          <w:rPr>
            <w:color w:val="0000FF"/>
            <w:u w:val="single" w:color="0000FF"/>
          </w:rPr>
          <w:t>4946.18.05351</w:t>
        </w:r>
      </w:hyperlink>
      <w:hyperlink r:id="rId212">
        <w:r>
          <w:rPr>
            <w:color w:val="0000FF"/>
            <w:u w:val="single" w:color="0000FF"/>
          </w:rPr>
          <w:t>-</w:t>
        </w:r>
      </w:hyperlink>
      <w:hyperlink r:id="rId213">
        <w:r>
          <w:rPr>
            <w:color w:val="0000FF"/>
            <w:u w:val="single" w:color="0000FF"/>
          </w:rPr>
          <w:t>3</w:t>
        </w:r>
      </w:hyperlink>
      <w:hyperlink r:id="rId21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Price, D. B., Rigazio, A., Campbell, J. D., Bleecker, E. R., Corrigan, C. J., Thomas, M., </w:t>
      </w:r>
    </w:p>
    <w:p w:rsidR="00F15F71" w:rsidRDefault="00F974CD">
      <w:pPr>
        <w:ind w:left="651" w:right="841"/>
      </w:pPr>
      <w:r>
        <w:t>Wenzel, S. E., Wilson, A. M., Small, M. B., Gopalan, G., Ashton, V. L., Bur</w:t>
      </w:r>
      <w:r>
        <w:t xml:space="preserve">den, A., Hillyer, E. V., Kerkhof, M., &amp; Pavord, I. D. (2015). Blood eosinophil count and prospective annual asthma disease burden: a UK cohort study. The Lancet. Respiratory Medicine, 3(11), 849–858. </w:t>
      </w:r>
      <w:hyperlink r:id="rId215">
        <w:r>
          <w:rPr>
            <w:color w:val="0000FF"/>
            <w:u w:val="single" w:color="0000FF"/>
          </w:rPr>
          <w:t>https://doi.org/10.1016/S2213</w:t>
        </w:r>
      </w:hyperlink>
      <w:hyperlink r:id="rId216">
        <w:r>
          <w:rPr>
            <w:color w:val="0000FF"/>
            <w:u w:val="single" w:color="0000FF"/>
          </w:rPr>
          <w:t>-</w:t>
        </w:r>
      </w:hyperlink>
      <w:hyperlink r:id="rId217">
        <w:r>
          <w:rPr>
            <w:color w:val="0000FF"/>
            <w:u w:val="single" w:color="0000FF"/>
          </w:rPr>
          <w:t>2600(15)00367</w:t>
        </w:r>
      </w:hyperlink>
      <w:hyperlink r:id="rId218">
        <w:r>
          <w:rPr>
            <w:color w:val="0000FF"/>
            <w:u w:val="single" w:color="0000FF"/>
          </w:rPr>
          <w:t>-</w:t>
        </w:r>
      </w:hyperlink>
      <w:hyperlink r:id="rId219">
        <w:r>
          <w:rPr>
            <w:color w:val="0000FF"/>
            <w:u w:val="single" w:color="0000FF"/>
          </w:rPr>
          <w:t>7</w:t>
        </w:r>
      </w:hyperlink>
      <w:hyperlink r:id="rId22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2" w:line="259" w:lineRule="auto"/>
        <w:ind w:right="841" w:hanging="689"/>
      </w:pPr>
      <w:r>
        <w:t xml:space="preserve">Kerkhof, M., Tran, T. N., Berge, M. van den, Brusselle, G. G., Gopalan, G., Jones, R. C. </w:t>
      </w:r>
    </w:p>
    <w:p w:rsidR="00F15F71" w:rsidRDefault="00F974CD">
      <w:pPr>
        <w:spacing w:after="28"/>
        <w:ind w:left="651" w:right="841"/>
      </w:pPr>
      <w:r>
        <w:t>M., Kocks, J. W. H., Menzies-Gow, A., Nue</w:t>
      </w:r>
      <w:r>
        <w:t xml:space="preserve">vo, J., Pavord, I. D., Rastogi, S., &amp; Price, D. B. (2018). Association between blood eosinophil count and risk of readmission for patients with asthma: Historical cohort study. PloS One, 13(7). </w:t>
      </w:r>
      <w:hyperlink r:id="rId221">
        <w:r>
          <w:rPr>
            <w:color w:val="0000FF"/>
            <w:u w:val="single" w:color="0000FF"/>
          </w:rPr>
          <w:t>https://doi.org/10.1371/JOURNAL.PONE.0201143</w:t>
        </w:r>
      </w:hyperlink>
      <w:hyperlink r:id="rId22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Xepapadaki, P., Adachi, Y., Pozo Beltrán, C. F., El-Sayed, Z. A., Gómez, R. M., Hossny, </w:t>
      </w:r>
    </w:p>
    <w:p w:rsidR="00F15F71" w:rsidRDefault="00F974CD">
      <w:pPr>
        <w:ind w:left="651" w:right="841"/>
      </w:pPr>
      <w:r>
        <w:t>E., Filipovic, I., Le Souef, P., Morais-Almeida, M., Mi</w:t>
      </w:r>
      <w:r>
        <w:t xml:space="preserve">ligkos, M., Nieto, A., Phipatanakul, W., Pitrez, P. M., Wang, J. Y., Wong, G. W. K., &amp; Papadopoulos, N. G. (2022). Utility of biomarkers in the diagnosis and monitoring of asthmatic children. The World Allergy Organization Journal, 16(1). </w:t>
      </w:r>
      <w:hyperlink r:id="rId223">
        <w:r>
          <w:rPr>
            <w:color w:val="0000FF"/>
            <w:u w:val="single" w:color="0000FF"/>
          </w:rPr>
          <w:t>https://doi.org/10.1016/J.WAOJOU.2022.100727</w:t>
        </w:r>
      </w:hyperlink>
      <w:hyperlink r:id="rId22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Bonato, M., Bazzan, E., Snijders, D., Turato, G., Biondini, D., Tinè, M., Cosio, M. G., Barbato, A., Saetta, M., &amp; Baraldo, S. (2020). Blood eosinophils relate to atopy and not to tissue eosinophils in wheezing children. Allergy, 75(6), 1497–1501. </w:t>
      </w:r>
      <w:hyperlink r:id="rId225">
        <w:r>
          <w:rPr>
            <w:color w:val="0000FF"/>
            <w:u w:val="single" w:color="0000FF"/>
          </w:rPr>
          <w:t>https://doi.org/10.1111/ALL.14170</w:t>
        </w:r>
      </w:hyperlink>
      <w:hyperlink r:id="rId22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3" w:line="259" w:lineRule="auto"/>
        <w:ind w:right="841" w:hanging="689"/>
      </w:pPr>
      <w:r>
        <w:t xml:space="preserve">Diagnosis and Management of Difficult-to-treat &amp; Severe Asthma - Global Initiative for </w:t>
      </w:r>
    </w:p>
    <w:p w:rsidR="00F15F71" w:rsidRDefault="00F974CD">
      <w:pPr>
        <w:ind w:left="651" w:right="841"/>
      </w:pPr>
      <w:r>
        <w:t xml:space="preserve">Asthma </w:t>
      </w:r>
      <w:r>
        <w:tab/>
        <w:t xml:space="preserve">- </w:t>
      </w:r>
      <w:r>
        <w:tab/>
        <w:t xml:space="preserve">GINA. </w:t>
      </w:r>
      <w:r>
        <w:tab/>
        <w:t xml:space="preserve">(n.d.). </w:t>
      </w:r>
      <w:r>
        <w:tab/>
        <w:t>Retrieve</w:t>
      </w:r>
      <w:r>
        <w:t xml:space="preserve">d </w:t>
      </w:r>
      <w:r>
        <w:tab/>
        <w:t xml:space="preserve">February </w:t>
      </w:r>
      <w:r>
        <w:tab/>
        <w:t xml:space="preserve">9, </w:t>
      </w:r>
      <w:r>
        <w:tab/>
        <w:t xml:space="preserve">2024, </w:t>
      </w:r>
      <w:r>
        <w:tab/>
        <w:t xml:space="preserve">from </w:t>
      </w:r>
      <w:hyperlink r:id="rId227">
        <w:r>
          <w:rPr>
            <w:color w:val="0000FF"/>
            <w:u w:val="single" w:color="0000FF"/>
          </w:rPr>
          <w:t>https://ginasthma.org/severeasthma/</w:t>
        </w:r>
      </w:hyperlink>
      <w:hyperlink r:id="rId22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Smith, A. D., Cowan, J. O., Filsell, S., McLachlan, C., Monti-</w:t>
      </w:r>
      <w:r>
        <w:t xml:space="preserve">Sheehan, G., Jackson, P., &amp; Taylor, D. R. (2004). Diagnosing asthma: comparisons between exhaled nitric oxide measurements and conventional tests. American Journal of Respiratory and Critical Care Medicine, 169(4), 473–478. </w:t>
      </w:r>
      <w:hyperlink r:id="rId229">
        <w:r>
          <w:rPr>
            <w:color w:val="0000FF"/>
            <w:u w:val="single" w:color="0000FF"/>
          </w:rPr>
          <w:t>https://doi.org/10.1164/RCCM.200310</w:t>
        </w:r>
      </w:hyperlink>
      <w:hyperlink r:id="rId230">
        <w:r>
          <w:rPr>
            <w:color w:val="0000FF"/>
            <w:u w:val="single" w:color="0000FF"/>
          </w:rPr>
          <w:t>-</w:t>
        </w:r>
      </w:hyperlink>
      <w:hyperlink r:id="rId231">
        <w:r>
          <w:rPr>
            <w:color w:val="0000FF"/>
            <w:u w:val="single" w:color="0000FF"/>
          </w:rPr>
          <w:t>1376OC</w:t>
        </w:r>
      </w:hyperlink>
      <w:hyperlink r:id="rId23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04"/>
        <w:ind w:right="841" w:hanging="689"/>
      </w:pPr>
      <w:r>
        <w:t>Fabbri, L. M., Romagnoli, M., Corbetta, L., Casoni, G., Busljetic, K., Turato, G., Ligabue, G., Ciaccia, A., Saetta, M., &amp; Papi, A. (2003). Differences in airway inflammation in patients with fixed airflow obstruction due to asthma or chronic obstructi</w:t>
      </w:r>
      <w:r>
        <w:t xml:space="preserve">ve pulmonary disease. American Journal of Respiratory and Critical Care Medicine, 167(3), 418–424.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233">
        <w:r>
          <w:rPr>
            <w:color w:val="0000FF"/>
            <w:u w:val="single" w:color="0000FF"/>
          </w:rPr>
          <w:t>https://doi.org/10.1164/RCCM.200203</w:t>
        </w:r>
      </w:hyperlink>
      <w:hyperlink r:id="rId234">
        <w:r>
          <w:rPr>
            <w:color w:val="0000FF"/>
            <w:u w:val="single" w:color="0000FF"/>
          </w:rPr>
          <w:t>-</w:t>
        </w:r>
      </w:hyperlink>
      <w:hyperlink r:id="rId235">
        <w:r>
          <w:rPr>
            <w:color w:val="0000FF"/>
            <w:u w:val="single" w:color="0000FF"/>
          </w:rPr>
          <w:t>183OC</w:t>
        </w:r>
      </w:hyperlink>
      <w:hyperlink r:id="rId23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Korevaar, D. A., Westerhof, G. A., Wang, J., Cohen, J. F., Spijker, R., Sterk, P. J., Bel, E. H., &amp; Bossuyt, P. M. M. (2015).</w:t>
      </w:r>
      <w:r>
        <w:t xml:space="preserve"> Diagnostic accuracy of minimally invasive markers for detection of airway eosinophilia in asthma: a systematic review and meta-analysis. The </w:t>
      </w:r>
    </w:p>
    <w:p w:rsidR="00F15F71" w:rsidRDefault="00F974CD">
      <w:pPr>
        <w:ind w:left="651" w:right="841"/>
      </w:pPr>
      <w:r>
        <w:t xml:space="preserve">Lancet. </w:t>
      </w:r>
      <w:r>
        <w:tab/>
        <w:t xml:space="preserve">Respiratory </w:t>
      </w:r>
      <w:r>
        <w:tab/>
        <w:t xml:space="preserve">Medicine, </w:t>
      </w:r>
      <w:r>
        <w:tab/>
        <w:t xml:space="preserve">3(4), </w:t>
      </w:r>
      <w:r>
        <w:tab/>
        <w:t xml:space="preserve">290–300. </w:t>
      </w:r>
      <w:r>
        <w:tab/>
      </w:r>
      <w:hyperlink r:id="rId237">
        <w:r>
          <w:rPr>
            <w:color w:val="0000FF"/>
            <w:u w:val="single" w:color="0000FF"/>
          </w:rPr>
          <w:t>https://doi.org/10.1016/S2213</w:t>
        </w:r>
      </w:hyperlink>
      <w:hyperlink r:id="rId238"/>
      <w:hyperlink r:id="rId239">
        <w:r>
          <w:rPr>
            <w:color w:val="0000FF"/>
            <w:u w:val="single" w:color="0000FF"/>
          </w:rPr>
          <w:t>2600(15)00050</w:t>
        </w:r>
      </w:hyperlink>
      <w:hyperlink r:id="rId240">
        <w:r>
          <w:rPr>
            <w:color w:val="0000FF"/>
            <w:u w:val="single" w:color="0000FF"/>
          </w:rPr>
          <w:t>-</w:t>
        </w:r>
      </w:hyperlink>
      <w:hyperlink r:id="rId241">
        <w:r>
          <w:rPr>
            <w:color w:val="0000FF"/>
            <w:u w:val="single" w:color="0000FF"/>
          </w:rPr>
          <w:t>8</w:t>
        </w:r>
      </w:hyperlink>
      <w:hyperlink r:id="rId24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Barcellos, V. A., dos Santos, V. C. H., Moreira, M. Â. F., &amp; Dalcin, P. de T. R. (2023). Asthma control and sputum eosinophils in adult pat</w:t>
      </w:r>
      <w:r>
        <w:t xml:space="preserve">ients: a cross-sectional study in southern Brazil. Scientific Reports, 13(1). </w:t>
      </w:r>
      <w:hyperlink r:id="rId243">
        <w:r>
          <w:rPr>
            <w:color w:val="0000FF"/>
            <w:u w:val="single" w:color="0000FF"/>
          </w:rPr>
          <w:t>https://doi.org/10.1038/S4</w:t>
        </w:r>
      </w:hyperlink>
      <w:hyperlink r:id="rId244">
        <w:r>
          <w:rPr>
            <w:color w:val="0000FF"/>
            <w:u w:val="single" w:color="0000FF"/>
          </w:rPr>
          <w:t>1598</w:t>
        </w:r>
      </w:hyperlink>
      <w:hyperlink r:id="rId245">
        <w:r>
          <w:rPr>
            <w:color w:val="0000FF"/>
            <w:u w:val="single" w:color="0000FF"/>
          </w:rPr>
          <w:t>-</w:t>
        </w:r>
      </w:hyperlink>
      <w:hyperlink r:id="rId246">
        <w:r>
          <w:rPr>
            <w:color w:val="0000FF"/>
            <w:u w:val="single" w:color="0000FF"/>
          </w:rPr>
          <w:t>023</w:t>
        </w:r>
      </w:hyperlink>
      <w:hyperlink r:id="rId247">
        <w:r>
          <w:rPr>
            <w:color w:val="0000FF"/>
            <w:u w:val="single" w:color="0000FF"/>
          </w:rPr>
          <w:t>-</w:t>
        </w:r>
      </w:hyperlink>
      <w:hyperlink r:id="rId248">
        <w:r>
          <w:rPr>
            <w:color w:val="0000FF"/>
            <w:u w:val="single" w:color="0000FF"/>
          </w:rPr>
          <w:t>48381</w:t>
        </w:r>
      </w:hyperlink>
      <w:hyperlink r:id="rId249">
        <w:r>
          <w:rPr>
            <w:color w:val="0000FF"/>
            <w:u w:val="single" w:color="0000FF"/>
          </w:rPr>
          <w:t>-</w:t>
        </w:r>
      </w:hyperlink>
      <w:hyperlink r:id="rId250">
        <w:r>
          <w:rPr>
            <w:color w:val="0000FF"/>
            <w:u w:val="single" w:color="0000FF"/>
          </w:rPr>
          <w:t>1</w:t>
        </w:r>
      </w:hyperlink>
      <w:hyperlink r:id="rId25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Talini, D., Novelli, F., Bacci, E., Bartoli, M., Cianchetti, S., Cos</w:t>
      </w:r>
      <w:r>
        <w:t xml:space="preserve">ta, F., Dente, F. L., Franco, A. Di, Latorre, M., Malagrinò, L., Vagaggini, B., Celi, A., &amp; Paggiaro, P. (2015). Sputum eosinophilia is a determinant of FEV1 decline in occupational asthma: results of an observational study. BMJ Open, 5(1). </w:t>
      </w:r>
      <w:hyperlink r:id="rId252">
        <w:r>
          <w:rPr>
            <w:color w:val="0000FF"/>
            <w:u w:val="single" w:color="0000FF"/>
          </w:rPr>
          <w:t>https://doi.org/10.1136/BMJOPEN</w:t>
        </w:r>
      </w:hyperlink>
      <w:hyperlink r:id="rId253">
        <w:r>
          <w:rPr>
            <w:color w:val="0000FF"/>
            <w:u w:val="single" w:color="0000FF"/>
          </w:rPr>
          <w:t>-</w:t>
        </w:r>
      </w:hyperlink>
      <w:hyperlink r:id="rId254">
        <w:r>
          <w:rPr>
            <w:color w:val="0000FF"/>
            <w:u w:val="single" w:color="0000FF"/>
          </w:rPr>
          <w:t>2014</w:t>
        </w:r>
      </w:hyperlink>
      <w:hyperlink r:id="rId255">
        <w:r>
          <w:rPr>
            <w:color w:val="0000FF"/>
            <w:u w:val="single" w:color="0000FF"/>
          </w:rPr>
          <w:t>-</w:t>
        </w:r>
      </w:hyperlink>
      <w:hyperlink r:id="rId256">
        <w:r>
          <w:rPr>
            <w:color w:val="0000FF"/>
            <w:u w:val="single" w:color="0000FF"/>
          </w:rPr>
          <w:t>005748</w:t>
        </w:r>
      </w:hyperlink>
      <w:hyperlink r:id="rId25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Parameswaran, K., Leigh, R., &amp; Hargreave, F. E. (1999). Sputum eosinophil count to assess compliance wit</w:t>
      </w:r>
      <w:r>
        <w:t xml:space="preserve">h corticosteroid therapy in asthma. The Journal of Allergy and Clinical Immunology, 104(2 Pt 1), 502–503. </w:t>
      </w:r>
      <w:hyperlink r:id="rId258">
        <w:r>
          <w:rPr>
            <w:color w:val="0000FF"/>
            <w:u w:val="single" w:color="0000FF"/>
          </w:rPr>
          <w:t>https://doi.org/10.1016/S0091</w:t>
        </w:r>
      </w:hyperlink>
      <w:hyperlink r:id="rId259">
        <w:r>
          <w:rPr>
            <w:color w:val="0000FF"/>
            <w:u w:val="single" w:color="0000FF"/>
          </w:rPr>
          <w:t>-</w:t>
        </w:r>
      </w:hyperlink>
      <w:hyperlink r:id="rId260">
        <w:r>
          <w:rPr>
            <w:color w:val="0000FF"/>
            <w:u w:val="single" w:color="0000FF"/>
          </w:rPr>
          <w:t>6749(99)70402</w:t>
        </w:r>
      </w:hyperlink>
      <w:hyperlink r:id="rId261">
        <w:r>
          <w:rPr>
            <w:color w:val="0000FF"/>
            <w:u w:val="single" w:color="0000FF"/>
          </w:rPr>
          <w:t>-</w:t>
        </w:r>
      </w:hyperlink>
      <w:hyperlink r:id="rId262">
        <w:r>
          <w:rPr>
            <w:color w:val="0000FF"/>
            <w:u w:val="single" w:color="0000FF"/>
          </w:rPr>
          <w:t>1</w:t>
        </w:r>
      </w:hyperlink>
      <w:hyperlink r:id="rId26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Atkinson, C. E., Schworer, S. A., Matthews, K., Mills, K., Neighbors, K., Burbank, A. J., &amp; Hernandez, M. L. (2022). Omalizumab is associated with improved asthma outcomes in children and adolescents with serum immunoglobulin</w:t>
      </w:r>
      <w:r>
        <w:t xml:space="preserve"> E above dosing guidelines. The Journal of Allergy and Clinical Immunology. In Practice, 10(10), 2756-2757.e1. </w:t>
      </w:r>
      <w:hyperlink r:id="rId264">
        <w:r>
          <w:rPr>
            <w:color w:val="0000FF"/>
            <w:u w:val="single" w:color="0000FF"/>
          </w:rPr>
          <w:t>https://doi.org/10.1016/J.JAIP.2022.06.041</w:t>
        </w:r>
      </w:hyperlink>
      <w:hyperlink r:id="rId26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1"/>
        <w:ind w:right="841" w:hanging="689"/>
      </w:pPr>
      <w:r>
        <w:t xml:space="preserve">Hew, M., Gillman, A., Sutherland, M., Wark, P., Bowden, J., Guo, M., Reddel, H. K., Jenkins, C., Marks, G. B., Thien, F., Rimmer, J., Katsoulotos, G. P., Cook, M., Yang, I., </w:t>
      </w:r>
    </w:p>
    <w:p w:rsidR="00F15F71" w:rsidRDefault="00F974CD">
      <w:pPr>
        <w:ind w:left="651" w:right="841"/>
      </w:pPr>
      <w:r>
        <w:t xml:space="preserve">Katelaris, C., Bowler, S., Langton, D., Wright, C., Bint, </w:t>
      </w:r>
      <w:r>
        <w:t xml:space="preserve">M., … Gibson, P. G. (2016). Real-life effectiveness of omalizumab in severe allergic asthma above the recommended dosing range criteria. Clinical and Experimental Allergy: Journal of the British Society for </w:t>
      </w:r>
    </w:p>
    <w:p w:rsidR="00F15F71" w:rsidRDefault="00F974CD">
      <w:pPr>
        <w:ind w:left="651" w:right="841"/>
      </w:pPr>
      <w:r>
        <w:t xml:space="preserve">Allergy </w:t>
      </w:r>
      <w:r>
        <w:tab/>
        <w:t xml:space="preserve">and </w:t>
      </w:r>
      <w:r>
        <w:tab/>
        <w:t xml:space="preserve">Clinical </w:t>
      </w:r>
      <w:r>
        <w:tab/>
        <w:t xml:space="preserve">Immunology, </w:t>
      </w:r>
      <w:r>
        <w:tab/>
        <w:t xml:space="preserve">46(11), </w:t>
      </w:r>
      <w:r>
        <w:tab/>
        <w:t>14</w:t>
      </w:r>
      <w:r>
        <w:t xml:space="preserve">07–1415. </w:t>
      </w:r>
      <w:hyperlink r:id="rId266">
        <w:r>
          <w:rPr>
            <w:color w:val="0000FF"/>
            <w:u w:val="single" w:color="0000FF"/>
          </w:rPr>
          <w:t>https</w:t>
        </w:r>
      </w:hyperlink>
      <w:hyperlink r:id="rId267">
        <w:r>
          <w:rPr>
            <w:color w:val="0000FF"/>
            <w:u w:val="single" w:color="0000FF"/>
          </w:rPr>
          <w:t>://</w:t>
        </w:r>
      </w:hyperlink>
      <w:hyperlink r:id="rId268">
        <w:r>
          <w:rPr>
            <w:color w:val="0000FF"/>
            <w:u w:val="single" w:color="0000FF"/>
          </w:rPr>
          <w:t>doi</w:t>
        </w:r>
      </w:hyperlink>
      <w:hyperlink r:id="rId269">
        <w:r>
          <w:rPr>
            <w:color w:val="0000FF"/>
            <w:u w:val="single" w:color="0000FF"/>
          </w:rPr>
          <w:t>.</w:t>
        </w:r>
      </w:hyperlink>
      <w:hyperlink r:id="rId270">
        <w:r>
          <w:rPr>
            <w:color w:val="0000FF"/>
            <w:u w:val="single" w:color="0000FF"/>
          </w:rPr>
          <w:t>org</w:t>
        </w:r>
      </w:hyperlink>
      <w:hyperlink r:id="rId271">
        <w:r>
          <w:rPr>
            <w:color w:val="0000FF"/>
            <w:u w:val="single" w:color="0000FF"/>
          </w:rPr>
          <w:t>/10.1111/</w:t>
        </w:r>
      </w:hyperlink>
      <w:hyperlink r:id="rId272">
        <w:r>
          <w:rPr>
            <w:color w:val="0000FF"/>
            <w:u w:val="single" w:color="0000FF"/>
          </w:rPr>
          <w:t>CEA</w:t>
        </w:r>
      </w:hyperlink>
      <w:hyperlink r:id="rId273">
        <w:r>
          <w:rPr>
            <w:color w:val="0000FF"/>
            <w:u w:val="single" w:color="0000FF"/>
          </w:rPr>
          <w:t>.12774</w:t>
        </w:r>
      </w:hyperlink>
      <w:hyperlink r:id="rId27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8"/>
        <w:ind w:right="841" w:hanging="689"/>
      </w:pPr>
      <w:r>
        <w:t xml:space="preserve">Хаитов Р.М. (2009). Аллергология и иммунология: национальное руководство / Под ред. Хаитова Р.М., Ильиной Н.И. Москва: ГЭОТАР-Медиа. 2009. 656 с. </w:t>
      </w:r>
    </w:p>
    <w:p w:rsidR="00F15F71" w:rsidRDefault="00F974CD">
      <w:pPr>
        <w:numPr>
          <w:ilvl w:val="0"/>
          <w:numId w:val="31"/>
        </w:numPr>
        <w:spacing w:after="114" w:line="259" w:lineRule="auto"/>
        <w:ind w:right="841" w:hanging="689"/>
      </w:pPr>
      <w:r>
        <w:t xml:space="preserve">Cox L. (2011). Overview of serological-specific IgE </w:t>
      </w:r>
      <w:r>
        <w:t xml:space="preserve">antibody testing in children. Current </w:t>
      </w:r>
    </w:p>
    <w:p w:rsidR="00F15F71" w:rsidRDefault="00F974CD">
      <w:pPr>
        <w:spacing w:line="259" w:lineRule="auto"/>
        <w:ind w:left="651" w:right="841"/>
      </w:pPr>
      <w:r>
        <w:t xml:space="preserve">Allergy and Asthma Reports, 11(6), 447–453. https://doi.org/10.1007/S11882-011-0226-3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Ansotegui, I. J., Melioli, G., Canonica, G. W., Gómez, R. M., Jensen-Jarolim, E., Ebisawa, M., Luengo, O., Caraballo, L., Passalac</w:t>
      </w:r>
      <w:r>
        <w:t xml:space="preserve">qua, G., Poulsen, L. K., Savi, E., Zuberbier, T., </w:t>
      </w:r>
    </w:p>
    <w:p w:rsidR="00F15F71" w:rsidRDefault="00F974CD">
      <w:pPr>
        <w:ind w:left="651" w:right="841"/>
      </w:pPr>
      <w:r>
        <w:t>Villa, E., Oppenheimer, J., Asero, R., Bernstein, J., Bousquet, J., Cardona, V., Cox, L., … Yáñez, A. (2020). A WAO - ARIA - GA2LEN consensus document on molecular-based allergy diagnosis (PAMD@): Update 2</w:t>
      </w:r>
      <w:r>
        <w:t xml:space="preserve">020. The World Allergy Organization Journal, 13(2). </w:t>
      </w:r>
      <w:hyperlink r:id="rId275">
        <w:r>
          <w:rPr>
            <w:color w:val="0000FF"/>
            <w:u w:val="single" w:color="0000FF"/>
          </w:rPr>
          <w:t>https://doi.org/10.1016/J.WAOJOU.2019.100091</w:t>
        </w:r>
      </w:hyperlink>
      <w:hyperlink r:id="rId27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4"/>
        <w:ind w:right="841" w:hanging="689"/>
      </w:pPr>
      <w:r>
        <w:t>Louis, R., Satia, I., Ojangure</w:t>
      </w:r>
      <w:r>
        <w:t xml:space="preserve">n, I., Schleich, F., Bonini, M., Tonia, T., Rigau, D., Brinke, A. ten, Buhl, R., Loukides, S., Kocks, J. W. H., Boulet, L. P., Bourdin, A., Coleman, C., </w:t>
      </w:r>
    </w:p>
    <w:p w:rsidR="00F15F71" w:rsidRDefault="00F974CD">
      <w:pPr>
        <w:ind w:left="651" w:right="841"/>
      </w:pPr>
      <w:r>
        <w:t>Needham, K., Thomas, M., Idzko, M., Papi, A., Porsbjerg, C., … Usmani, O. S. (2022). European Respirat</w:t>
      </w:r>
      <w:r>
        <w:t xml:space="preserve">ory Society Guidelines for the Diagnosis of Asthma in Adults. The European Respiratory Journal, 60(3). </w:t>
      </w:r>
      <w:hyperlink r:id="rId277">
        <w:r>
          <w:rPr>
            <w:color w:val="0000FF"/>
            <w:u w:val="single" w:color="0000FF"/>
          </w:rPr>
          <w:t>https://doi.org/10.1183/13993003.01585</w:t>
        </w:r>
      </w:hyperlink>
      <w:hyperlink r:id="rId278">
        <w:r>
          <w:rPr>
            <w:color w:val="0000FF"/>
            <w:u w:val="single" w:color="0000FF"/>
          </w:rPr>
          <w:t>-</w:t>
        </w:r>
      </w:hyperlink>
      <w:hyperlink r:id="rId279">
        <w:r>
          <w:rPr>
            <w:color w:val="0000FF"/>
            <w:u w:val="single" w:color="0000FF"/>
          </w:rPr>
          <w:t>2021</w:t>
        </w:r>
      </w:hyperlink>
      <w:hyperlink r:id="rId28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Azad, M. B., Chan-Yeung, M., Chan, E. S., Dytnerski, A. M., Kozyrskyj, A. L., Ramsey, C., &amp; Becker, A. B. (2016)</w:t>
      </w:r>
      <w:r>
        <w:t xml:space="preserve">. Wheezing Patterns in Early Childhood and the Risk of Respiratory and Allergic Disease in Adolescence. JAMA Pediatrics, 170(4), 393–395. </w:t>
      </w:r>
      <w:hyperlink r:id="rId281">
        <w:r>
          <w:rPr>
            <w:color w:val="0000FF"/>
            <w:u w:val="single" w:color="0000FF"/>
          </w:rPr>
          <w:t>https://doi.org/10.1001/JAMAPEDIATRICS.201</w:t>
        </w:r>
      </w:hyperlink>
      <w:hyperlink r:id="rId282">
        <w:r>
          <w:rPr>
            <w:color w:val="0000FF"/>
            <w:u w:val="single" w:color="0000FF"/>
          </w:rPr>
          <w:t>5.4127</w:t>
        </w:r>
      </w:hyperlink>
      <w:hyperlink r:id="rId28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3"/>
        <w:ind w:right="841" w:hanging="689"/>
      </w:pPr>
      <w:r>
        <w:t>Nowak R.M., Tomlanovich M.C., Sarkar D.D., Kvale P.A., Anderson J.A. Arterial blood gases and pulmonary function testing</w:t>
      </w:r>
      <w:r>
        <w:t xml:space="preserve"> in acute bronchial asthma. Predicting patient outcomes. JAMA 1983; 249: 2043–2046. </w:t>
      </w:r>
    </w:p>
    <w:p w:rsidR="00F15F71" w:rsidRDefault="00F974CD">
      <w:pPr>
        <w:numPr>
          <w:ilvl w:val="0"/>
          <w:numId w:val="31"/>
        </w:numPr>
        <w:spacing w:after="27"/>
        <w:ind w:right="841" w:hanging="689"/>
      </w:pPr>
      <w:r>
        <w:t xml:space="preserve">Федеральные клинические рекомендации. Первичные иммунодефициты с преимущественной недостаточностью синтеза антител. РААКИ. Национальная </w:t>
      </w:r>
    </w:p>
    <w:p w:rsidR="00F15F71" w:rsidRDefault="00F974CD">
      <w:pPr>
        <w:spacing w:after="33"/>
        <w:ind w:left="651" w:right="841"/>
      </w:pPr>
      <w:r>
        <w:t>Ассоциация Экспертов в области Пер</w:t>
      </w:r>
      <w:r>
        <w:t xml:space="preserve">вичных Иммунодефицитов. 2024г. Retrieved February 9, 2024, </w:t>
      </w:r>
      <w:hyperlink r:id="rId284">
        <w:r>
          <w:rPr>
            <w:color w:val="0000FF"/>
            <w:u w:val="single" w:color="0000FF"/>
          </w:rPr>
          <w:t>https</w:t>
        </w:r>
      </w:hyperlink>
      <w:hyperlink r:id="rId285">
        <w:r>
          <w:rPr>
            <w:color w:val="0000FF"/>
            <w:u w:val="single" w:color="0000FF"/>
          </w:rPr>
          <w:t>://</w:t>
        </w:r>
      </w:hyperlink>
      <w:hyperlink r:id="rId286">
        <w:r>
          <w:rPr>
            <w:color w:val="0000FF"/>
            <w:u w:val="single" w:color="0000FF"/>
          </w:rPr>
          <w:t>cr</w:t>
        </w:r>
      </w:hyperlink>
      <w:hyperlink r:id="rId287">
        <w:r>
          <w:rPr>
            <w:color w:val="0000FF"/>
            <w:u w:val="single" w:color="0000FF"/>
          </w:rPr>
          <w:t>.</w:t>
        </w:r>
      </w:hyperlink>
      <w:hyperlink r:id="rId288">
        <w:r>
          <w:rPr>
            <w:color w:val="0000FF"/>
            <w:u w:val="single" w:color="0000FF"/>
          </w:rPr>
          <w:t>minzdrav</w:t>
        </w:r>
      </w:hyperlink>
      <w:hyperlink r:id="rId289">
        <w:r>
          <w:rPr>
            <w:color w:val="0000FF"/>
            <w:u w:val="single" w:color="0000FF"/>
          </w:rPr>
          <w:t>.</w:t>
        </w:r>
      </w:hyperlink>
      <w:hyperlink r:id="rId290">
        <w:r>
          <w:rPr>
            <w:color w:val="0000FF"/>
            <w:u w:val="single" w:color="0000FF"/>
          </w:rPr>
          <w:t>gov</w:t>
        </w:r>
      </w:hyperlink>
      <w:hyperlink r:id="rId291">
        <w:r>
          <w:rPr>
            <w:color w:val="0000FF"/>
            <w:u w:val="single" w:color="0000FF"/>
          </w:rPr>
          <w:t>.</w:t>
        </w:r>
      </w:hyperlink>
      <w:hyperlink r:id="rId292">
        <w:r>
          <w:rPr>
            <w:color w:val="0000FF"/>
            <w:u w:val="single" w:color="0000FF"/>
          </w:rPr>
          <w:t>ru</w:t>
        </w:r>
      </w:hyperlink>
      <w:hyperlink r:id="rId293">
        <w:r>
          <w:rPr>
            <w:color w:val="0000FF"/>
            <w:u w:val="single" w:color="0000FF"/>
          </w:rPr>
          <w:t>/</w:t>
        </w:r>
      </w:hyperlink>
      <w:hyperlink r:id="rId294">
        <w:r>
          <w:rPr>
            <w:color w:val="0000FF"/>
            <w:u w:val="single" w:color="0000FF"/>
          </w:rPr>
          <w:t>schema</w:t>
        </w:r>
      </w:hyperlink>
      <w:hyperlink r:id="rId295">
        <w:r>
          <w:rPr>
            <w:color w:val="0000FF"/>
            <w:u w:val="single" w:color="0000FF"/>
          </w:rPr>
          <w:t>/735_1</w:t>
        </w:r>
      </w:hyperlink>
      <w:hyperlink r:id="rId29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2"/>
        <w:ind w:right="841" w:hanging="689"/>
      </w:pPr>
      <w:r>
        <w:t>Чучалин А.Г. Болезни, ассоциированные с иммуноглобулином G. Терапевтический архив. 2018. Т. 90. №3. c.4-9.</w:t>
      </w:r>
      <w:hyperlink r:id="rId297">
        <w:r>
          <w:t xml:space="preserve"> </w:t>
        </w:r>
      </w:hyperlink>
      <w:hyperlink r:id="rId298">
        <w:r>
          <w:rPr>
            <w:color w:val="0000FF"/>
            <w:u w:val="single" w:color="0000FF"/>
          </w:rPr>
          <w:t>https://doi.org/10.18093/0869</w:t>
        </w:r>
      </w:hyperlink>
      <w:hyperlink r:id="rId299">
        <w:r>
          <w:rPr>
            <w:color w:val="0000FF"/>
            <w:u w:val="single" w:color="0000FF"/>
          </w:rPr>
          <w:t>-</w:t>
        </w:r>
      </w:hyperlink>
      <w:hyperlink r:id="rId300">
        <w:r>
          <w:rPr>
            <w:color w:val="0000FF"/>
            <w:u w:val="single" w:color="0000FF"/>
          </w:rPr>
          <w:t>0189</w:t>
        </w:r>
      </w:hyperlink>
      <w:hyperlink r:id="rId301">
        <w:r>
          <w:rPr>
            <w:color w:val="0000FF"/>
            <w:u w:val="single" w:color="0000FF"/>
          </w:rPr>
          <w:t>-</w:t>
        </w:r>
      </w:hyperlink>
      <w:hyperlink r:id="rId302">
        <w:r>
          <w:rPr>
            <w:color w:val="0000FF"/>
            <w:u w:val="single" w:color="0000FF"/>
          </w:rPr>
          <w:t>2017</w:t>
        </w:r>
      </w:hyperlink>
      <w:hyperlink r:id="rId303">
        <w:r>
          <w:rPr>
            <w:color w:val="0000FF"/>
            <w:u w:val="single" w:color="0000FF"/>
          </w:rPr>
          <w:t>-</w:t>
        </w:r>
      </w:hyperlink>
      <w:hyperlink r:id="rId304">
        <w:r>
          <w:rPr>
            <w:color w:val="0000FF"/>
            <w:u w:val="single" w:color="0000FF"/>
          </w:rPr>
          <w:t>27</w:t>
        </w:r>
      </w:hyperlink>
      <w:hyperlink r:id="rId305">
        <w:r>
          <w:rPr>
            <w:color w:val="0000FF"/>
            <w:u w:val="single" w:color="0000FF"/>
          </w:rPr>
          <w:t>-</w:t>
        </w:r>
      </w:hyperlink>
      <w:hyperlink r:id="rId306">
        <w:r>
          <w:rPr>
            <w:color w:val="0000FF"/>
            <w:u w:val="single" w:color="0000FF"/>
          </w:rPr>
          <w:t>3</w:t>
        </w:r>
      </w:hyperlink>
      <w:hyperlink r:id="rId307">
        <w:r>
          <w:rPr>
            <w:color w:val="0000FF"/>
            <w:u w:val="single" w:color="0000FF"/>
          </w:rPr>
          <w:t>-</w:t>
        </w:r>
      </w:hyperlink>
      <w:hyperlink r:id="rId308">
        <w:r>
          <w:rPr>
            <w:color w:val="0000FF"/>
            <w:u w:val="single" w:color="0000FF"/>
          </w:rPr>
          <w:t>311</w:t>
        </w:r>
      </w:hyperlink>
      <w:hyperlink r:id="rId309">
        <w:r>
          <w:rPr>
            <w:color w:val="0000FF"/>
            <w:u w:val="single" w:color="0000FF"/>
          </w:rPr>
          <w:t>-</w:t>
        </w:r>
      </w:hyperlink>
      <w:hyperlink r:id="rId310">
        <w:r>
          <w:rPr>
            <w:color w:val="0000FF"/>
            <w:u w:val="single" w:color="0000FF"/>
          </w:rPr>
          <w:t>319</w:t>
        </w:r>
      </w:hyperlink>
      <w:hyperlink r:id="rId31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8"/>
        <w:ind w:right="841" w:hanging="689"/>
      </w:pPr>
      <w:r>
        <w:t xml:space="preserve">Латышева Т.В., Медуницына Е.Н. Инфекционные заболевания дыхательного тракта у больных с бронхиальной астмой. РМЖ. 2007. № 7 с.60. </w:t>
      </w:r>
    </w:p>
    <w:p w:rsidR="00F15F71" w:rsidRDefault="00F974CD">
      <w:pPr>
        <w:spacing w:after="0" w:line="358" w:lineRule="auto"/>
        <w:ind w:left="641" w:right="50"/>
        <w:jc w:val="left"/>
      </w:pPr>
      <w:hyperlink r:id="rId312">
        <w:r>
          <w:rPr>
            <w:color w:val="0000FF"/>
            <w:u w:val="single" w:color="0000FF"/>
          </w:rPr>
          <w:t>https</w:t>
        </w:r>
      </w:hyperlink>
      <w:hyperlink r:id="rId313">
        <w:r>
          <w:rPr>
            <w:color w:val="0000FF"/>
            <w:u w:val="single" w:color="0000FF"/>
          </w:rPr>
          <w:t>://</w:t>
        </w:r>
      </w:hyperlink>
      <w:hyperlink r:id="rId314">
        <w:r>
          <w:rPr>
            <w:color w:val="0000FF"/>
            <w:u w:val="single" w:color="0000FF"/>
          </w:rPr>
          <w:t>www</w:t>
        </w:r>
      </w:hyperlink>
      <w:hyperlink r:id="rId315">
        <w:r>
          <w:rPr>
            <w:color w:val="0000FF"/>
            <w:u w:val="single" w:color="0000FF"/>
          </w:rPr>
          <w:t>.</w:t>
        </w:r>
      </w:hyperlink>
      <w:hyperlink r:id="rId316">
        <w:r>
          <w:rPr>
            <w:color w:val="0000FF"/>
            <w:u w:val="single" w:color="0000FF"/>
          </w:rPr>
          <w:t>rmj</w:t>
        </w:r>
      </w:hyperlink>
      <w:hyperlink r:id="rId317">
        <w:r>
          <w:rPr>
            <w:color w:val="0000FF"/>
            <w:u w:val="single" w:color="0000FF"/>
          </w:rPr>
          <w:t>.</w:t>
        </w:r>
      </w:hyperlink>
      <w:hyperlink r:id="rId318">
        <w:r>
          <w:rPr>
            <w:color w:val="0000FF"/>
            <w:u w:val="single" w:color="0000FF"/>
          </w:rPr>
          <w:t>ru</w:t>
        </w:r>
      </w:hyperlink>
      <w:hyperlink r:id="rId319">
        <w:r>
          <w:rPr>
            <w:color w:val="0000FF"/>
            <w:u w:val="single" w:color="0000FF"/>
          </w:rPr>
          <w:t>/</w:t>
        </w:r>
      </w:hyperlink>
      <w:hyperlink r:id="rId320">
        <w:r>
          <w:rPr>
            <w:color w:val="0000FF"/>
            <w:u w:val="single" w:color="0000FF"/>
          </w:rPr>
          <w:t>articles</w:t>
        </w:r>
      </w:hyperlink>
      <w:hyperlink r:id="rId321">
        <w:r>
          <w:rPr>
            <w:color w:val="0000FF"/>
            <w:u w:val="single" w:color="0000FF"/>
          </w:rPr>
          <w:t>/</w:t>
        </w:r>
      </w:hyperlink>
      <w:hyperlink r:id="rId322">
        <w:r>
          <w:rPr>
            <w:color w:val="0000FF"/>
            <w:u w:val="single" w:color="0000FF"/>
          </w:rPr>
          <w:t>bolezni</w:t>
        </w:r>
      </w:hyperlink>
      <w:hyperlink r:id="rId323">
        <w:r>
          <w:rPr>
            <w:color w:val="0000FF"/>
            <w:u w:val="single" w:color="0000FF"/>
          </w:rPr>
          <w:t>_</w:t>
        </w:r>
      </w:hyperlink>
      <w:hyperlink r:id="rId324">
        <w:r>
          <w:rPr>
            <w:color w:val="0000FF"/>
            <w:u w:val="single" w:color="0000FF"/>
          </w:rPr>
          <w:t>dykhatelnykh</w:t>
        </w:r>
      </w:hyperlink>
      <w:hyperlink r:id="rId325">
        <w:r>
          <w:rPr>
            <w:color w:val="0000FF"/>
            <w:u w:val="single" w:color="0000FF"/>
          </w:rPr>
          <w:t>_</w:t>
        </w:r>
      </w:hyperlink>
      <w:hyperlink r:id="rId326">
        <w:r>
          <w:rPr>
            <w:color w:val="0000FF"/>
            <w:u w:val="single" w:color="0000FF"/>
          </w:rPr>
          <w:t>putey</w:t>
        </w:r>
      </w:hyperlink>
      <w:hyperlink r:id="rId327">
        <w:r>
          <w:rPr>
            <w:color w:val="0000FF"/>
            <w:u w:val="single" w:color="0000FF"/>
          </w:rPr>
          <w:t>/</w:t>
        </w:r>
      </w:hyperlink>
      <w:hyperlink r:id="rId328">
        <w:r>
          <w:rPr>
            <w:color w:val="0000FF"/>
            <w:u w:val="single" w:color="0000FF"/>
          </w:rPr>
          <w:t>Infekcionnye</w:t>
        </w:r>
      </w:hyperlink>
      <w:hyperlink r:id="rId329">
        <w:r>
          <w:rPr>
            <w:color w:val="0000FF"/>
            <w:u w:val="single" w:color="0000FF"/>
          </w:rPr>
          <w:t>_</w:t>
        </w:r>
      </w:hyperlink>
      <w:hyperlink r:id="rId330">
        <w:r>
          <w:rPr>
            <w:color w:val="0000FF"/>
            <w:u w:val="single" w:color="0000FF"/>
          </w:rPr>
          <w:t>zabolevaniya</w:t>
        </w:r>
      </w:hyperlink>
      <w:hyperlink r:id="rId331">
        <w:r>
          <w:rPr>
            <w:color w:val="0000FF"/>
            <w:u w:val="single" w:color="0000FF"/>
          </w:rPr>
          <w:t>_</w:t>
        </w:r>
      </w:hyperlink>
      <w:hyperlink r:id="rId332">
        <w:r>
          <w:rPr>
            <w:color w:val="0000FF"/>
            <w:u w:val="single" w:color="0000FF"/>
          </w:rPr>
          <w:t xml:space="preserve">dyh </w:t>
        </w:r>
      </w:hyperlink>
      <w:hyperlink r:id="rId333">
        <w:r>
          <w:rPr>
            <w:color w:val="0000FF"/>
            <w:u w:val="single" w:color="0000FF"/>
          </w:rPr>
          <w:t>atelynogo</w:t>
        </w:r>
      </w:hyperlink>
      <w:hyperlink r:id="rId334">
        <w:r>
          <w:rPr>
            <w:color w:val="0000FF"/>
            <w:u w:val="single" w:color="0000FF"/>
          </w:rPr>
          <w:t>_</w:t>
        </w:r>
      </w:hyperlink>
      <w:hyperlink r:id="rId335">
        <w:r>
          <w:rPr>
            <w:color w:val="0000FF"/>
            <w:u w:val="single" w:color="0000FF"/>
          </w:rPr>
          <w:t>trakta</w:t>
        </w:r>
      </w:hyperlink>
      <w:hyperlink r:id="rId336">
        <w:r>
          <w:rPr>
            <w:color w:val="0000FF"/>
            <w:u w:val="single" w:color="0000FF"/>
          </w:rPr>
          <w:t>_</w:t>
        </w:r>
      </w:hyperlink>
      <w:hyperlink r:id="rId337">
        <w:r>
          <w:rPr>
            <w:color w:val="0000FF"/>
            <w:u w:val="single" w:color="0000FF"/>
          </w:rPr>
          <w:t>u</w:t>
        </w:r>
      </w:hyperlink>
      <w:hyperlink r:id="rId338">
        <w:r>
          <w:rPr>
            <w:color w:val="0000FF"/>
            <w:u w:val="single" w:color="0000FF"/>
          </w:rPr>
          <w:t>_</w:t>
        </w:r>
      </w:hyperlink>
      <w:hyperlink r:id="rId339">
        <w:r>
          <w:rPr>
            <w:color w:val="0000FF"/>
            <w:u w:val="single" w:color="0000FF"/>
          </w:rPr>
          <w:t>bolynyh</w:t>
        </w:r>
      </w:hyperlink>
      <w:hyperlink r:id="rId340">
        <w:r>
          <w:rPr>
            <w:color w:val="0000FF"/>
            <w:u w:val="single" w:color="0000FF"/>
          </w:rPr>
          <w:t>_</w:t>
        </w:r>
      </w:hyperlink>
      <w:hyperlink r:id="rId341">
        <w:r>
          <w:rPr>
            <w:color w:val="0000FF"/>
            <w:u w:val="single" w:color="0000FF"/>
          </w:rPr>
          <w:t>s</w:t>
        </w:r>
      </w:hyperlink>
      <w:hyperlink r:id="rId342">
        <w:r>
          <w:rPr>
            <w:color w:val="0000FF"/>
            <w:u w:val="single" w:color="0000FF"/>
          </w:rPr>
          <w:t>_</w:t>
        </w:r>
      </w:hyperlink>
      <w:hyperlink r:id="rId343">
        <w:r>
          <w:rPr>
            <w:color w:val="0000FF"/>
            <w:u w:val="single" w:color="0000FF"/>
          </w:rPr>
          <w:t>bronhialynoy</w:t>
        </w:r>
      </w:hyperlink>
      <w:hyperlink r:id="rId344">
        <w:r>
          <w:rPr>
            <w:color w:val="0000FF"/>
            <w:u w:val="single" w:color="0000FF"/>
          </w:rPr>
          <w:t>_</w:t>
        </w:r>
      </w:hyperlink>
      <w:hyperlink r:id="rId345">
        <w:r>
          <w:rPr>
            <w:color w:val="0000FF"/>
            <w:u w:val="single" w:color="0000FF"/>
          </w:rPr>
          <w:t>astmoy</w:t>
        </w:r>
      </w:hyperlink>
      <w:hyperlink r:id="rId346">
        <w:r>
          <w:rPr>
            <w:color w:val="0000FF"/>
            <w:u w:val="single" w:color="0000FF"/>
          </w:rPr>
          <w:t>/</w:t>
        </w:r>
      </w:hyperlink>
      <w:hyperlink r:id="rId34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Liu, X. X., Zhu, X. M., Miao, Q., Ye, H. Y., Zhang, Z. Y., &amp; Li, Y. M. (2014). Hyperglycemia induced by glucocorticoids in nondiabetic patients: a meta-analysis. Annals of Nutrition &amp; Metabolism, 65(4), 324–332. </w:t>
      </w:r>
      <w:hyperlink r:id="rId348">
        <w:r>
          <w:rPr>
            <w:color w:val="0000FF"/>
            <w:u w:val="single" w:color="0000FF"/>
          </w:rPr>
          <w:t>https://doi.org/10.1159/000365892</w:t>
        </w:r>
      </w:hyperlink>
      <w:hyperlink r:id="rId34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3" w:line="259" w:lineRule="auto"/>
        <w:ind w:right="841" w:hanging="689"/>
      </w:pPr>
      <w:r>
        <w:t xml:space="preserve">Seelig, E., Meyer, S., Timper, K., Nigro, N., Bally, M., Pernicova, I., Schuetz, P., Müller, </w:t>
      </w:r>
    </w:p>
    <w:p w:rsidR="00F15F71" w:rsidRDefault="00F974CD">
      <w:pPr>
        <w:spacing w:line="359" w:lineRule="auto"/>
        <w:ind w:left="651" w:right="666"/>
        <w:jc w:val="left"/>
      </w:pPr>
      <w:r>
        <w:t>B., Korbonits, M., &amp; Chri</w:t>
      </w:r>
      <w:r>
        <w:t xml:space="preserve">st-Crain, M. (2017). Metformin prevents metabolic side effects during systemic glucocorticoid treatment. European Journal of Endocrinology, 176(3), 349–358. </w:t>
      </w:r>
      <w:hyperlink r:id="rId350">
        <w:r>
          <w:rPr>
            <w:color w:val="0000FF"/>
            <w:u w:val="single" w:color="0000FF"/>
          </w:rPr>
          <w:t>https</w:t>
        </w:r>
      </w:hyperlink>
      <w:hyperlink r:id="rId351">
        <w:r>
          <w:rPr>
            <w:color w:val="0000FF"/>
            <w:u w:val="single" w:color="0000FF"/>
          </w:rPr>
          <w:t>://</w:t>
        </w:r>
      </w:hyperlink>
      <w:hyperlink r:id="rId352">
        <w:r>
          <w:rPr>
            <w:color w:val="0000FF"/>
            <w:u w:val="single" w:color="0000FF"/>
          </w:rPr>
          <w:t>doi</w:t>
        </w:r>
      </w:hyperlink>
      <w:hyperlink r:id="rId353">
        <w:r>
          <w:rPr>
            <w:color w:val="0000FF"/>
            <w:u w:val="single" w:color="0000FF"/>
          </w:rPr>
          <w:t>.</w:t>
        </w:r>
      </w:hyperlink>
      <w:hyperlink r:id="rId354">
        <w:r>
          <w:rPr>
            <w:color w:val="0000FF"/>
            <w:u w:val="single" w:color="0000FF"/>
          </w:rPr>
          <w:t>org</w:t>
        </w:r>
      </w:hyperlink>
      <w:hyperlink r:id="rId355">
        <w:r>
          <w:rPr>
            <w:color w:val="0000FF"/>
            <w:u w:val="single" w:color="0000FF"/>
          </w:rPr>
          <w:t>/10.1530/</w:t>
        </w:r>
      </w:hyperlink>
      <w:hyperlink r:id="rId356">
        <w:r>
          <w:rPr>
            <w:color w:val="0000FF"/>
            <w:u w:val="single" w:color="0000FF"/>
          </w:rPr>
          <w:t>EJE</w:t>
        </w:r>
      </w:hyperlink>
      <w:hyperlink r:id="rId357">
        <w:r>
          <w:rPr>
            <w:color w:val="0000FF"/>
            <w:u w:val="single" w:color="0000FF"/>
          </w:rPr>
          <w:t>-</w:t>
        </w:r>
      </w:hyperlink>
      <w:hyperlink r:id="rId358">
        <w:r>
          <w:rPr>
            <w:color w:val="0000FF"/>
            <w:u w:val="single" w:color="0000FF"/>
          </w:rPr>
          <w:t>16</w:t>
        </w:r>
      </w:hyperlink>
      <w:hyperlink r:id="rId359">
        <w:r>
          <w:rPr>
            <w:color w:val="0000FF"/>
            <w:u w:val="single" w:color="0000FF"/>
          </w:rPr>
          <w:t>-</w:t>
        </w:r>
      </w:hyperlink>
      <w:hyperlink r:id="rId360">
        <w:r>
          <w:rPr>
            <w:color w:val="0000FF"/>
            <w:u w:val="single" w:color="0000FF"/>
          </w:rPr>
          <w:t>0653</w:t>
        </w:r>
      </w:hyperlink>
      <w:hyperlink r:id="rId36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Ayuk, A. C., Uwaezuoke, S. N., Ndukwu, C. I., Ndu, I. K., Iloh, K. K., &amp; Okoli, C. V. </w:t>
      </w:r>
    </w:p>
    <w:p w:rsidR="00F15F71" w:rsidRDefault="00F974CD">
      <w:pPr>
        <w:ind w:left="651" w:right="841"/>
      </w:pPr>
      <w:r>
        <w:t>(2017). Spirometry in Asthma Care: A Review of the Trends and Challenges in Pediatr</w:t>
      </w:r>
      <w:r>
        <w:t xml:space="preserve">ic Practice. Clinical Medicine Insights: Pediatrics, 11, 117955651772067. </w:t>
      </w:r>
      <w:hyperlink r:id="rId362">
        <w:r>
          <w:rPr>
            <w:color w:val="0000FF"/>
            <w:u w:val="single" w:color="0000FF"/>
          </w:rPr>
          <w:t>https://doi.org/10.1177/1179556517720675</w:t>
        </w:r>
      </w:hyperlink>
      <w:hyperlink r:id="rId36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Chhabra, S. K. (2015</w:t>
      </w:r>
      <w:r>
        <w:t xml:space="preserve">). Clinical application of spirometry in asthma: Why, when and how often? Lung India, 32(6), 635–637. </w:t>
      </w:r>
      <w:hyperlink r:id="rId364">
        <w:r>
          <w:rPr>
            <w:color w:val="0000FF"/>
            <w:u w:val="single" w:color="0000FF"/>
          </w:rPr>
          <w:t>https://doi.org/10.4103/0970</w:t>
        </w:r>
      </w:hyperlink>
      <w:hyperlink r:id="rId365">
        <w:r>
          <w:rPr>
            <w:color w:val="0000FF"/>
            <w:u w:val="single" w:color="0000FF"/>
          </w:rPr>
          <w:t>-</w:t>
        </w:r>
      </w:hyperlink>
      <w:hyperlink r:id="rId366">
        <w:r>
          <w:rPr>
            <w:color w:val="0000FF"/>
            <w:u w:val="single" w:color="0000FF"/>
          </w:rPr>
          <w:t>2113.168139</w:t>
        </w:r>
      </w:hyperlink>
      <w:hyperlink r:id="rId36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6"/>
        <w:ind w:right="841" w:hanging="689"/>
      </w:pPr>
      <w:r>
        <w:t xml:space="preserve">Gallucci, M., Carbonara, P., Pacilli, A. M. G., di Palmo, E., Ricci, G., &amp; Nava, S. (2019). Use of Symptoms Scores, Spirometry, </w:t>
      </w:r>
      <w:r>
        <w:t xml:space="preserve">and Other Pulmonary Function Testing for Asthma Monitoring. Frontiers in Pediatrics, 7(MAR). </w:t>
      </w:r>
      <w:hyperlink r:id="rId368">
        <w:r>
          <w:rPr>
            <w:color w:val="0000FF"/>
            <w:u w:val="single" w:color="0000FF"/>
          </w:rPr>
          <w:t>https://doi.org/10.3389/FPED.2019.00054</w:t>
        </w:r>
      </w:hyperlink>
      <w:hyperlink r:id="rId36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Спир</w:t>
      </w:r>
      <w:r>
        <w:t xml:space="preserve">ометрия. Федеральные методические рекомендации. Российское респираторное общество. Российская ассоциация специалистов функциональной диагностики. </w:t>
      </w:r>
    </w:p>
    <w:p w:rsidR="00F15F71" w:rsidRDefault="00F974CD">
      <w:pPr>
        <w:spacing w:after="35"/>
        <w:ind w:left="651" w:right="841"/>
      </w:pPr>
      <w:r>
        <w:t xml:space="preserve">Российское </w:t>
      </w:r>
      <w:r>
        <w:tab/>
        <w:t xml:space="preserve">научное </w:t>
      </w:r>
      <w:r>
        <w:tab/>
        <w:t xml:space="preserve">медицинское </w:t>
      </w:r>
      <w:r>
        <w:tab/>
        <w:t xml:space="preserve">общество </w:t>
      </w:r>
      <w:r>
        <w:tab/>
        <w:t xml:space="preserve">терапевтов. </w:t>
      </w:r>
      <w:r>
        <w:tab/>
        <w:t xml:space="preserve">2023 </w:t>
      </w:r>
      <w:r>
        <w:tab/>
        <w:t xml:space="preserve">г. </w:t>
      </w:r>
      <w:r>
        <w:tab/>
        <w:t xml:space="preserve">64с. </w:t>
      </w:r>
      <w:hyperlink r:id="rId370">
        <w:r>
          <w:rPr>
            <w:color w:val="0000FF"/>
            <w:u w:val="single" w:color="0000FF"/>
          </w:rPr>
          <w:t>https</w:t>
        </w:r>
      </w:hyperlink>
      <w:hyperlink r:id="rId371">
        <w:r>
          <w:rPr>
            <w:color w:val="0000FF"/>
            <w:u w:val="single" w:color="0000FF"/>
          </w:rPr>
          <w:t>://</w:t>
        </w:r>
      </w:hyperlink>
      <w:hyperlink r:id="rId372">
        <w:r>
          <w:rPr>
            <w:color w:val="0000FF"/>
            <w:u w:val="single" w:color="0000FF"/>
          </w:rPr>
          <w:t>spulmo</w:t>
        </w:r>
      </w:hyperlink>
      <w:hyperlink r:id="rId373">
        <w:r>
          <w:rPr>
            <w:color w:val="0000FF"/>
            <w:u w:val="single" w:color="0000FF"/>
          </w:rPr>
          <w:t>.</w:t>
        </w:r>
      </w:hyperlink>
      <w:hyperlink r:id="rId374">
        <w:r>
          <w:rPr>
            <w:color w:val="0000FF"/>
            <w:u w:val="single" w:color="0000FF"/>
          </w:rPr>
          <w:t>ru</w:t>
        </w:r>
      </w:hyperlink>
      <w:hyperlink r:id="rId375">
        <w:r>
          <w:rPr>
            <w:color w:val="0000FF"/>
            <w:u w:val="single" w:color="0000FF"/>
          </w:rPr>
          <w:t>/</w:t>
        </w:r>
      </w:hyperlink>
      <w:hyperlink r:id="rId376">
        <w:r>
          <w:rPr>
            <w:color w:val="0000FF"/>
            <w:u w:val="single" w:color="0000FF"/>
          </w:rPr>
          <w:t>upload</w:t>
        </w:r>
      </w:hyperlink>
      <w:hyperlink r:id="rId377">
        <w:r>
          <w:rPr>
            <w:color w:val="0000FF"/>
            <w:u w:val="single" w:color="0000FF"/>
          </w:rPr>
          <w:t>/</w:t>
        </w:r>
      </w:hyperlink>
      <w:hyperlink r:id="rId378">
        <w:r>
          <w:rPr>
            <w:color w:val="0000FF"/>
            <w:u w:val="single" w:color="0000FF"/>
          </w:rPr>
          <w:t>kr</w:t>
        </w:r>
      </w:hyperlink>
      <w:hyperlink r:id="rId379">
        <w:r>
          <w:rPr>
            <w:color w:val="0000FF"/>
            <w:u w:val="single" w:color="0000FF"/>
          </w:rPr>
          <w:t>/</w:t>
        </w:r>
      </w:hyperlink>
      <w:hyperlink r:id="rId380">
        <w:r>
          <w:rPr>
            <w:color w:val="0000FF"/>
            <w:u w:val="single" w:color="0000FF"/>
          </w:rPr>
          <w:t>Spirometria</w:t>
        </w:r>
      </w:hyperlink>
      <w:hyperlink r:id="rId381">
        <w:r>
          <w:rPr>
            <w:color w:val="0000FF"/>
            <w:u w:val="single" w:color="0000FF"/>
          </w:rPr>
          <w:t>_2023.</w:t>
        </w:r>
      </w:hyperlink>
      <w:hyperlink r:id="rId382">
        <w:r>
          <w:rPr>
            <w:color w:val="0000FF"/>
            <w:u w:val="single" w:color="0000FF"/>
          </w:rPr>
          <w:t>pdf</w:t>
        </w:r>
      </w:hyperlink>
      <w:hyperlink r:id="rId383">
        <w:r>
          <w:rPr>
            <w:color w:val="0000FF"/>
            <w:u w:val="single" w:color="0000FF"/>
          </w:rPr>
          <w:t>?</w:t>
        </w:r>
      </w:hyperlink>
      <w:hyperlink r:id="rId384">
        <w:r>
          <w:rPr>
            <w:color w:val="0000FF"/>
            <w:u w:val="single" w:color="0000FF"/>
          </w:rPr>
          <w:t>t</w:t>
        </w:r>
      </w:hyperlink>
      <w:hyperlink r:id="rId385">
        <w:r>
          <w:rPr>
            <w:color w:val="0000FF"/>
            <w:u w:val="single" w:color="0000FF"/>
          </w:rPr>
          <w:t>=1</w:t>
        </w:r>
      </w:hyperlink>
      <w:hyperlink r:id="rId38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Каменева М.Ю., Черня</w:t>
      </w:r>
      <w:r>
        <w:t>к А.В., Айсанов З.Р., Авдеев С.Н., Бабак С.Л., Белевский А.С., Берестень Н.Ф., Калманова Е.Н., Малявин А.Г., Перельман Ю.М., Приходько А.Г., Стручков П.В., Чикина С.Ю., Чушкин М.И. Спирометрия: методическое руководство по проведению исследования и интерпре</w:t>
      </w:r>
      <w:r>
        <w:t xml:space="preserve">тации результатов. </w:t>
      </w:r>
    </w:p>
    <w:p w:rsidR="00F15F71" w:rsidRDefault="00F974CD">
      <w:pPr>
        <w:spacing w:after="48" w:line="356" w:lineRule="auto"/>
        <w:ind w:left="641" w:right="50"/>
        <w:jc w:val="left"/>
      </w:pPr>
      <w:r>
        <w:t xml:space="preserve">Пульмонология. 2023; 33 (3): 307–340. </w:t>
      </w:r>
      <w:hyperlink r:id="rId387">
        <w:r>
          <w:rPr>
            <w:color w:val="0000FF"/>
            <w:u w:val="single" w:color="0000FF"/>
          </w:rPr>
          <w:t>https</w:t>
        </w:r>
      </w:hyperlink>
      <w:hyperlink r:id="rId388">
        <w:r>
          <w:rPr>
            <w:color w:val="0000FF"/>
            <w:u w:val="single" w:color="0000FF"/>
          </w:rPr>
          <w:t>://</w:t>
        </w:r>
      </w:hyperlink>
      <w:hyperlink r:id="rId389">
        <w:r>
          <w:rPr>
            <w:color w:val="0000FF"/>
            <w:u w:val="single" w:color="0000FF"/>
          </w:rPr>
          <w:t>doi</w:t>
        </w:r>
      </w:hyperlink>
      <w:hyperlink r:id="rId390">
        <w:r>
          <w:rPr>
            <w:color w:val="0000FF"/>
            <w:u w:val="single" w:color="0000FF"/>
          </w:rPr>
          <w:t>.</w:t>
        </w:r>
      </w:hyperlink>
      <w:hyperlink r:id="rId391">
        <w:r>
          <w:rPr>
            <w:color w:val="0000FF"/>
            <w:u w:val="single" w:color="0000FF"/>
          </w:rPr>
          <w:t>org</w:t>
        </w:r>
      </w:hyperlink>
      <w:hyperlink r:id="rId392">
        <w:r>
          <w:rPr>
            <w:color w:val="0000FF"/>
            <w:u w:val="single" w:color="0000FF"/>
          </w:rPr>
          <w:t>/10.18093/086</w:t>
        </w:r>
        <w:r>
          <w:rPr>
            <w:color w:val="0000FF"/>
            <w:u w:val="single" w:color="0000FF"/>
          </w:rPr>
          <w:t>90189</w:t>
        </w:r>
      </w:hyperlink>
      <w:hyperlink r:id="rId393">
        <w:r>
          <w:rPr>
            <w:color w:val="0000FF"/>
            <w:u w:val="single" w:color="0000FF"/>
          </w:rPr>
          <w:t>-</w:t>
        </w:r>
      </w:hyperlink>
      <w:hyperlink r:id="rId394">
        <w:r>
          <w:rPr>
            <w:color w:val="0000FF"/>
            <w:u w:val="single" w:color="0000FF"/>
          </w:rPr>
          <w:t>2023</w:t>
        </w:r>
      </w:hyperlink>
      <w:hyperlink r:id="rId395">
        <w:r>
          <w:rPr>
            <w:color w:val="0000FF"/>
            <w:u w:val="single" w:color="0000FF"/>
          </w:rPr>
          <w:t>-</w:t>
        </w:r>
      </w:hyperlink>
      <w:hyperlink r:id="rId396">
        <w:r>
          <w:rPr>
            <w:color w:val="0000FF"/>
            <w:u w:val="single" w:color="0000FF"/>
          </w:rPr>
          <w:t>33</w:t>
        </w:r>
      </w:hyperlink>
      <w:hyperlink r:id="rId397">
        <w:r>
          <w:rPr>
            <w:color w:val="0000FF"/>
            <w:u w:val="single" w:color="0000FF"/>
          </w:rPr>
          <w:t>-</w:t>
        </w:r>
      </w:hyperlink>
      <w:hyperlink r:id="rId398">
        <w:r>
          <w:rPr>
            <w:color w:val="0000FF"/>
            <w:u w:val="single" w:color="0000FF"/>
          </w:rPr>
          <w:t>3</w:t>
        </w:r>
      </w:hyperlink>
      <w:hyperlink r:id="rId399"/>
      <w:hyperlink r:id="rId400">
        <w:r>
          <w:rPr>
            <w:color w:val="0000FF"/>
            <w:u w:val="single" w:color="0000FF"/>
          </w:rPr>
          <w:t>307</w:t>
        </w:r>
      </w:hyperlink>
      <w:hyperlink r:id="rId401">
        <w:r>
          <w:rPr>
            <w:color w:val="0000FF"/>
            <w:u w:val="single" w:color="0000FF"/>
          </w:rPr>
          <w:t>-</w:t>
        </w:r>
      </w:hyperlink>
      <w:hyperlink r:id="rId402">
        <w:r>
          <w:rPr>
            <w:color w:val="0000FF"/>
            <w:u w:val="single" w:color="0000FF"/>
          </w:rPr>
          <w:t>340</w:t>
        </w:r>
      </w:hyperlink>
      <w:hyperlink r:id="rId40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Чучалин А.Г., Айсанов З.Р., Чикина С.Ю. и др. Федеральные клинические рекомендации Российского респираторного общества по использованию метода спирометрии. Пульмонология. 2014/ №6, с.11–24.</w:t>
      </w:r>
      <w:r>
        <w:t xml:space="preserve"> </w:t>
      </w:r>
      <w:hyperlink r:id="rId404">
        <w:r>
          <w:rPr>
            <w:color w:val="0000FF"/>
            <w:u w:val="single" w:color="0000FF"/>
          </w:rPr>
          <w:t>https://doi.org/10.18093/0869</w:t>
        </w:r>
      </w:hyperlink>
      <w:hyperlink r:id="rId405">
        <w:r>
          <w:rPr>
            <w:color w:val="0000FF"/>
            <w:u w:val="single" w:color="0000FF"/>
          </w:rPr>
          <w:t>-</w:t>
        </w:r>
      </w:hyperlink>
      <w:hyperlink r:id="rId406">
        <w:r>
          <w:rPr>
            <w:color w:val="0000FF"/>
            <w:u w:val="single" w:color="0000FF"/>
          </w:rPr>
          <w:t>0189</w:t>
        </w:r>
      </w:hyperlink>
      <w:hyperlink r:id="rId407"/>
      <w:hyperlink r:id="rId408">
        <w:r>
          <w:rPr>
            <w:color w:val="0000FF"/>
            <w:u w:val="single" w:color="0000FF"/>
          </w:rPr>
          <w:t>2014</w:t>
        </w:r>
      </w:hyperlink>
      <w:hyperlink r:id="rId409">
        <w:r>
          <w:rPr>
            <w:color w:val="0000FF"/>
            <w:u w:val="single" w:color="0000FF"/>
          </w:rPr>
          <w:t>-</w:t>
        </w:r>
      </w:hyperlink>
      <w:hyperlink r:id="rId410">
        <w:r>
          <w:rPr>
            <w:color w:val="0000FF"/>
            <w:u w:val="single" w:color="0000FF"/>
          </w:rPr>
          <w:t>0</w:t>
        </w:r>
      </w:hyperlink>
      <w:hyperlink r:id="rId411">
        <w:r>
          <w:rPr>
            <w:color w:val="0000FF"/>
            <w:u w:val="single" w:color="0000FF"/>
          </w:rPr>
          <w:t>-</w:t>
        </w:r>
      </w:hyperlink>
      <w:hyperlink r:id="rId412">
        <w:r>
          <w:rPr>
            <w:color w:val="0000FF"/>
            <w:u w:val="single" w:color="0000FF"/>
          </w:rPr>
          <w:t>6</w:t>
        </w:r>
      </w:hyperlink>
      <w:hyperlink r:id="rId413">
        <w:r>
          <w:rPr>
            <w:color w:val="0000FF"/>
            <w:u w:val="single" w:color="0000FF"/>
          </w:rPr>
          <w:t>-</w:t>
        </w:r>
      </w:hyperlink>
      <w:hyperlink r:id="rId414">
        <w:r>
          <w:rPr>
            <w:color w:val="0000FF"/>
            <w:u w:val="single" w:color="0000FF"/>
          </w:rPr>
          <w:t>11</w:t>
        </w:r>
      </w:hyperlink>
      <w:hyperlink r:id="rId415">
        <w:r>
          <w:rPr>
            <w:color w:val="0000FF"/>
            <w:u w:val="single" w:color="0000FF"/>
          </w:rPr>
          <w:t>-</w:t>
        </w:r>
      </w:hyperlink>
      <w:hyperlink r:id="rId416">
        <w:r>
          <w:rPr>
            <w:color w:val="0000FF"/>
            <w:u w:val="single" w:color="0000FF"/>
          </w:rPr>
          <w:t>24</w:t>
        </w:r>
      </w:hyperlink>
      <w:hyperlink r:id="rId41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Graham, B. L., Steenbruggen, I., Barjaktarevic, I. Z., Cooper, B. G., Hall, G. L., Hallstrand, T. S., Kaminsky, D. A., McCarthy, K., McCormack, M. C., Miller, M. R., Oropez, C. E., Rosenfeld, M., Stanojevic, S., Swanney, M. P., &amp; Thompson, B. R. (2019). St</w:t>
      </w:r>
      <w:r>
        <w:t xml:space="preserve">andardization of Spirometry 2019 Update. An Official American Thoracic Society and European Respiratory Society Technical Statement. American Journal of Respiratory and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Critical Care Medicine, 200(8), E70–E88. </w:t>
      </w:r>
      <w:hyperlink r:id="rId418">
        <w:r>
          <w:rPr>
            <w:color w:val="0000FF"/>
            <w:u w:val="single" w:color="0000FF"/>
          </w:rPr>
          <w:t>https://doi.org/10.1164/RCCM.2019</w:t>
        </w:r>
      </w:hyperlink>
      <w:hyperlink r:id="rId419">
        <w:r>
          <w:rPr>
            <w:color w:val="0000FF"/>
            <w:u w:val="single" w:color="0000FF"/>
          </w:rPr>
          <w:t>08</w:t>
        </w:r>
      </w:hyperlink>
      <w:hyperlink r:id="rId420">
        <w:r>
          <w:rPr>
            <w:color w:val="0000FF"/>
            <w:u w:val="single" w:color="0000FF"/>
          </w:rPr>
          <w:t>-</w:t>
        </w:r>
      </w:hyperlink>
      <w:hyperlink r:id="rId421">
        <w:r>
          <w:rPr>
            <w:color w:val="0000FF"/>
            <w:u w:val="single" w:color="0000FF"/>
          </w:rPr>
          <w:t>1590ST</w:t>
        </w:r>
      </w:hyperlink>
      <w:hyperlink r:id="rId42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Pellegrino, R., Viegi, G., Brusasco, V., Crapo, R. O., Burgos, F., Casaburi, R., Coates, A., van der Grinten, C. P. M., Gustafsson, P., Hankinson, J., Jensen, R., Johnson, D. C., </w:t>
      </w:r>
    </w:p>
    <w:p w:rsidR="00F15F71" w:rsidRDefault="00F974CD">
      <w:pPr>
        <w:spacing w:line="359" w:lineRule="auto"/>
        <w:ind w:left="651" w:right="666"/>
        <w:jc w:val="left"/>
      </w:pPr>
      <w:r>
        <w:t>MacIntyre, N.,</w:t>
      </w:r>
      <w:r>
        <w:t xml:space="preserve"> McKay, R., Miller, M. R., Navajas, D., Pedersen, O. F., &amp; Wanger, J. (2005). Interpretative strategies for lung function tests. The European Respiratory Journal, 26(5), 948–968. </w:t>
      </w:r>
      <w:hyperlink r:id="rId423">
        <w:r>
          <w:rPr>
            <w:color w:val="0000FF"/>
            <w:u w:val="single" w:color="0000FF"/>
          </w:rPr>
          <w:t>https://doi.o</w:t>
        </w:r>
        <w:r>
          <w:rPr>
            <w:color w:val="0000FF"/>
            <w:u w:val="single" w:color="0000FF"/>
          </w:rPr>
          <w:t>rg/10.1183/09031936.05.00035205</w:t>
        </w:r>
      </w:hyperlink>
      <w:hyperlink r:id="rId42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Shipp, C. L., Gergen, P. J., Gern, J. E., Matsui, E. C., &amp; Guilbert, T. W. (2023). Asthma Management in Children. The Journal of Allergy and Clinical Immunolog</w:t>
      </w:r>
      <w:r>
        <w:t xml:space="preserve">y. In Practice, 11(1), 9–18. </w:t>
      </w:r>
      <w:hyperlink r:id="rId425">
        <w:r>
          <w:rPr>
            <w:color w:val="0000FF"/>
            <w:u w:val="single" w:color="0000FF"/>
          </w:rPr>
          <w:t>https://doi.org/10.1016/J.JAIP.2022.10.031</w:t>
        </w:r>
      </w:hyperlink>
      <w:hyperlink r:id="rId42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Martin, J., Townshend, J., &amp; Brodlie, M. (2022). Diagnosis </w:t>
      </w:r>
      <w:r>
        <w:t xml:space="preserve">and management of asthma in children. BMJ Paediatrics Open, 6(1). </w:t>
      </w:r>
      <w:hyperlink r:id="rId427">
        <w:r>
          <w:rPr>
            <w:color w:val="0000FF"/>
            <w:u w:val="single" w:color="0000FF"/>
          </w:rPr>
          <w:t>https://doi.org/10.1136/BMJPO</w:t>
        </w:r>
      </w:hyperlink>
      <w:hyperlink r:id="rId428">
        <w:r>
          <w:rPr>
            <w:color w:val="0000FF"/>
            <w:u w:val="single" w:color="0000FF"/>
          </w:rPr>
          <w:t>-</w:t>
        </w:r>
      </w:hyperlink>
      <w:hyperlink r:id="rId429">
        <w:r>
          <w:rPr>
            <w:color w:val="0000FF"/>
            <w:u w:val="single" w:color="0000FF"/>
          </w:rPr>
          <w:t>2021</w:t>
        </w:r>
      </w:hyperlink>
      <w:hyperlink r:id="rId430">
        <w:r>
          <w:rPr>
            <w:color w:val="0000FF"/>
            <w:u w:val="single" w:color="0000FF"/>
          </w:rPr>
          <w:t>-</w:t>
        </w:r>
      </w:hyperlink>
      <w:hyperlink r:id="rId431">
        <w:r>
          <w:rPr>
            <w:color w:val="0000FF"/>
            <w:u w:val="single" w:color="0000FF"/>
          </w:rPr>
          <w:t>001277</w:t>
        </w:r>
      </w:hyperlink>
      <w:hyperlink r:id="rId43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Gaillard, E. A., Kuehni, C. E., Turne</w:t>
      </w:r>
      <w:r>
        <w:t>r, S., Goutaki, M., Holden, K. A., de Jong, C. C. M., Lex, C., Lo, D. K. H., Lucas, J. S., Midulla, F., Mozun, R., Piacentini, G., Rigau, D., Rottier, B., Thomas, M., Tonia, T., Usemann, J., Yilmaz, O., Zacharasiewicz, A., &amp; Moeller, A. (2021). European Re</w:t>
      </w:r>
      <w:r>
        <w:t xml:space="preserve">spiratory Society clinical practice guidelines for the diagnosis of asthma in children aged 5-16 years. The European Respiratory Journal, 58(5). </w:t>
      </w:r>
      <w:hyperlink r:id="rId433">
        <w:r>
          <w:rPr>
            <w:color w:val="0000FF"/>
            <w:u w:val="single" w:color="0000FF"/>
          </w:rPr>
          <w:t>https://doi.org/10.</w:t>
        </w:r>
      </w:hyperlink>
      <w:hyperlink r:id="rId434">
        <w:r>
          <w:rPr>
            <w:color w:val="0000FF"/>
            <w:u w:val="single" w:color="0000FF"/>
          </w:rPr>
          <w:t>1183/13993003.04173</w:t>
        </w:r>
      </w:hyperlink>
      <w:hyperlink r:id="rId435">
        <w:r>
          <w:rPr>
            <w:color w:val="0000FF"/>
            <w:u w:val="single" w:color="0000FF"/>
          </w:rPr>
          <w:t>-</w:t>
        </w:r>
      </w:hyperlink>
      <w:hyperlink r:id="rId436">
        <w:r>
          <w:rPr>
            <w:color w:val="0000FF"/>
            <w:u w:val="single" w:color="0000FF"/>
          </w:rPr>
          <w:t>2020</w:t>
        </w:r>
      </w:hyperlink>
      <w:hyperlink r:id="rId43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Mishra,</w:t>
      </w:r>
      <w:r>
        <w:t xml:space="preserve"> A., Ugra, D., &amp; Kumar, U. (2020). Study of spirometry parameters in suspected asthmatic children in a tertiary care hospital. International Journal of Contemporary Pediatrics, 7(5), 1023. </w:t>
      </w:r>
      <w:hyperlink r:id="rId438">
        <w:r>
          <w:rPr>
            <w:color w:val="0000FF"/>
            <w:u w:val="single" w:color="0000FF"/>
          </w:rPr>
          <w:t>https://doi.org/10.18203/2349</w:t>
        </w:r>
      </w:hyperlink>
      <w:hyperlink r:id="rId439">
        <w:r>
          <w:rPr>
            <w:color w:val="0000FF"/>
            <w:u w:val="single" w:color="0000FF"/>
          </w:rPr>
          <w:t>-</w:t>
        </w:r>
      </w:hyperlink>
      <w:hyperlink r:id="rId440">
        <w:r>
          <w:rPr>
            <w:color w:val="0000FF"/>
            <w:u w:val="single" w:color="0000FF"/>
          </w:rPr>
          <w:t>3291.IJCP20201631</w:t>
        </w:r>
      </w:hyperlink>
      <w:hyperlink r:id="rId44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Reddel, H., Ware, S., Marks, G., Salome, C., Jenkins, C., &amp; Woolcock, A. (1999). Differences between asthma exacerbations and poor asthma control. Lancet (London, England), 353(9150), 364–369. </w:t>
      </w:r>
      <w:hyperlink r:id="rId442">
        <w:r>
          <w:rPr>
            <w:color w:val="0000FF"/>
            <w:u w:val="single" w:color="0000FF"/>
          </w:rPr>
          <w:t>https</w:t>
        </w:r>
      </w:hyperlink>
      <w:hyperlink r:id="rId443">
        <w:r>
          <w:rPr>
            <w:color w:val="0000FF"/>
            <w:u w:val="single" w:color="0000FF"/>
          </w:rPr>
          <w:t>://</w:t>
        </w:r>
      </w:hyperlink>
      <w:hyperlink r:id="rId444">
        <w:r>
          <w:rPr>
            <w:color w:val="0000FF"/>
            <w:u w:val="single" w:color="0000FF"/>
          </w:rPr>
          <w:t>doi</w:t>
        </w:r>
      </w:hyperlink>
      <w:hyperlink r:id="rId445">
        <w:r>
          <w:rPr>
            <w:color w:val="0000FF"/>
            <w:u w:val="single" w:color="0000FF"/>
          </w:rPr>
          <w:t>.</w:t>
        </w:r>
      </w:hyperlink>
      <w:hyperlink r:id="rId446">
        <w:r>
          <w:rPr>
            <w:color w:val="0000FF"/>
            <w:u w:val="single" w:color="0000FF"/>
          </w:rPr>
          <w:t>org</w:t>
        </w:r>
      </w:hyperlink>
      <w:hyperlink r:id="rId447">
        <w:r>
          <w:rPr>
            <w:color w:val="0000FF"/>
            <w:u w:val="single" w:color="0000FF"/>
          </w:rPr>
          <w:t>/10.1016/</w:t>
        </w:r>
      </w:hyperlink>
      <w:hyperlink r:id="rId448">
        <w:r>
          <w:rPr>
            <w:color w:val="0000FF"/>
            <w:u w:val="single" w:color="0000FF"/>
          </w:rPr>
          <w:t>S</w:t>
        </w:r>
      </w:hyperlink>
      <w:hyperlink r:id="rId449">
        <w:r>
          <w:rPr>
            <w:color w:val="0000FF"/>
            <w:u w:val="single" w:color="0000FF"/>
          </w:rPr>
          <w:t>0140</w:t>
        </w:r>
      </w:hyperlink>
      <w:hyperlink r:id="rId450">
        <w:r>
          <w:rPr>
            <w:color w:val="0000FF"/>
            <w:u w:val="single" w:color="0000FF"/>
          </w:rPr>
          <w:t>-</w:t>
        </w:r>
      </w:hyperlink>
      <w:hyperlink r:id="rId451">
        <w:r>
          <w:rPr>
            <w:color w:val="0000FF"/>
            <w:u w:val="single" w:color="0000FF"/>
          </w:rPr>
          <w:t>6736(98)06128</w:t>
        </w:r>
      </w:hyperlink>
      <w:hyperlink r:id="rId452">
        <w:r>
          <w:rPr>
            <w:color w:val="0000FF"/>
            <w:u w:val="single" w:color="0000FF"/>
          </w:rPr>
          <w:t>-</w:t>
        </w:r>
      </w:hyperlink>
      <w:hyperlink r:id="rId453">
        <w:r>
          <w:rPr>
            <w:color w:val="0000FF"/>
            <w:u w:val="single" w:color="0000FF"/>
          </w:rPr>
          <w:t>5</w:t>
        </w:r>
      </w:hyperlink>
      <w:hyperlink r:id="rId45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59" w:line="259" w:lineRule="auto"/>
        <w:ind w:right="841" w:hanging="689"/>
      </w:pPr>
      <w:r>
        <w:t xml:space="preserve">Курбачева О.М., Павлова К. С. (2016). Федеральные клинические рекомендации. </w:t>
      </w:r>
    </w:p>
    <w:p w:rsidR="00F15F71" w:rsidRDefault="00F974CD">
      <w:pPr>
        <w:ind w:left="651" w:right="841"/>
      </w:pPr>
      <w:r>
        <w:t xml:space="preserve">Аллерген-специфическая иммунотерапия. Российский Аллергологический Журнал, №4–5, с.55–61.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Чучалин, А., Черняк, А., Чи</w:t>
      </w:r>
      <w:r>
        <w:t xml:space="preserve">кина, С., Авдеев, С., Науменко, Ж., Неклюдова, Г., Айсанов, З., &amp; Калманова, Е. (2009). Функциональная диагностика в пульмонологии: Практическое руководство. 192с.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Tan, W. C., Vollmer, W. M., Lamprecht, B., Mannino, D. M., Jithoo, A., NizankowskaMogilnick</w:t>
      </w:r>
      <w:r>
        <w:t xml:space="preserve">a, E., Mejza, F., Gislason, T., Burney, P. G. J., &amp; Buist, A. S. (2012). Worldwide patterns of bronchodilator responsiveness: results from the Burden of </w:t>
      </w:r>
    </w:p>
    <w:p w:rsidR="00F15F71" w:rsidRDefault="00F974CD">
      <w:pPr>
        <w:ind w:left="651" w:right="841"/>
      </w:pPr>
      <w:r>
        <w:t xml:space="preserve">Obstructive </w:t>
      </w:r>
      <w:r>
        <w:tab/>
        <w:t xml:space="preserve">Lung </w:t>
      </w:r>
      <w:r>
        <w:tab/>
        <w:t xml:space="preserve">Disease </w:t>
      </w:r>
      <w:r>
        <w:tab/>
        <w:t xml:space="preserve">study. </w:t>
      </w:r>
      <w:r>
        <w:tab/>
        <w:t xml:space="preserve">Thorax, </w:t>
      </w:r>
      <w:r>
        <w:tab/>
        <w:t xml:space="preserve">67(8), </w:t>
      </w:r>
      <w:r>
        <w:tab/>
        <w:t xml:space="preserve">718–726. </w:t>
      </w:r>
      <w:hyperlink r:id="rId455">
        <w:r>
          <w:rPr>
            <w:color w:val="0000FF"/>
            <w:u w:val="single" w:color="0000FF"/>
          </w:rPr>
          <w:t>https://doi.org/10.1136/THORAXJNL</w:t>
        </w:r>
      </w:hyperlink>
      <w:hyperlink r:id="rId456">
        <w:r>
          <w:rPr>
            <w:color w:val="0000FF"/>
            <w:u w:val="single" w:color="0000FF"/>
          </w:rPr>
          <w:t>-</w:t>
        </w:r>
      </w:hyperlink>
      <w:hyperlink r:id="rId457">
        <w:r>
          <w:rPr>
            <w:color w:val="0000FF"/>
            <w:u w:val="single" w:color="0000FF"/>
          </w:rPr>
          <w:t>2011</w:t>
        </w:r>
      </w:hyperlink>
      <w:hyperlink r:id="rId458">
        <w:r>
          <w:rPr>
            <w:color w:val="0000FF"/>
            <w:u w:val="single" w:color="0000FF"/>
          </w:rPr>
          <w:t>-</w:t>
        </w:r>
      </w:hyperlink>
      <w:hyperlink r:id="rId459">
        <w:r>
          <w:rPr>
            <w:color w:val="0000FF"/>
            <w:u w:val="single" w:color="0000FF"/>
          </w:rPr>
          <w:t>201445</w:t>
        </w:r>
      </w:hyperlink>
      <w:hyperlink r:id="rId46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6"/>
        <w:ind w:right="841" w:hanging="689"/>
      </w:pPr>
      <w:r>
        <w:t>Hallstrand, T. S., Leuppi, J. D., Joos, G., Hall, G. L., Carlsen, K. H., Kaminsky, D. A., Coates, A. L., Cockcroft, D. W., Culver, B. H., Diamant, Z., Gauvreau, G. M., Horvath, I., De Jongh, F. H. C., Laube, B. L., Sterk, P. J., &amp; Wanger, J. (2018). ERS te</w:t>
      </w:r>
      <w:r>
        <w:t xml:space="preserve">chnical standard on bronchial challenge testing: pathophysiology and methodology of indirect airway </w:t>
      </w:r>
      <w:r>
        <w:tab/>
        <w:t xml:space="preserve">challenge </w:t>
      </w:r>
      <w:r>
        <w:tab/>
        <w:t xml:space="preserve">testing. </w:t>
      </w:r>
      <w:r>
        <w:tab/>
        <w:t xml:space="preserve">The </w:t>
      </w:r>
      <w:r>
        <w:tab/>
        <w:t xml:space="preserve">European </w:t>
      </w:r>
      <w:r>
        <w:tab/>
        <w:t xml:space="preserve">Respiratory </w:t>
      </w:r>
      <w:r>
        <w:tab/>
        <w:t xml:space="preserve">Journal, </w:t>
      </w:r>
      <w:r>
        <w:tab/>
        <w:t xml:space="preserve">52(5). </w:t>
      </w:r>
      <w:hyperlink r:id="rId461">
        <w:r>
          <w:rPr>
            <w:color w:val="0000FF"/>
            <w:u w:val="single" w:color="0000FF"/>
          </w:rPr>
          <w:t>https</w:t>
        </w:r>
      </w:hyperlink>
      <w:hyperlink r:id="rId462">
        <w:r>
          <w:rPr>
            <w:color w:val="0000FF"/>
            <w:u w:val="single" w:color="0000FF"/>
          </w:rPr>
          <w:t>://</w:t>
        </w:r>
      </w:hyperlink>
      <w:hyperlink r:id="rId463">
        <w:r>
          <w:rPr>
            <w:color w:val="0000FF"/>
            <w:u w:val="single" w:color="0000FF"/>
          </w:rPr>
          <w:t>doi</w:t>
        </w:r>
      </w:hyperlink>
      <w:hyperlink r:id="rId464">
        <w:r>
          <w:rPr>
            <w:color w:val="0000FF"/>
            <w:u w:val="single" w:color="0000FF"/>
          </w:rPr>
          <w:t>.</w:t>
        </w:r>
      </w:hyperlink>
      <w:hyperlink r:id="rId465">
        <w:r>
          <w:rPr>
            <w:color w:val="0000FF"/>
            <w:u w:val="single" w:color="0000FF"/>
          </w:rPr>
          <w:t>org</w:t>
        </w:r>
      </w:hyperlink>
      <w:hyperlink r:id="rId466">
        <w:r>
          <w:rPr>
            <w:color w:val="0000FF"/>
            <w:u w:val="single" w:color="0000FF"/>
          </w:rPr>
          <w:t>/10.1183/13993003.01033</w:t>
        </w:r>
      </w:hyperlink>
      <w:hyperlink r:id="rId467">
        <w:r>
          <w:rPr>
            <w:color w:val="0000FF"/>
            <w:u w:val="single" w:color="0000FF"/>
          </w:rPr>
          <w:t>-</w:t>
        </w:r>
      </w:hyperlink>
      <w:hyperlink r:id="rId468">
        <w:r>
          <w:rPr>
            <w:color w:val="0000FF"/>
            <w:u w:val="single" w:color="0000FF"/>
          </w:rPr>
          <w:t>2018</w:t>
        </w:r>
      </w:hyperlink>
      <w:hyperlink r:id="rId46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Красновский А.Л., Григорьев С.П., Александров О.В., Лошкарева Е.О., Корвяков С.А., Короткова Е.С. Провокационные бронхоконстрикторные тесты в современной пульмонологической практике. РМЖ, 2014, №4, с.41-46. </w:t>
      </w:r>
      <w:hyperlink r:id="rId470">
        <w:r>
          <w:rPr>
            <w:color w:val="0000FF"/>
            <w:u w:val="single" w:color="0000FF"/>
          </w:rPr>
          <w:t>https://doi.org/10.17816/rmj38189</w:t>
        </w:r>
      </w:hyperlink>
      <w:hyperlink r:id="rId47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Ora, J., De Marco, P., Gabriele, M., Cazzola, M., &amp; Rogliani, P. (2024). Exercise-Induced Asthma: Managing Respiratory Issues in Athletes. Journal of Fun</w:t>
      </w:r>
      <w:r>
        <w:t xml:space="preserve">ctional Morphology and Kinesiology, 9(1), 15. </w:t>
      </w:r>
      <w:hyperlink r:id="rId472">
        <w:r>
          <w:rPr>
            <w:color w:val="0000FF"/>
            <w:u w:val="single" w:color="0000FF"/>
          </w:rPr>
          <w:t>https://doi.org/10.3390/jfmk9010015</w:t>
        </w:r>
      </w:hyperlink>
      <w:hyperlink r:id="rId47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Crapo, R. O., Casaburi, R., Coates, A. L., Enright, P. L., Hank</w:t>
      </w:r>
      <w:r>
        <w:t xml:space="preserve">inson, J. L., Irvin, C. G., MacIntyre, N. R., McKay, R. T., Wanger, J. S., Anderson, S. D., Cockcroft, D. W., Fish, </w:t>
      </w:r>
    </w:p>
    <w:p w:rsidR="00F15F71" w:rsidRDefault="00F974CD">
      <w:pPr>
        <w:numPr>
          <w:ilvl w:val="1"/>
          <w:numId w:val="31"/>
        </w:numPr>
        <w:ind w:right="841"/>
      </w:pPr>
      <w:r>
        <w:t>E., &amp; Sterk, P. J. (2000). Guidelines for methacholine and exercise challenge testing</w:t>
      </w:r>
      <w:r>
        <w:t xml:space="preserve">1999. This official statement of the American Thoracic Society was adopted by the ATS Board of Directors, July 1999. American Journal of Respiratory and Critical Care Medicine, 161(1), 309–329. </w:t>
      </w:r>
      <w:hyperlink r:id="rId474">
        <w:r>
          <w:rPr>
            <w:color w:val="0000FF"/>
            <w:u w:val="single" w:color="0000FF"/>
          </w:rPr>
          <w:t>https://doi.org/10.1164/AJRCCM.161.1.ATS11</w:t>
        </w:r>
      </w:hyperlink>
      <w:hyperlink r:id="rId475">
        <w:r>
          <w:rPr>
            <w:color w:val="0000FF"/>
            <w:u w:val="single" w:color="0000FF"/>
          </w:rPr>
          <w:t>-</w:t>
        </w:r>
      </w:hyperlink>
      <w:hyperlink r:id="rId476">
        <w:r>
          <w:rPr>
            <w:color w:val="0000FF"/>
            <w:u w:val="single" w:color="0000FF"/>
          </w:rPr>
          <w:t>99</w:t>
        </w:r>
      </w:hyperlink>
      <w:hyperlink r:id="rId47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Swartz, E.,</w:t>
      </w:r>
      <w:r>
        <w:t xml:space="preserve"> &amp; Lang, D. (2008). When should a methacholine challenge be ordered for a patient with suspected asthma? Cleveland Clinic Journal of Medicine, 75(1), 37–40.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478">
        <w:r>
          <w:rPr>
            <w:color w:val="0000FF"/>
            <w:u w:val="single" w:color="0000FF"/>
          </w:rPr>
          <w:t>https://doi.org/10.3949/CCJM.75.1.37</w:t>
        </w:r>
      </w:hyperlink>
      <w:hyperlink r:id="rId47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4"/>
        <w:ind w:right="841" w:hanging="689"/>
      </w:pPr>
      <w:r>
        <w:t xml:space="preserve">Dell, S. D., Bola, S. S., Foty, R. G., Marshall, L. C., Nelligan, </w:t>
      </w:r>
      <w:r>
        <w:t xml:space="preserve">K. A., &amp; Coates, A. L. (2015). Provocative dose of methacholine causing a 20% drop in FEV1 should be used to interpret methacholine challenge tests with modern nebulizers. Annals of the American Thoracic Society, 12(3), 357–363. </w:t>
      </w:r>
      <w:hyperlink r:id="rId480">
        <w:r>
          <w:rPr>
            <w:color w:val="0000FF"/>
            <w:u w:val="single" w:color="0000FF"/>
          </w:rPr>
          <w:t>https://doi.org/10.1513/AnnalsATS.201409</w:t>
        </w:r>
      </w:hyperlink>
      <w:hyperlink r:id="rId481">
        <w:r>
          <w:rPr>
            <w:color w:val="0000FF"/>
            <w:u w:val="single" w:color="0000FF"/>
          </w:rPr>
          <w:t>-</w:t>
        </w:r>
      </w:hyperlink>
      <w:hyperlink r:id="rId482">
        <w:r>
          <w:rPr>
            <w:color w:val="0000FF"/>
            <w:u w:val="single" w:color="0000FF"/>
          </w:rPr>
          <w:t>433OC</w:t>
        </w:r>
      </w:hyperlink>
      <w:hyperlink r:id="rId48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Скороходкина О.В., Лунцов А.В. Бронхомоторные тесты в клинической диагностике бронхиальной астмы. Вестник современной клинической медицины. 2012. Т.5, №2, с.24-29. </w:t>
      </w:r>
      <w:hyperlink r:id="rId484">
        <w:r>
          <w:rPr>
            <w:color w:val="0000FF"/>
            <w:u w:val="single" w:color="0000FF"/>
          </w:rPr>
          <w:t>https://cyberleninka.ru/article/n/bronhomotornye</w:t>
        </w:r>
      </w:hyperlink>
      <w:hyperlink r:id="rId485">
        <w:r>
          <w:rPr>
            <w:color w:val="0000FF"/>
            <w:u w:val="single" w:color="0000FF"/>
          </w:rPr>
          <w:t>-</w:t>
        </w:r>
      </w:hyperlink>
      <w:hyperlink r:id="rId486">
        <w:r>
          <w:rPr>
            <w:color w:val="0000FF"/>
            <w:u w:val="single" w:color="0000FF"/>
          </w:rPr>
          <w:t>testy</w:t>
        </w:r>
      </w:hyperlink>
      <w:hyperlink r:id="rId487">
        <w:r>
          <w:rPr>
            <w:color w:val="0000FF"/>
            <w:u w:val="single" w:color="0000FF"/>
          </w:rPr>
          <w:t>-</w:t>
        </w:r>
      </w:hyperlink>
      <w:hyperlink r:id="rId488">
        <w:r>
          <w:rPr>
            <w:color w:val="0000FF"/>
            <w:u w:val="single" w:color="0000FF"/>
          </w:rPr>
          <w:t>v</w:t>
        </w:r>
      </w:hyperlink>
      <w:hyperlink r:id="rId489">
        <w:r>
          <w:rPr>
            <w:color w:val="0000FF"/>
            <w:u w:val="single" w:color="0000FF"/>
          </w:rPr>
          <w:t>-</w:t>
        </w:r>
      </w:hyperlink>
      <w:hyperlink r:id="rId490">
        <w:r>
          <w:rPr>
            <w:color w:val="0000FF"/>
            <w:u w:val="single" w:color="0000FF"/>
          </w:rPr>
          <w:t>klinicheskoy</w:t>
        </w:r>
      </w:hyperlink>
      <w:hyperlink r:id="rId491"/>
      <w:hyperlink r:id="rId492">
        <w:r>
          <w:rPr>
            <w:color w:val="0000FF"/>
            <w:u w:val="single" w:color="0000FF"/>
          </w:rPr>
          <w:t>diagnostike</w:t>
        </w:r>
      </w:hyperlink>
      <w:hyperlink r:id="rId493">
        <w:r>
          <w:rPr>
            <w:color w:val="0000FF"/>
            <w:u w:val="single" w:color="0000FF"/>
          </w:rPr>
          <w:t>-</w:t>
        </w:r>
      </w:hyperlink>
      <w:hyperlink r:id="rId494">
        <w:r>
          <w:rPr>
            <w:color w:val="0000FF"/>
            <w:u w:val="single" w:color="0000FF"/>
          </w:rPr>
          <w:t>bronhialnoy</w:t>
        </w:r>
      </w:hyperlink>
      <w:hyperlink r:id="rId495">
        <w:r>
          <w:rPr>
            <w:color w:val="0000FF"/>
            <w:u w:val="single" w:color="0000FF"/>
          </w:rPr>
          <w:t>-</w:t>
        </w:r>
      </w:hyperlink>
      <w:hyperlink r:id="rId496">
        <w:r>
          <w:rPr>
            <w:color w:val="0000FF"/>
            <w:u w:val="single" w:color="0000FF"/>
          </w:rPr>
          <w:t>astmy</w:t>
        </w:r>
      </w:hyperlink>
      <w:hyperlink r:id="rId49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Coates, A. L., Wanger, J., Cockcroft, D. W., Culver, B. H., Carlsen, K. H., Diamant, Z., </w:t>
      </w:r>
      <w:r>
        <w:t>Gauvreau, G., Hall, G. L., Hallstrand, T. S., Horvath, I., De Jongh, F. H. C., Joos, G., Kaminsky, D. A., Laube, B. L., Leuppi, J. D., &amp; Sterk, P. J. (2017). ERS technical standard on bronchial challenge testing: general considerations and performance of m</w:t>
      </w:r>
      <w:r>
        <w:t xml:space="preserve">ethacholine challenge tests. The European Respiratory Journal, 49(5).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498">
        <w:r>
          <w:rPr>
            <w:color w:val="0000FF"/>
            <w:u w:val="single" w:color="0000FF"/>
          </w:rPr>
          <w:t>https://doi.org/10.1183/13993003.01526</w:t>
        </w:r>
      </w:hyperlink>
      <w:hyperlink r:id="rId499">
        <w:r>
          <w:rPr>
            <w:color w:val="0000FF"/>
            <w:u w:val="single" w:color="0000FF"/>
          </w:rPr>
          <w:t>-</w:t>
        </w:r>
      </w:hyperlink>
      <w:hyperlink r:id="rId500">
        <w:r>
          <w:rPr>
            <w:color w:val="0000FF"/>
            <w:u w:val="single" w:color="0000FF"/>
          </w:rPr>
          <w:t>2016</w:t>
        </w:r>
      </w:hyperlink>
      <w:hyperlink r:id="rId50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Helen Ramsdale, E., Morris, M. M., Roberts, R. S., &amp; Hargreave, F. E. (1985). Asymptomatic bronchial hyperresponsiveness in rhinitis. The Journal of Allergy and Clinical Immunology, 75(5), 573–577. </w:t>
      </w:r>
      <w:hyperlink r:id="rId502">
        <w:r>
          <w:rPr>
            <w:color w:val="0000FF"/>
            <w:u w:val="single" w:color="0000FF"/>
          </w:rPr>
          <w:t>https://doi.org/10.1016/009</w:t>
        </w:r>
      </w:hyperlink>
      <w:hyperlink r:id="rId503">
        <w:r>
          <w:rPr>
            <w:color w:val="0000FF"/>
            <w:u w:val="single" w:color="0000FF"/>
          </w:rPr>
          <w:t>1</w:t>
        </w:r>
      </w:hyperlink>
      <w:hyperlink r:id="rId504">
        <w:r>
          <w:rPr>
            <w:color w:val="0000FF"/>
            <w:u w:val="single" w:color="0000FF"/>
          </w:rPr>
          <w:t>-</w:t>
        </w:r>
      </w:hyperlink>
      <w:hyperlink r:id="rId505">
        <w:r>
          <w:rPr>
            <w:color w:val="0000FF"/>
            <w:u w:val="single" w:color="0000FF"/>
          </w:rPr>
          <w:t>6749(85)90032</w:t>
        </w:r>
      </w:hyperlink>
      <w:hyperlink r:id="rId506">
        <w:r>
          <w:rPr>
            <w:color w:val="0000FF"/>
            <w:u w:val="single" w:color="0000FF"/>
          </w:rPr>
          <w:t>-</w:t>
        </w:r>
      </w:hyperlink>
      <w:hyperlink r:id="rId507">
        <w:r>
          <w:rPr>
            <w:color w:val="0000FF"/>
            <w:u w:val="single" w:color="0000FF"/>
          </w:rPr>
          <w:t>6</w:t>
        </w:r>
      </w:hyperlink>
      <w:hyperlink r:id="rId50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Ramsdale, E. H., Morris, M. M., Roberts, R. S., &amp; Hargreave, F. E. (1984). B</w:t>
      </w:r>
      <w:r>
        <w:t xml:space="preserve">ronchial responsiveness to methacholine in chronic bronchitis: Relationship to airflow obstruction and cold air responsiveness. Thorax, 39(12), 912–918. </w:t>
      </w:r>
      <w:hyperlink r:id="rId509">
        <w:r>
          <w:rPr>
            <w:color w:val="0000FF"/>
            <w:u w:val="single" w:color="0000FF"/>
          </w:rPr>
          <w:t>https://doi.org/10.1136/thx.39.12.912</w:t>
        </w:r>
      </w:hyperlink>
      <w:hyperlink r:id="rId51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van Haren, E. H. J., Lammers, J. W. J., Festen, J., Heijerman, H. G. M., Groot, C. A. R., &amp; van Herwaarden, C. L. A. (1995). The effects of the inhaled corticosteroid budesonide on lung function and bronchi</w:t>
      </w:r>
      <w:r>
        <w:t xml:space="preserve">al hyperresponsiveness in adult patients with cystic fibrosis. Respiratory Medicine, 89(3), 209–214. </w:t>
      </w:r>
      <w:hyperlink r:id="rId511">
        <w:r>
          <w:rPr>
            <w:color w:val="0000FF"/>
            <w:u w:val="single" w:color="0000FF"/>
          </w:rPr>
          <w:t>https://doi.org/1</w:t>
        </w:r>
      </w:hyperlink>
      <w:hyperlink r:id="rId512">
        <w:r>
          <w:rPr>
            <w:color w:val="0000FF"/>
            <w:u w:val="single" w:color="0000FF"/>
          </w:rPr>
          <w:t>0.1016/095</w:t>
        </w:r>
        <w:r>
          <w:rPr>
            <w:color w:val="0000FF"/>
            <w:u w:val="single" w:color="0000FF"/>
          </w:rPr>
          <w:t>4</w:t>
        </w:r>
      </w:hyperlink>
      <w:hyperlink r:id="rId513">
        <w:r>
          <w:rPr>
            <w:color w:val="0000FF"/>
            <w:u w:val="single" w:color="0000FF"/>
          </w:rPr>
          <w:t>-</w:t>
        </w:r>
      </w:hyperlink>
      <w:hyperlink r:id="rId514">
        <w:r>
          <w:rPr>
            <w:color w:val="0000FF"/>
            <w:u w:val="single" w:color="0000FF"/>
          </w:rPr>
          <w:t>6111(95)90249</w:t>
        </w:r>
      </w:hyperlink>
      <w:hyperlink r:id="rId515">
        <w:r>
          <w:rPr>
            <w:color w:val="0000FF"/>
            <w:u w:val="single" w:color="0000FF"/>
          </w:rPr>
          <w:t>-</w:t>
        </w:r>
      </w:hyperlink>
      <w:hyperlink r:id="rId516">
        <w:r>
          <w:rPr>
            <w:color w:val="0000FF"/>
            <w:u w:val="single" w:color="0000FF"/>
          </w:rPr>
          <w:t>X</w:t>
        </w:r>
      </w:hyperlink>
      <w:hyperlink r:id="rId51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Joshi, S., Powell, T., Watkins, W. J., Drayton, M., Williams, E. M., &amp; Kotecha, S. (2013). Exercise-induced bronchoconstriction in school-aged children who had chronic lung </w:t>
      </w:r>
      <w:r>
        <w:t xml:space="preserve">disease in infancy. The Journal of Pediatrics, 162(4). </w:t>
      </w:r>
      <w:hyperlink r:id="rId518">
        <w:r>
          <w:rPr>
            <w:color w:val="0000FF"/>
            <w:u w:val="single" w:color="0000FF"/>
          </w:rPr>
          <w:t>https://doi.org/10.1016/J.JPEDS.2012.09.040</w:t>
        </w:r>
      </w:hyperlink>
      <w:hyperlink r:id="rId51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Nowak, R. M., Pensler, M. I., </w:t>
      </w:r>
      <w:r>
        <w:t xml:space="preserve">Sarkar, D. D., Anderson, J. A., Kvale, P. A., Ortiz, A. E., &amp; Tomlanovich, M. C. (1982). Comparison of peak expiratory flow and FEV1 admission criteria for acute bronchial asthma. Annals of Emergency Medicine, 11(2), 64–69. </w:t>
      </w:r>
      <w:hyperlink r:id="rId520">
        <w:r>
          <w:rPr>
            <w:color w:val="0000FF"/>
            <w:u w:val="single" w:color="0000FF"/>
          </w:rPr>
          <w:t>https://doi.org/10.1016/S0196</w:t>
        </w:r>
      </w:hyperlink>
      <w:hyperlink r:id="rId521">
        <w:r>
          <w:rPr>
            <w:color w:val="0000FF"/>
            <w:u w:val="single" w:color="0000FF"/>
          </w:rPr>
          <w:t>-</w:t>
        </w:r>
      </w:hyperlink>
      <w:hyperlink r:id="rId522">
        <w:r>
          <w:rPr>
            <w:color w:val="0000FF"/>
            <w:u w:val="single" w:color="0000FF"/>
          </w:rPr>
          <w:t>0644(82)80298</w:t>
        </w:r>
      </w:hyperlink>
      <w:hyperlink r:id="rId523">
        <w:r>
          <w:rPr>
            <w:color w:val="0000FF"/>
            <w:u w:val="single" w:color="0000FF"/>
          </w:rPr>
          <w:t>-</w:t>
        </w:r>
      </w:hyperlink>
      <w:hyperlink r:id="rId524">
        <w:r>
          <w:rPr>
            <w:color w:val="0000FF"/>
            <w:u w:val="single" w:color="0000FF"/>
          </w:rPr>
          <w:t>9</w:t>
        </w:r>
      </w:hyperlink>
      <w:hyperlink r:id="rId52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4"/>
        <w:ind w:right="841" w:hanging="689"/>
      </w:pPr>
      <w:r>
        <w:t xml:space="preserve">Reddel, H. K., Marks, G. B., &amp; Jenkins, C. R. (2004). When </w:t>
      </w:r>
      <w:r>
        <w:t xml:space="preserve">can personal best peak flow be determined for asthma action plans? Thorax, 59(11), 922–924. </w:t>
      </w:r>
      <w:hyperlink r:id="rId526">
        <w:r>
          <w:rPr>
            <w:color w:val="0000FF"/>
            <w:u w:val="single" w:color="0000FF"/>
          </w:rPr>
          <w:t>https</w:t>
        </w:r>
      </w:hyperlink>
      <w:hyperlink r:id="rId527">
        <w:r>
          <w:rPr>
            <w:color w:val="0000FF"/>
            <w:u w:val="single" w:color="0000FF"/>
          </w:rPr>
          <w:t>://</w:t>
        </w:r>
      </w:hyperlink>
      <w:hyperlink r:id="rId528">
        <w:r>
          <w:rPr>
            <w:color w:val="0000FF"/>
            <w:u w:val="single" w:color="0000FF"/>
          </w:rPr>
          <w:t>doi</w:t>
        </w:r>
      </w:hyperlink>
      <w:hyperlink r:id="rId529">
        <w:r>
          <w:rPr>
            <w:color w:val="0000FF"/>
            <w:u w:val="single" w:color="0000FF"/>
          </w:rPr>
          <w:t>.</w:t>
        </w:r>
      </w:hyperlink>
      <w:hyperlink r:id="rId530">
        <w:r>
          <w:rPr>
            <w:color w:val="0000FF"/>
            <w:u w:val="single" w:color="0000FF"/>
          </w:rPr>
          <w:t>org</w:t>
        </w:r>
      </w:hyperlink>
      <w:hyperlink r:id="rId531">
        <w:r>
          <w:rPr>
            <w:color w:val="0000FF"/>
            <w:u w:val="single" w:color="0000FF"/>
          </w:rPr>
          <w:t>/10.1136/</w:t>
        </w:r>
      </w:hyperlink>
      <w:hyperlink r:id="rId532">
        <w:r>
          <w:rPr>
            <w:color w:val="0000FF"/>
            <w:u w:val="single" w:color="0000FF"/>
          </w:rPr>
          <w:t>THX</w:t>
        </w:r>
      </w:hyperlink>
      <w:hyperlink r:id="rId533">
        <w:r>
          <w:rPr>
            <w:color w:val="0000FF"/>
            <w:u w:val="single" w:color="0000FF"/>
          </w:rPr>
          <w:t>.2004.023077</w:t>
        </w:r>
      </w:hyperlink>
      <w:hyperlink r:id="rId53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3"/>
        <w:ind w:right="841" w:hanging="689"/>
      </w:pPr>
      <w:r>
        <w:t>Лукина О.Ф., Фастовская А.М., Хан М.А., Середа Е.В., Симонова О.И., Тарасова О.В. Импульсная осциллометр</w:t>
      </w:r>
      <w:r>
        <w:t xml:space="preserve">ия в оценке нарушений дыхания у детей с хроническими заболеваниями легких. Вопросы диагностики в педиатрии 2010. №3, с.24-28.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Лукина О.Ф. Особенности исследования функции внешнего дыхания у детей и подростков. Практическая пульмонология. 2017,| №4, с.39-4</w:t>
      </w:r>
      <w:r>
        <w:t xml:space="preserve">3. </w:t>
      </w:r>
    </w:p>
    <w:p w:rsidR="00F15F71" w:rsidRDefault="00F974CD">
      <w:pPr>
        <w:spacing w:after="2" w:line="356" w:lineRule="auto"/>
        <w:ind w:left="641" w:right="50"/>
        <w:jc w:val="left"/>
      </w:pPr>
      <w:hyperlink r:id="rId535">
        <w:r>
          <w:rPr>
            <w:color w:val="0000FF"/>
            <w:u w:val="single" w:color="0000FF"/>
          </w:rPr>
          <w:t>https://cyberleninka.ru/article/n/osobennosti</w:t>
        </w:r>
      </w:hyperlink>
      <w:hyperlink r:id="rId536">
        <w:r>
          <w:rPr>
            <w:color w:val="0000FF"/>
            <w:u w:val="single" w:color="0000FF"/>
          </w:rPr>
          <w:t>-</w:t>
        </w:r>
      </w:hyperlink>
      <w:hyperlink r:id="rId537">
        <w:r>
          <w:rPr>
            <w:color w:val="0000FF"/>
            <w:u w:val="single" w:color="0000FF"/>
          </w:rPr>
          <w:t>issledovaniya</w:t>
        </w:r>
      </w:hyperlink>
      <w:hyperlink r:id="rId538">
        <w:r>
          <w:rPr>
            <w:color w:val="0000FF"/>
            <w:u w:val="single" w:color="0000FF"/>
          </w:rPr>
          <w:t>-</w:t>
        </w:r>
      </w:hyperlink>
      <w:hyperlink r:id="rId539">
        <w:r>
          <w:rPr>
            <w:color w:val="0000FF"/>
            <w:u w:val="single" w:color="0000FF"/>
          </w:rPr>
          <w:t>funktsii</w:t>
        </w:r>
      </w:hyperlink>
      <w:hyperlink r:id="rId540">
        <w:r>
          <w:rPr>
            <w:color w:val="0000FF"/>
            <w:u w:val="single" w:color="0000FF"/>
          </w:rPr>
          <w:t>-</w:t>
        </w:r>
      </w:hyperlink>
      <w:hyperlink r:id="rId541">
        <w:r>
          <w:rPr>
            <w:color w:val="0000FF"/>
            <w:u w:val="single" w:color="0000FF"/>
          </w:rPr>
          <w:t>vneshnego</w:t>
        </w:r>
      </w:hyperlink>
      <w:hyperlink r:id="rId542">
        <w:r>
          <w:rPr>
            <w:color w:val="0000FF"/>
            <w:u w:val="single" w:color="0000FF"/>
          </w:rPr>
          <w:t>-</w:t>
        </w:r>
      </w:hyperlink>
      <w:hyperlink r:id="rId543">
        <w:r>
          <w:rPr>
            <w:color w:val="0000FF"/>
            <w:u w:val="single" w:color="0000FF"/>
          </w:rPr>
          <w:t>dyhaniya</w:t>
        </w:r>
      </w:hyperlink>
      <w:hyperlink r:id="rId544"/>
      <w:hyperlink r:id="rId545">
        <w:r>
          <w:rPr>
            <w:color w:val="0000FF"/>
            <w:u w:val="single" w:color="0000FF"/>
          </w:rPr>
          <w:t>u</w:t>
        </w:r>
      </w:hyperlink>
      <w:hyperlink r:id="rId546">
        <w:r>
          <w:rPr>
            <w:color w:val="0000FF"/>
            <w:u w:val="single" w:color="0000FF"/>
          </w:rPr>
          <w:t>-</w:t>
        </w:r>
      </w:hyperlink>
      <w:hyperlink r:id="rId547">
        <w:r>
          <w:rPr>
            <w:color w:val="0000FF"/>
            <w:u w:val="single" w:color="0000FF"/>
          </w:rPr>
          <w:t>detey</w:t>
        </w:r>
      </w:hyperlink>
      <w:hyperlink r:id="rId548">
        <w:r>
          <w:rPr>
            <w:color w:val="0000FF"/>
            <w:u w:val="single" w:color="0000FF"/>
          </w:rPr>
          <w:t>-</w:t>
        </w:r>
      </w:hyperlink>
      <w:hyperlink r:id="rId549">
        <w:r>
          <w:rPr>
            <w:color w:val="0000FF"/>
            <w:u w:val="single" w:color="0000FF"/>
          </w:rPr>
          <w:t>i</w:t>
        </w:r>
      </w:hyperlink>
      <w:hyperlink r:id="rId550">
        <w:r>
          <w:rPr>
            <w:color w:val="0000FF"/>
            <w:u w:val="single" w:color="0000FF"/>
          </w:rPr>
          <w:t>-</w:t>
        </w:r>
      </w:hyperlink>
      <w:hyperlink r:id="rId551">
        <w:r>
          <w:rPr>
            <w:color w:val="0000FF"/>
            <w:u w:val="single" w:color="0000FF"/>
          </w:rPr>
          <w:t>podrostkov</w:t>
        </w:r>
      </w:hyperlink>
      <w:hyperlink r:id="rId55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Kim, H. Y., Shin, Y. H., Jung, D. W., Jee, H. M., Park, H. W., &amp; Han, M. Y. (2009). Resistance and reactance</w:t>
      </w:r>
      <w:r>
        <w:t xml:space="preserve"> in oscillation lung function reflect basal lung function and bronchial hyperresponsiveness respectively. Respirology (Carlton, Vic.), 14(7), 1035–</w:t>
      </w:r>
    </w:p>
    <w:p w:rsidR="00F15F71" w:rsidRDefault="00F974CD">
      <w:pPr>
        <w:spacing w:after="0" w:line="259" w:lineRule="auto"/>
        <w:ind w:left="641" w:right="50"/>
        <w:jc w:val="left"/>
      </w:pPr>
      <w:r>
        <w:t xml:space="preserve">1041. </w:t>
      </w:r>
      <w:hyperlink r:id="rId553">
        <w:r>
          <w:rPr>
            <w:color w:val="0000FF"/>
            <w:u w:val="single" w:color="0000FF"/>
          </w:rPr>
          <w:t>https://doi.org/10.1111/J.1440</w:t>
        </w:r>
      </w:hyperlink>
      <w:hyperlink r:id="rId554">
        <w:r>
          <w:rPr>
            <w:color w:val="0000FF"/>
            <w:u w:val="single" w:color="0000FF"/>
          </w:rPr>
          <w:t>-</w:t>
        </w:r>
      </w:hyperlink>
      <w:hyperlink r:id="rId555">
        <w:r>
          <w:rPr>
            <w:color w:val="0000FF"/>
            <w:u w:val="single" w:color="0000FF"/>
          </w:rPr>
          <w:t>1843.2009.01605.X</w:t>
        </w:r>
      </w:hyperlink>
      <w:hyperlink r:id="rId55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Konstantinou, G. N., Xepapadaki, P</w:t>
      </w:r>
      <w:r>
        <w:t xml:space="preserve">., Papadopoulos, N. G., &amp; Manousakis, E. (2019). Virus-Induced Asthma/Wheeze in Preschool Children: Longitudinal Assessment of Airflow Limitation Using Impulse Oscillometry. Journal of Clinical Medicine, 8(9). </w:t>
      </w:r>
      <w:hyperlink r:id="rId557">
        <w:r>
          <w:rPr>
            <w:color w:val="0000FF"/>
            <w:u w:val="single" w:color="0000FF"/>
          </w:rPr>
          <w:t>https://doi.org/10.3390/JCM8091475</w:t>
        </w:r>
      </w:hyperlink>
      <w:hyperlink r:id="rId55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6" w:line="259" w:lineRule="auto"/>
        <w:ind w:right="841" w:hanging="689"/>
      </w:pPr>
      <w:r>
        <w:t xml:space="preserve">Rupani, H., &amp; Kent, B. D. (2022). Using Fractional Exhaled Nitric Oxide Measurement in </w:t>
      </w:r>
    </w:p>
    <w:p w:rsidR="00F15F71" w:rsidRDefault="00F974CD">
      <w:pPr>
        <w:ind w:left="651" w:right="841"/>
      </w:pPr>
      <w:r>
        <w:t xml:space="preserve">Clinical </w:t>
      </w:r>
      <w:r>
        <w:tab/>
        <w:t xml:space="preserve">Asthma </w:t>
      </w:r>
      <w:r>
        <w:tab/>
        <w:t xml:space="preserve">Management. </w:t>
      </w:r>
      <w:r>
        <w:tab/>
        <w:t xml:space="preserve">Chest, </w:t>
      </w:r>
      <w:r>
        <w:tab/>
        <w:t xml:space="preserve">161(4), </w:t>
      </w:r>
      <w:r>
        <w:tab/>
        <w:t xml:space="preserve">906–917. </w:t>
      </w:r>
      <w:hyperlink r:id="rId559">
        <w:r>
          <w:rPr>
            <w:color w:val="0000FF"/>
            <w:u w:val="single" w:color="0000FF"/>
          </w:rPr>
          <w:t>https://doi.org/10.1016/J.CHEST.2021.10.015</w:t>
        </w:r>
      </w:hyperlink>
      <w:hyperlink r:id="rId56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Di Cicco, M., Peroni, D. G., Ragazzo, V., &amp; Comberiati, P. (2021). Application of exhaled nitric o</w:t>
      </w:r>
      <w:r>
        <w:t xml:space="preserve">xide (FeNO) in pediatric asthma. Current Opinion in Allergy and Clinical Immunology, 21(2), 151–158. </w:t>
      </w:r>
      <w:hyperlink r:id="rId561">
        <w:r>
          <w:rPr>
            <w:color w:val="0000FF"/>
            <w:u w:val="single" w:color="0000FF"/>
          </w:rPr>
          <w:t>https://doi.org/10.1097/ACI.0000000000</w:t>
        </w:r>
      </w:hyperlink>
      <w:hyperlink r:id="rId562">
        <w:r>
          <w:rPr>
            <w:color w:val="0000FF"/>
            <w:u w:val="single" w:color="0000FF"/>
          </w:rPr>
          <w:t>000726</w:t>
        </w:r>
      </w:hyperlink>
      <w:hyperlink r:id="rId56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Ferraro, V., Carraro, S., Bozzetto, S., Zanconato, S., &amp; Baraldi, E. (2018). Exhaled biomarkers in childhood asthma: old and new approaches. Asthma Research and Practice, 4(</w:t>
      </w:r>
      <w:r>
        <w:t xml:space="preserve">1). </w:t>
      </w:r>
      <w:hyperlink r:id="rId564">
        <w:r>
          <w:rPr>
            <w:color w:val="0000FF"/>
            <w:u w:val="single" w:color="0000FF"/>
          </w:rPr>
          <w:t>https://doi.org/10.1186/S40733</w:t>
        </w:r>
      </w:hyperlink>
      <w:hyperlink r:id="rId565">
        <w:r>
          <w:rPr>
            <w:color w:val="0000FF"/>
            <w:u w:val="single" w:color="0000FF"/>
          </w:rPr>
          <w:t>-</w:t>
        </w:r>
      </w:hyperlink>
      <w:hyperlink r:id="rId566">
        <w:r>
          <w:rPr>
            <w:color w:val="0000FF"/>
            <w:u w:val="single" w:color="0000FF"/>
          </w:rPr>
          <w:t>018</w:t>
        </w:r>
      </w:hyperlink>
      <w:hyperlink r:id="rId567">
        <w:r>
          <w:rPr>
            <w:color w:val="0000FF"/>
            <w:u w:val="single" w:color="0000FF"/>
          </w:rPr>
          <w:t>-</w:t>
        </w:r>
      </w:hyperlink>
      <w:hyperlink r:id="rId568">
        <w:r>
          <w:rPr>
            <w:color w:val="0000FF"/>
            <w:u w:val="single" w:color="0000FF"/>
          </w:rPr>
          <w:t>0045</w:t>
        </w:r>
      </w:hyperlink>
      <w:hyperlink r:id="rId569">
        <w:r>
          <w:rPr>
            <w:color w:val="0000FF"/>
            <w:u w:val="single" w:color="0000FF"/>
          </w:rPr>
          <w:t>-</w:t>
        </w:r>
      </w:hyperlink>
      <w:hyperlink r:id="rId570">
        <w:r>
          <w:rPr>
            <w:color w:val="0000FF"/>
            <w:u w:val="single" w:color="0000FF"/>
          </w:rPr>
          <w:t>6</w:t>
        </w:r>
      </w:hyperlink>
      <w:hyperlink r:id="rId57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Singer, F., Luchsinger, I., Inci, D., Knauer, N., Latzin, P., Wildhaber, J. H., &amp; Moeller, A. (2013). Exhaled nitric oxide in symptomatic children at preschool age predicts later asthma. Allergy, 68(4</w:t>
      </w:r>
      <w:r>
        <w:t xml:space="preserve">), 531–538. </w:t>
      </w:r>
      <w:hyperlink r:id="rId572">
        <w:r>
          <w:rPr>
            <w:color w:val="0000FF"/>
            <w:u w:val="single" w:color="0000FF"/>
          </w:rPr>
          <w:t>https://doi.org/10.1111/ALL.12127</w:t>
        </w:r>
      </w:hyperlink>
      <w:hyperlink r:id="rId57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Chien, J. W., Ciufo, R., Novak, R., Skowronski, M., Nelson, J. A., Coreno, A., &amp; McFadden, E. R. (2000)</w:t>
      </w:r>
      <w:r>
        <w:t xml:space="preserve">. Uncontrolled oxygen administration and respiratory failure in acute asthma. Chest, 117(3), 728–733. </w:t>
      </w:r>
      <w:hyperlink r:id="rId574">
        <w:r>
          <w:rPr>
            <w:color w:val="0000FF"/>
            <w:u w:val="single" w:color="0000FF"/>
          </w:rPr>
          <w:t>https://doi.org/10.1378/CHEST.117.3.728</w:t>
        </w:r>
      </w:hyperlink>
      <w:hyperlink r:id="rId57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White, C. S., Cole, R. P., Lubetsky, H. W., &amp; Austin, J. H. M. (1991). Acute asthma. Admission chest radiography in hospitalized adult patients. Chest, 100(1), 14–16. </w:t>
      </w:r>
      <w:hyperlink r:id="rId576">
        <w:r>
          <w:rPr>
            <w:color w:val="0000FF"/>
            <w:u w:val="single" w:color="0000FF"/>
          </w:rPr>
          <w:t>https://doi.org/10.1378/CH</w:t>
        </w:r>
        <w:r>
          <w:rPr>
            <w:color w:val="0000FF"/>
            <w:u w:val="single" w:color="0000FF"/>
          </w:rPr>
          <w:t>EST.100.1.14</w:t>
        </w:r>
      </w:hyperlink>
      <w:hyperlink r:id="rId57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Trottier, E. D., Chan, K., Allain, D., &amp; Chauvin-Kimoff, L. (2021). Managing an acute asthma exacerbation in children. Paediatrics &amp; Child Health, 26(7), 438–438. </w:t>
      </w:r>
      <w:hyperlink r:id="rId578">
        <w:r>
          <w:rPr>
            <w:color w:val="0000FF"/>
            <w:u w:val="single" w:color="0000FF"/>
          </w:rPr>
          <w:t>https://doi.org/10.1093/PCH/PXAB058</w:t>
        </w:r>
      </w:hyperlink>
      <w:hyperlink r:id="rId57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7"/>
        <w:ind w:right="841" w:hanging="689"/>
      </w:pPr>
      <w:r>
        <w:t>Akar-Ghibril, N., Casale, T., Custovic, A., &amp; Phipatanakul, W. (2020). Allergic Endotypes and Phenotypes of Asthma. The Journal of</w:t>
      </w:r>
      <w:r>
        <w:t xml:space="preserve"> Allergy and Clinical Immunology. In Practice, 8(2), 429–440. </w:t>
      </w:r>
      <w:hyperlink r:id="rId580">
        <w:r>
          <w:rPr>
            <w:color w:val="0000FF"/>
            <w:u w:val="single" w:color="0000FF"/>
          </w:rPr>
          <w:t>https://doi.org/10.1016/J.JAIP.2019.11.008</w:t>
        </w:r>
      </w:hyperlink>
      <w:hyperlink r:id="rId58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Dibek Misirlioǧlu, E., &amp; R</w:t>
      </w:r>
      <w:r>
        <w:t>eha Cengizlier, M. (2007). Skin prick test results of child patients diagnosed with bronchial asthma. Allergologia et Immunopathologia, 35(1), 21–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24. </w:t>
      </w:r>
      <w:hyperlink r:id="rId582">
        <w:r>
          <w:rPr>
            <w:color w:val="0000FF"/>
            <w:u w:val="single" w:color="0000FF"/>
          </w:rPr>
          <w:t>https://doi.org/10.1157/13099091</w:t>
        </w:r>
      </w:hyperlink>
      <w:hyperlink r:id="rId58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Bousquet, J., Heinzerling, L., Bachert, C., Papadopoulos, N. G., Bousquet, P. J., Burney, P. G., Canonica, G. W., Carlsen, K. H., Cox, L., Haahtela, T., Lodrup Carlsen, K. C., </w:t>
      </w:r>
    </w:p>
    <w:p w:rsidR="00F15F71" w:rsidRDefault="00F974CD">
      <w:pPr>
        <w:spacing w:after="0" w:line="359" w:lineRule="auto"/>
        <w:ind w:left="10" w:right="845"/>
        <w:jc w:val="right"/>
      </w:pPr>
      <w:r>
        <w:t xml:space="preserve">Price, D., Samolinski, B., Simons, F. E. R., Wickman, M., Annesi-Maesano, I., BaenaCagnani, C. E., Bergmann, K. C., Bindslev-Jensen, C., … Demoly, P. (2012). Practical guide to skin prick tests in allergy to aeroallergens. Allergy, 67(1), 18–24.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584">
        <w:r>
          <w:rPr>
            <w:color w:val="0000FF"/>
            <w:u w:val="single" w:color="0000FF"/>
          </w:rPr>
          <w:t>https://doi.org/10.1111/J.1398</w:t>
        </w:r>
      </w:hyperlink>
      <w:hyperlink r:id="rId585">
        <w:r>
          <w:rPr>
            <w:color w:val="0000FF"/>
            <w:u w:val="single" w:color="0000FF"/>
          </w:rPr>
          <w:t>-</w:t>
        </w:r>
      </w:hyperlink>
      <w:hyperlink r:id="rId586">
        <w:r>
          <w:rPr>
            <w:color w:val="0000FF"/>
            <w:u w:val="single" w:color="0000FF"/>
          </w:rPr>
          <w:t>9995.2011.02728.X</w:t>
        </w:r>
      </w:hyperlink>
      <w:hyperlink r:id="rId58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Mapp, C. E., Boschetto, P., Maestrelli, P., &amp; Fabbri, L. M. (2005). Occupational asthma. American Journal of Respiratory and Critical Care Medicine, 172(3), 280–305. </w:t>
      </w:r>
      <w:r>
        <w:t xml:space="preserve">https://doi.org/10.1164/RCCM.200311-1575SO </w:t>
      </w:r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Baur, X., Sigsgaard, T., Aasen, T. B., Burge, P. S., Heederik, D., Henneberger, P., </w:t>
      </w:r>
    </w:p>
    <w:p w:rsidR="00F15F71" w:rsidRDefault="00F974CD">
      <w:pPr>
        <w:spacing w:after="32"/>
        <w:ind w:left="651" w:right="841"/>
      </w:pPr>
      <w:r>
        <w:t>Maestrelli, P., Rooyackers, J., Schlünssen, V., Vandenplas, O., &amp; Wilken, D. (2012). Guidelines for the management of work-rela</w:t>
      </w:r>
      <w:r>
        <w:t xml:space="preserve">ted asthma. The European Respiratory Journal, 39(3), 529–545. </w:t>
      </w:r>
      <w:hyperlink r:id="rId588">
        <w:r>
          <w:rPr>
            <w:color w:val="0000FF"/>
            <w:u w:val="single" w:color="0000FF"/>
          </w:rPr>
          <w:t>https://doi.org/10.1183/09031936.00096111</w:t>
        </w:r>
      </w:hyperlink>
      <w:hyperlink r:id="rId58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Perrin, B., Lagier, F., L’Arc</w:t>
      </w:r>
      <w:r>
        <w:t xml:space="preserve">heveque, J., Cariter, A., Boulet, L. P., Cote, J., &amp; Malo, J. L. (1992). Occupational asthma: Validity of monitoring of peak expiratory flow rates and non-allergic bronchial responsiveness as compared to specific inhalation challenge. </w:t>
      </w:r>
    </w:p>
    <w:p w:rsidR="00F15F71" w:rsidRDefault="00F974CD">
      <w:pPr>
        <w:spacing w:after="22" w:line="362" w:lineRule="auto"/>
        <w:ind w:left="641" w:right="50"/>
        <w:jc w:val="left"/>
      </w:pPr>
      <w:r>
        <w:t xml:space="preserve">European </w:t>
      </w:r>
      <w:r>
        <w:tab/>
        <w:t>Respirator</w:t>
      </w:r>
      <w:r>
        <w:t xml:space="preserve">y </w:t>
      </w:r>
      <w:r>
        <w:tab/>
        <w:t xml:space="preserve">Journal, </w:t>
      </w:r>
      <w:r>
        <w:tab/>
        <w:t xml:space="preserve">5(1), </w:t>
      </w:r>
      <w:r>
        <w:tab/>
        <w:t xml:space="preserve">40–48. </w:t>
      </w:r>
      <w:hyperlink r:id="rId590">
        <w:r>
          <w:rPr>
            <w:color w:val="0000FF"/>
            <w:u w:val="single" w:color="0000FF"/>
          </w:rPr>
          <w:t>https://doi.org/10.1183/09031936.93.05010040</w:t>
        </w:r>
      </w:hyperlink>
      <w:hyperlink r:id="rId59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Malo, J. L., Cartier, A., L’Archeveque, J., Cóte, J., B</w:t>
      </w:r>
      <w:r>
        <w:t xml:space="preserve">oulet, L. P., &amp; Chan-Yeung, M. (1993). How many times per day should peak expiratory flow rates be assessed when investigating occupational asthma? Thorax, 48(12), 1211–1217. </w:t>
      </w:r>
      <w:hyperlink r:id="rId592">
        <w:r>
          <w:rPr>
            <w:color w:val="0000FF"/>
            <w:u w:val="single" w:color="0000FF"/>
          </w:rPr>
          <w:t>https://doi.org/10.1136</w:t>
        </w:r>
        <w:r>
          <w:rPr>
            <w:color w:val="0000FF"/>
            <w:u w:val="single" w:color="0000FF"/>
          </w:rPr>
          <w:t>/THX.48.12.1211</w:t>
        </w:r>
      </w:hyperlink>
      <w:hyperlink r:id="rId59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Leroyer, C., Perfetti, L., Trudeau, C., L’Archevêque, J., Chan-Yeung, M., &amp; Malo, J. L. (1998). Comparison of serial monitoring of peak expiratory flow and FEV1 in the diagnosis of </w:t>
      </w:r>
      <w:r>
        <w:t xml:space="preserve">occupational asthma. American Journal of Respiratory and Critical Care Medicine, 158(3), 827–832. </w:t>
      </w:r>
      <w:hyperlink r:id="rId594">
        <w:r>
          <w:rPr>
            <w:color w:val="0000FF"/>
            <w:u w:val="single" w:color="0000FF"/>
          </w:rPr>
          <w:t>https://doi.org/10.1164/ajrccm.158.3.9707093</w:t>
        </w:r>
      </w:hyperlink>
      <w:hyperlink r:id="rId59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DiMango, E., Rogers, L., Reibman, J., Gerald, L. B., Brown, M., Sugar, E. A., Henderson, R., &amp; Holbrook, J. T. (2018). Risk Factors for Asthma Exacerbation and Treatment Failure in Adults and Adolescents with Well-controlled Asthma during C</w:t>
      </w:r>
      <w:r>
        <w:t xml:space="preserve">ontinuation and Step-Down Therapy. Annals of the American Thoracic Society, 15(8), 955–961. </w:t>
      </w:r>
      <w:hyperlink r:id="rId596">
        <w:r>
          <w:rPr>
            <w:color w:val="0000FF"/>
            <w:u w:val="single" w:color="0000FF"/>
          </w:rPr>
          <w:t>https://doi.org/10.1513/ANNALSATS.2</w:t>
        </w:r>
      </w:hyperlink>
      <w:hyperlink r:id="rId597">
        <w:r>
          <w:rPr>
            <w:color w:val="0000FF"/>
            <w:u w:val="single" w:color="0000FF"/>
          </w:rPr>
          <w:t>01711</w:t>
        </w:r>
      </w:hyperlink>
      <w:hyperlink r:id="rId598">
        <w:r>
          <w:rPr>
            <w:color w:val="0000FF"/>
            <w:u w:val="single" w:color="0000FF"/>
          </w:rPr>
          <w:t>-</w:t>
        </w:r>
      </w:hyperlink>
      <w:hyperlink r:id="rId599">
        <w:r>
          <w:rPr>
            <w:color w:val="0000FF"/>
            <w:u w:val="single" w:color="0000FF"/>
          </w:rPr>
          <w:t>886OC</w:t>
        </w:r>
      </w:hyperlink>
      <w:hyperlink r:id="rId60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>Usmani, O. S., Kemppinen, A., Gardener, E.</w:t>
      </w:r>
      <w:r>
        <w:t xml:space="preserve">, Thomas, V., Konduru, P. R., Callan, C., </w:t>
      </w:r>
    </w:p>
    <w:p w:rsidR="00F15F71" w:rsidRDefault="00F974CD">
      <w:pPr>
        <w:spacing w:after="112" w:line="259" w:lineRule="auto"/>
        <w:ind w:left="651" w:right="841"/>
      </w:pPr>
      <w:r>
        <w:t xml:space="preserve">McLoughlin, A., Woodhead, V., Brady, A., Juniper, E. F., Barnes, P. J., &amp; Price, D. </w:t>
      </w:r>
    </w:p>
    <w:p w:rsidR="00F15F71" w:rsidRDefault="00F974CD">
      <w:pPr>
        <w:ind w:left="651" w:right="841"/>
      </w:pPr>
      <w:r>
        <w:t>(2017). A Randomized Pragmatic Trial of Changing to and Stepping Down Fluticasone/Formoterol in Asthma. The Journal of Allergy a</w:t>
      </w:r>
      <w:r>
        <w:t xml:space="preserve">nd Clinical Immunology. In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Practice, 5(5), 1378-1387.e5. </w:t>
      </w:r>
      <w:hyperlink r:id="rId601">
        <w:r>
          <w:rPr>
            <w:color w:val="0000FF"/>
            <w:u w:val="single" w:color="0000FF"/>
          </w:rPr>
          <w:t>https://doi.org/10.1016/J.JAIP.2017.02.006</w:t>
        </w:r>
      </w:hyperlink>
      <w:hyperlink r:id="rId60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Ducharme, F. M., Zemek, R., Chauhan, B. F., Gravel, J., Chalut, D., Poonai, N., Guertin, M. C., Quach, C., Blondeau, L., &amp; Laberge, S. (2016). Factors associated with failure of emergency department management in children with acute moderate or severe asth</w:t>
      </w:r>
      <w:r>
        <w:t xml:space="preserve">ma: a prospective, multicentre, cohort study. The Lancet Respiratory Medicine, 4(12), 990–998. </w:t>
      </w:r>
      <w:hyperlink r:id="rId603">
        <w:r>
          <w:rPr>
            <w:color w:val="0000FF"/>
            <w:u w:val="single" w:color="0000FF"/>
          </w:rPr>
          <w:t>https://doi.org/10.1016/S2213</w:t>
        </w:r>
      </w:hyperlink>
      <w:hyperlink r:id="rId604">
        <w:r>
          <w:rPr>
            <w:color w:val="0000FF"/>
            <w:u w:val="single" w:color="0000FF"/>
          </w:rPr>
          <w:t>-</w:t>
        </w:r>
      </w:hyperlink>
      <w:hyperlink r:id="rId605">
        <w:r>
          <w:rPr>
            <w:color w:val="0000FF"/>
            <w:u w:val="single" w:color="0000FF"/>
          </w:rPr>
          <w:t>2600(16)30160</w:t>
        </w:r>
      </w:hyperlink>
      <w:hyperlink r:id="rId606">
        <w:r>
          <w:rPr>
            <w:color w:val="0000FF"/>
            <w:u w:val="single" w:color="0000FF"/>
          </w:rPr>
          <w:t>-</w:t>
        </w:r>
      </w:hyperlink>
      <w:hyperlink r:id="rId607">
        <w:r>
          <w:rPr>
            <w:color w:val="0000FF"/>
            <w:u w:val="single" w:color="0000FF"/>
          </w:rPr>
          <w:t>6</w:t>
        </w:r>
      </w:hyperlink>
      <w:hyperlink r:id="rId60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Alimani, G. S., Ananth, S., Boccabella, C., Khaleva, E., Roberts, G., Papadopoulos, N. G., Kosmidis, C., Vestbo, J., Papageorgiou, E., Beloukas, A., &amp; Mathioudakis, A. G. (2023). Prevalence and clinical implications of respiratory virus</w:t>
      </w:r>
      <w:r>
        <w:t xml:space="preserve">es in asthma during stable disease state and acute attacks: Protocol for a meta-analysis. PLoS ONE, 18(11 November). </w:t>
      </w:r>
      <w:hyperlink r:id="rId609">
        <w:r>
          <w:rPr>
            <w:color w:val="0000FF"/>
            <w:u w:val="single" w:color="0000FF"/>
          </w:rPr>
          <w:t>https://doi.org/10.1371/journal.pone.0294416</w:t>
        </w:r>
      </w:hyperlink>
      <w:hyperlink r:id="rId61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Xiong, S., Chen, W., Jia, X., Jia, Y., &amp; Liu, C. (2023). Machine learning for prediction of asthma exacerbations among asthmatic patients: a systematic review and meta-analysis. BMC Pulmonary Medicine, 23(1). </w:t>
      </w:r>
      <w:hyperlink r:id="rId611">
        <w:r>
          <w:rPr>
            <w:color w:val="0000FF"/>
            <w:u w:val="single" w:color="0000FF"/>
          </w:rPr>
          <w:t>https://doi.org/10.1186/s12890</w:t>
        </w:r>
      </w:hyperlink>
      <w:hyperlink r:id="rId612">
        <w:r>
          <w:rPr>
            <w:color w:val="0000FF"/>
            <w:u w:val="single" w:color="0000FF"/>
          </w:rPr>
          <w:t>-</w:t>
        </w:r>
      </w:hyperlink>
      <w:hyperlink r:id="rId613">
        <w:r>
          <w:rPr>
            <w:color w:val="0000FF"/>
            <w:u w:val="single" w:color="0000FF"/>
          </w:rPr>
          <w:t>023</w:t>
        </w:r>
      </w:hyperlink>
      <w:hyperlink r:id="rId614">
        <w:r>
          <w:rPr>
            <w:color w:val="0000FF"/>
            <w:u w:val="single" w:color="0000FF"/>
          </w:rPr>
          <w:t>-</w:t>
        </w:r>
      </w:hyperlink>
      <w:hyperlink r:id="rId615">
        <w:r>
          <w:rPr>
            <w:color w:val="0000FF"/>
            <w:u w:val="single" w:color="0000FF"/>
          </w:rPr>
          <w:t>02570</w:t>
        </w:r>
      </w:hyperlink>
      <w:hyperlink r:id="rId616">
        <w:r>
          <w:rPr>
            <w:color w:val="0000FF"/>
            <w:u w:val="single" w:color="0000FF"/>
          </w:rPr>
          <w:t>-</w:t>
        </w:r>
      </w:hyperlink>
      <w:hyperlink r:id="rId617">
        <w:r>
          <w:rPr>
            <w:color w:val="0000FF"/>
            <w:u w:val="single" w:color="0000FF"/>
          </w:rPr>
          <w:t>w</w:t>
        </w:r>
      </w:hyperlink>
      <w:hyperlink r:id="rId61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2" w:line="259" w:lineRule="auto"/>
        <w:ind w:right="841" w:hanging="689"/>
      </w:pPr>
      <w:r>
        <w:t xml:space="preserve">Castillo, J. R., Peters, S. P., &amp; Busse, W. W. (2017). Asthma Exacerbations: Pathogenesis, </w:t>
      </w:r>
    </w:p>
    <w:p w:rsidR="00F15F71" w:rsidRDefault="00F974CD">
      <w:pPr>
        <w:ind w:left="651" w:right="841"/>
      </w:pPr>
      <w:r>
        <w:t xml:space="preserve">Prevention, and Treatment. The Journal of Allergy and Clinical Immunology. In Practice, 5(4), 918–927. </w:t>
      </w:r>
      <w:hyperlink r:id="rId619">
        <w:r>
          <w:rPr>
            <w:color w:val="0000FF"/>
            <w:u w:val="single" w:color="0000FF"/>
          </w:rPr>
          <w:t>https://doi.org/10.1016/J.JAIP.2017.05.001</w:t>
        </w:r>
      </w:hyperlink>
      <w:hyperlink r:id="rId62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Robijn, A. L., Bokern, M. P., Jensen, M. E., Barker, D., Baines, K. J., &amp; Murphy, V. E. (2</w:t>
      </w:r>
      <w:r>
        <w:t xml:space="preserve">022). Risk factors for asthma exacerbations during pregnancy: a systematic review and meta-analysis. European Respiratory Review : An Official Journal of the European Respiratory Society, 31(164). </w:t>
      </w:r>
      <w:hyperlink r:id="rId621">
        <w:r>
          <w:rPr>
            <w:color w:val="0000FF"/>
            <w:u w:val="single" w:color="0000FF"/>
          </w:rPr>
          <w:t>https://doi.org/10.1183/16000617.0039</w:t>
        </w:r>
      </w:hyperlink>
      <w:hyperlink r:id="rId622">
        <w:r>
          <w:rPr>
            <w:color w:val="0000FF"/>
            <w:u w:val="single" w:color="0000FF"/>
          </w:rPr>
          <w:t>-</w:t>
        </w:r>
      </w:hyperlink>
      <w:hyperlink r:id="rId623">
        <w:r>
          <w:rPr>
            <w:color w:val="0000FF"/>
            <w:u w:val="single" w:color="0000FF"/>
          </w:rPr>
          <w:t>2022</w:t>
        </w:r>
      </w:hyperlink>
      <w:hyperlink r:id="rId62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Leuppi, J. D., Salome, C. M., Jenkins, C. R., Anderson, S. D., Xuan, W., Marks, G. B., Koskela, H., Brannan, J. D., Freed, R., Andersson, M., Chan, H. K., &amp; Woolcock, A. J. (2001). Predictive markers of asthma exacerbation</w:t>
      </w:r>
      <w:r>
        <w:t xml:space="preserve"> during stepwise dose reduction of inhaled corticosteroids. American Journal of Respiratory and Critical Care Medicine, 163(2), 406–412. </w:t>
      </w:r>
      <w:hyperlink r:id="rId625">
        <w:r>
          <w:rPr>
            <w:color w:val="0000FF"/>
            <w:u w:val="single" w:color="0000FF"/>
          </w:rPr>
          <w:t>https://doi.org/10.1164/AJRCCM.163.2.9912091</w:t>
        </w:r>
      </w:hyperlink>
      <w:hyperlink r:id="rId62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43" w:line="259" w:lineRule="auto"/>
        <w:ind w:right="841" w:hanging="689"/>
      </w:pPr>
      <w:r>
        <w:t xml:space="preserve">Crossingham, I., Turner, S., Ramakrishnan, S., Fries, A., Gowell, M., Yasmin, F., </w:t>
      </w:r>
    </w:p>
    <w:p w:rsidR="00F15F71" w:rsidRDefault="00F974CD">
      <w:pPr>
        <w:ind w:left="651" w:right="841"/>
      </w:pPr>
      <w:r>
        <w:t>Richardson, R., Webb, P., O’Boyle, E., &amp; Hinks, T. S. C. (2021). Combination fixed-dose beta agonist and steroid inhal</w:t>
      </w:r>
      <w:r>
        <w:t xml:space="preserve">er as required for adults or children with mild asthma. </w:t>
      </w:r>
    </w:p>
    <w:p w:rsidR="00F15F71" w:rsidRDefault="00F974CD">
      <w:pPr>
        <w:ind w:left="651" w:right="841"/>
      </w:pPr>
      <w:r>
        <w:t xml:space="preserve">Cochrane </w:t>
      </w:r>
      <w:r>
        <w:tab/>
        <w:t xml:space="preserve">Database </w:t>
      </w:r>
      <w:r>
        <w:tab/>
        <w:t xml:space="preserve">of </w:t>
      </w:r>
      <w:r>
        <w:tab/>
        <w:t xml:space="preserve">Systematic </w:t>
      </w:r>
      <w:r>
        <w:tab/>
        <w:t xml:space="preserve">Reviews, </w:t>
      </w:r>
      <w:r>
        <w:tab/>
        <w:t xml:space="preserve">2021(5). </w:t>
      </w:r>
      <w:hyperlink r:id="rId627">
        <w:r>
          <w:rPr>
            <w:color w:val="0000FF"/>
            <w:u w:val="single" w:color="0000FF"/>
          </w:rPr>
          <w:t>https://doi.org/10.1002/14651858.CD013518.pub2</w:t>
        </w:r>
      </w:hyperlink>
      <w:hyperlink r:id="rId62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Krings, J. G., &amp; Beasley, R. (2024). The Role of ICS-Containing Rescue Therapy Versus SABA Alone in Asthma Management Today. The Journal of Allergy and Clinical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Immunology. In Practice. </w:t>
      </w:r>
      <w:hyperlink r:id="rId629">
        <w:r>
          <w:rPr>
            <w:color w:val="0000FF"/>
            <w:u w:val="single" w:color="0000FF"/>
          </w:rPr>
          <w:t>https://doi.org/10.1016/J.JAIP.2</w:t>
        </w:r>
      </w:hyperlink>
      <w:hyperlink r:id="rId630">
        <w:r>
          <w:rPr>
            <w:color w:val="0000FF"/>
            <w:u w:val="single" w:color="0000FF"/>
          </w:rPr>
          <w:t>024.01.011</w:t>
        </w:r>
      </w:hyperlink>
      <w:hyperlink r:id="rId63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Domingo, C., &amp; Singh, D. (2023). The Changing Asthma Manage</w:t>
      </w:r>
      <w:r>
        <w:t xml:space="preserve">ment Landscape and Need for Appropriate SABA Prescription. Advances in Therapy, 40(4), 1301–1316. </w:t>
      </w:r>
      <w:hyperlink r:id="rId632">
        <w:r>
          <w:rPr>
            <w:color w:val="0000FF"/>
            <w:u w:val="single" w:color="0000FF"/>
          </w:rPr>
          <w:t>https://doi.org/10.1007/s12325</w:t>
        </w:r>
      </w:hyperlink>
      <w:hyperlink r:id="rId633">
        <w:r>
          <w:rPr>
            <w:color w:val="0000FF"/>
            <w:u w:val="single" w:color="0000FF"/>
          </w:rPr>
          <w:t>-</w:t>
        </w:r>
      </w:hyperlink>
      <w:hyperlink r:id="rId634">
        <w:r>
          <w:rPr>
            <w:color w:val="0000FF"/>
            <w:u w:val="single" w:color="0000FF"/>
          </w:rPr>
          <w:t>022</w:t>
        </w:r>
      </w:hyperlink>
      <w:hyperlink r:id="rId635">
        <w:r>
          <w:rPr>
            <w:color w:val="0000FF"/>
            <w:u w:val="single" w:color="0000FF"/>
          </w:rPr>
          <w:t>-</w:t>
        </w:r>
      </w:hyperlink>
      <w:hyperlink r:id="rId636">
        <w:r>
          <w:rPr>
            <w:color w:val="0000FF"/>
            <w:u w:val="single" w:color="0000FF"/>
          </w:rPr>
          <w:t>02410</w:t>
        </w:r>
      </w:hyperlink>
      <w:hyperlink r:id="rId637">
        <w:r>
          <w:rPr>
            <w:color w:val="0000FF"/>
            <w:u w:val="single" w:color="0000FF"/>
          </w:rPr>
          <w:t>-</w:t>
        </w:r>
      </w:hyperlink>
      <w:hyperlink r:id="rId638">
        <w:r>
          <w:rPr>
            <w:color w:val="0000FF"/>
            <w:u w:val="single" w:color="0000FF"/>
          </w:rPr>
          <w:t>z</w:t>
        </w:r>
      </w:hyperlink>
      <w:hyperlink r:id="rId63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9"/>
        <w:ind w:right="841" w:hanging="689"/>
      </w:pPr>
      <w:r>
        <w:t>Beasley, R., Holliday, M., Reddel, H. K., Braithwaite, I., Ebmeier, S., Hancox, R. J., Harrison, T., Houghton, C., Oldfield, K., P</w:t>
      </w:r>
      <w:r>
        <w:t xml:space="preserve">api, A., Pavord, I. D., Williams, M., &amp; Weatherall, M. (2019). Controlled Trial of Budesonide-Formoterol as Needed for Mild Asthma. The New England Journal of Medicine, 380(21), 2020–2030. </w:t>
      </w:r>
      <w:hyperlink r:id="rId640">
        <w:r>
          <w:rPr>
            <w:color w:val="0000FF"/>
            <w:u w:val="single" w:color="0000FF"/>
          </w:rPr>
          <w:t>https://doi.org/10.1056/NEJMOA1901963</w:t>
        </w:r>
      </w:hyperlink>
      <w:hyperlink r:id="rId64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O’Byrne, P. M., FitzGerald, J. M., Bateman, E. D., Barnes, P. J., Zhong, N., Keen, C., Jorup, C., Lamarca, R., Ivanov, S., &amp; Reddel, H. K. (2018). Inhaled Combi</w:t>
      </w:r>
      <w:r>
        <w:t xml:space="preserve">ned Budesonide-Formoterol as Needed in Mild Asthma. The New England Journal of Medicine, 378(20), 1865–1876. </w:t>
      </w:r>
      <w:hyperlink r:id="rId642">
        <w:r>
          <w:rPr>
            <w:color w:val="0000FF"/>
            <w:u w:val="single" w:color="0000FF"/>
          </w:rPr>
          <w:t>https://doi.org/10.1056/NEJMOA1715274</w:t>
        </w:r>
      </w:hyperlink>
      <w:hyperlink r:id="rId64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Hatter, L., Bruce, P., Braithwaite, I., Holliday, M., Fingleton, J., Weatherall, M., &amp; Beasley, R. (2021). ICS-formoterol reliever versus ICS and short-acting β2-agonist reliever in asthma: a systematic review and meta-analysis. ERJ Open Research, 7(</w:t>
      </w:r>
      <w:r>
        <w:t xml:space="preserve">1), 00701–02020. </w:t>
      </w:r>
      <w:hyperlink r:id="rId644">
        <w:r>
          <w:rPr>
            <w:color w:val="0000FF"/>
            <w:u w:val="single" w:color="0000FF"/>
          </w:rPr>
          <w:t>https://doi.org/10.1183/23120541.00701</w:t>
        </w:r>
      </w:hyperlink>
      <w:hyperlink r:id="rId645">
        <w:r>
          <w:rPr>
            <w:color w:val="0000FF"/>
            <w:u w:val="single" w:color="0000FF"/>
          </w:rPr>
          <w:t>-</w:t>
        </w:r>
      </w:hyperlink>
      <w:hyperlink r:id="rId646">
        <w:r>
          <w:rPr>
            <w:color w:val="0000FF"/>
            <w:u w:val="single" w:color="0000FF"/>
          </w:rPr>
          <w:t>2020</w:t>
        </w:r>
      </w:hyperlink>
      <w:hyperlink r:id="rId64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Stanford, R. H., Shah, M. B., D’Souza, A. O., Dhamane, A. D., &amp; Schatz, M. (2012). Short-acting β-agonist use and its ability to predict future asthma-related outcomes. </w:t>
      </w:r>
    </w:p>
    <w:p w:rsidR="00F15F71" w:rsidRDefault="00F974CD">
      <w:pPr>
        <w:ind w:left="651" w:right="841"/>
      </w:pPr>
      <w:r>
        <w:t xml:space="preserve">Annals of Allergy, Asthma &amp; </w:t>
      </w:r>
      <w:r>
        <w:t xml:space="preserve">Immunology : Official Publication of the American College of Allergy, Asthma, &amp; Immunology, 109(6), 403–407. </w:t>
      </w:r>
      <w:hyperlink r:id="rId648">
        <w:r>
          <w:rPr>
            <w:color w:val="0000FF"/>
            <w:u w:val="single" w:color="0000FF"/>
          </w:rPr>
          <w:t>https://doi.org/10.1016/J.ANAI.2012.08.014</w:t>
        </w:r>
      </w:hyperlink>
      <w:hyperlink r:id="rId64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Bhagat, R., Swystun, V. A., &amp; Cockcroft, D. W. (1996). Salbutamol-induced increased airway responsiveness to allergen and reduced protection versus methacholine: dose response. The Journal of Allergy and Clinical Immunology, 97(1 Pt 1)</w:t>
      </w:r>
      <w:r>
        <w:t xml:space="preserve">, 47–52. </w:t>
      </w:r>
      <w:hyperlink r:id="rId650">
        <w:r>
          <w:rPr>
            <w:color w:val="0000FF"/>
            <w:u w:val="single" w:color="0000FF"/>
          </w:rPr>
          <w:t>https://doi.org/10.1016/S0091</w:t>
        </w:r>
      </w:hyperlink>
      <w:hyperlink r:id="rId651">
        <w:r>
          <w:rPr>
            <w:color w:val="0000FF"/>
            <w:u w:val="single" w:color="0000FF"/>
          </w:rPr>
          <w:t>-</w:t>
        </w:r>
      </w:hyperlink>
      <w:hyperlink r:id="rId652">
        <w:r>
          <w:rPr>
            <w:color w:val="0000FF"/>
            <w:u w:val="single" w:color="0000FF"/>
          </w:rPr>
          <w:t>6749(96)70282</w:t>
        </w:r>
      </w:hyperlink>
      <w:hyperlink r:id="rId653">
        <w:r>
          <w:rPr>
            <w:color w:val="0000FF"/>
            <w:u w:val="single" w:color="0000FF"/>
          </w:rPr>
          <w:t>-</w:t>
        </w:r>
      </w:hyperlink>
      <w:hyperlink r:id="rId654">
        <w:r>
          <w:rPr>
            <w:color w:val="0000FF"/>
            <w:u w:val="single" w:color="0000FF"/>
          </w:rPr>
          <w:t>8</w:t>
        </w:r>
      </w:hyperlink>
      <w:hyperlink r:id="rId65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Hancox, R. J., Cowan, J. O., Flannery, E. M., Herbison, G. P., Mcl</w:t>
      </w:r>
      <w:r>
        <w:t xml:space="preserve">achlan, C. R., &amp; Taylor, D. R. (2000). Bronchodilator tolerance and rebound bronchoconstriction during regular inhaled beta-agonist treatment. Respiratory Medicine, 94(8), 767–771.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656">
        <w:r>
          <w:rPr>
            <w:color w:val="0000FF"/>
            <w:u w:val="single" w:color="0000FF"/>
          </w:rPr>
          <w:t>https://doi.org/</w:t>
        </w:r>
        <w:r>
          <w:rPr>
            <w:color w:val="0000FF"/>
            <w:u w:val="single" w:color="0000FF"/>
          </w:rPr>
          <w:t>10.1053/RMED.2000.0820</w:t>
        </w:r>
      </w:hyperlink>
      <w:hyperlink r:id="rId65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Kraft, M., Richardson, M., Hallmark, B., Billheimer, D., Van den Berge, M., Fabbri, L. M., Van der Molen, T., Nicolini, G., Papi, A., Rabe, K. F., Singh, D., Brightling, C., </w:t>
      </w:r>
    </w:p>
    <w:p w:rsidR="00F15F71" w:rsidRDefault="00F974CD">
      <w:pPr>
        <w:ind w:left="651" w:right="841"/>
      </w:pPr>
      <w:r>
        <w:t>Siddiqui, S., Pizzichini, E., Cukier, A., Stelmach, R., Olivenstein, R., Zhang, Q., Badorrek, P., … Hanania, N. (2022). The role of small airway dysfunction in asthma control and exacerbations: a longitudinal, observational analysis using data from the AT</w:t>
      </w:r>
      <w:r>
        <w:t xml:space="preserve">LANTIS </w:t>
      </w:r>
      <w:r>
        <w:tab/>
        <w:t xml:space="preserve">study. </w:t>
      </w:r>
      <w:r>
        <w:tab/>
        <w:t xml:space="preserve">The </w:t>
      </w:r>
      <w:r>
        <w:tab/>
        <w:t xml:space="preserve">Lancet </w:t>
      </w:r>
      <w:r>
        <w:tab/>
        <w:t xml:space="preserve">Respiratory </w:t>
      </w:r>
      <w:r>
        <w:tab/>
        <w:t xml:space="preserve">Medicine, </w:t>
      </w:r>
      <w:r>
        <w:tab/>
        <w:t xml:space="preserve">10(7), </w:t>
      </w:r>
      <w:r>
        <w:tab/>
        <w:t xml:space="preserve">661–668. </w:t>
      </w:r>
      <w:hyperlink r:id="rId658">
        <w:r>
          <w:rPr>
            <w:color w:val="0000FF"/>
            <w:u w:val="single" w:color="0000FF"/>
          </w:rPr>
          <w:t>https://doi.org/10.1016/S2213</w:t>
        </w:r>
      </w:hyperlink>
      <w:hyperlink r:id="rId659">
        <w:r>
          <w:rPr>
            <w:color w:val="0000FF"/>
            <w:u w:val="single" w:color="0000FF"/>
          </w:rPr>
          <w:t>-</w:t>
        </w:r>
      </w:hyperlink>
      <w:hyperlink r:id="rId660">
        <w:r>
          <w:rPr>
            <w:color w:val="0000FF"/>
            <w:u w:val="single" w:color="0000FF"/>
          </w:rPr>
          <w:t>2600(21)00536</w:t>
        </w:r>
      </w:hyperlink>
      <w:hyperlink r:id="rId661">
        <w:r>
          <w:rPr>
            <w:color w:val="0000FF"/>
            <w:u w:val="single" w:color="0000FF"/>
          </w:rPr>
          <w:t>-</w:t>
        </w:r>
      </w:hyperlink>
      <w:hyperlink r:id="rId662">
        <w:r>
          <w:rPr>
            <w:color w:val="0000FF"/>
            <w:u w:val="single" w:color="0000FF"/>
          </w:rPr>
          <w:t>1</w:t>
        </w:r>
      </w:hyperlink>
      <w:hyperlink r:id="rId66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6" w:line="259" w:lineRule="auto"/>
        <w:ind w:right="841" w:hanging="689"/>
      </w:pPr>
      <w:r>
        <w:t xml:space="preserve">Amin, S., Soliman, M., McIvor, A., Cave, A., &amp; Cabrera, C. (2020). Usage Patterns of </w:t>
      </w:r>
    </w:p>
    <w:p w:rsidR="00F15F71" w:rsidRDefault="00F974CD">
      <w:pPr>
        <w:ind w:left="651" w:right="841"/>
      </w:pPr>
      <w:r>
        <w:t xml:space="preserve">Short-Acting β2-Agonists and Inhaled Corticosteroids in Asthma: A Targeted Literature Review. Journal of Allergy and Clinical Immunology: In Practice, </w:t>
      </w:r>
      <w:r>
        <w:t xml:space="preserve">8(8), 2556-2564.e8.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664">
        <w:r>
          <w:rPr>
            <w:color w:val="0000FF"/>
            <w:u w:val="single" w:color="0000FF"/>
          </w:rPr>
          <w:t>https://doi.org/10.1016/j.jaip.2</w:t>
        </w:r>
      </w:hyperlink>
      <w:hyperlink r:id="rId665">
        <w:r>
          <w:rPr>
            <w:color w:val="0000FF"/>
            <w:u w:val="single" w:color="0000FF"/>
          </w:rPr>
          <w:t>020.03.013</w:t>
        </w:r>
      </w:hyperlink>
      <w:hyperlink r:id="rId66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6" w:line="259" w:lineRule="auto"/>
        <w:ind w:right="841" w:hanging="689"/>
      </w:pPr>
      <w:r>
        <w:t xml:space="preserve">Cho, </w:t>
      </w:r>
      <w:r>
        <w:t xml:space="preserve">Y. S., &amp; Oh, Y. M. (2019). Dilemma of Asthma Treatment in Mild Patients. </w:t>
      </w:r>
    </w:p>
    <w:p w:rsidR="00F15F71" w:rsidRDefault="00F974CD">
      <w:pPr>
        <w:spacing w:after="26"/>
        <w:ind w:left="651" w:right="841"/>
      </w:pPr>
      <w:r>
        <w:t xml:space="preserve">Tuberculosis </w:t>
      </w:r>
      <w:r>
        <w:tab/>
        <w:t xml:space="preserve">and </w:t>
      </w:r>
      <w:r>
        <w:tab/>
        <w:t xml:space="preserve">Respiratory </w:t>
      </w:r>
      <w:r>
        <w:tab/>
        <w:t xml:space="preserve">Diseases, </w:t>
      </w:r>
      <w:r>
        <w:tab/>
        <w:t xml:space="preserve">82(3), </w:t>
      </w:r>
      <w:r>
        <w:tab/>
        <w:t xml:space="preserve">190–193. </w:t>
      </w:r>
      <w:hyperlink r:id="rId667">
        <w:r>
          <w:rPr>
            <w:color w:val="0000FF"/>
            <w:u w:val="single" w:color="0000FF"/>
          </w:rPr>
          <w:t>https://doi.org/10.4046/TRD.2018.0013</w:t>
        </w:r>
      </w:hyperlink>
      <w:hyperlink r:id="rId66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Bateman, E. D., Reddel, H. K., O’Byrne, P. M., Barnes, P. J., Zhong, N., Keen, C., Jorup, C., Lamarca, R., Siwek-Posluszna, A., &amp; FitzGerald, J. M. (2018). As-Needed </w:t>
      </w:r>
    </w:p>
    <w:p w:rsidR="00F15F71" w:rsidRDefault="00F974CD">
      <w:pPr>
        <w:ind w:left="651" w:right="841"/>
      </w:pPr>
      <w:r>
        <w:t>Budesonide–Formoterol versus Maintenance Budesonide in Mil</w:t>
      </w:r>
      <w:r>
        <w:t xml:space="preserve">d Asthma. New England Journal of Medicine, 378(20), 1877–1887. </w:t>
      </w:r>
      <w:hyperlink r:id="rId669">
        <w:r>
          <w:rPr>
            <w:color w:val="0000FF"/>
            <w:u w:val="single" w:color="0000FF"/>
          </w:rPr>
          <w:t>https://doi.org/10.1056/nejmoa1715275</w:t>
        </w:r>
      </w:hyperlink>
      <w:hyperlink r:id="rId67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9"/>
        <w:ind w:right="841" w:hanging="689"/>
      </w:pPr>
      <w:r>
        <w:t xml:space="preserve">Singh, D., Garcia, G., Maneechotesuwan, </w:t>
      </w:r>
      <w:r>
        <w:t xml:space="preserve">K., Daley-Yates, P., Irusen, E., Aggarwal, B., Boucot, I., &amp; Berend, N. (2022). New Versus Old: The Impact of Changing Patterns of Inhaled Corticosteroid Prescribing and Dosing Regimens in Asthma Management. Advances in Therapy, 39(5), 1895–1914. </w:t>
      </w:r>
      <w:hyperlink r:id="rId671">
        <w:r>
          <w:rPr>
            <w:color w:val="0000FF"/>
            <w:u w:val="single" w:color="0000FF"/>
          </w:rPr>
          <w:t>https://doi.org/10.1007/s12325</w:t>
        </w:r>
      </w:hyperlink>
      <w:hyperlink r:id="rId672">
        <w:r>
          <w:rPr>
            <w:color w:val="0000FF"/>
            <w:u w:val="single" w:color="0000FF"/>
          </w:rPr>
          <w:t>-</w:t>
        </w:r>
      </w:hyperlink>
      <w:hyperlink r:id="rId673">
        <w:r>
          <w:rPr>
            <w:color w:val="0000FF"/>
            <w:u w:val="single" w:color="0000FF"/>
          </w:rPr>
          <w:t>022</w:t>
        </w:r>
      </w:hyperlink>
      <w:hyperlink r:id="rId674">
        <w:r>
          <w:rPr>
            <w:color w:val="0000FF"/>
            <w:u w:val="single" w:color="0000FF"/>
          </w:rPr>
          <w:t>-</w:t>
        </w:r>
      </w:hyperlink>
      <w:hyperlink r:id="rId675">
        <w:r>
          <w:rPr>
            <w:color w:val="0000FF"/>
            <w:u w:val="single" w:color="0000FF"/>
          </w:rPr>
          <w:t>02092</w:t>
        </w:r>
      </w:hyperlink>
      <w:hyperlink r:id="rId676">
        <w:r>
          <w:rPr>
            <w:color w:val="0000FF"/>
            <w:u w:val="single" w:color="0000FF"/>
          </w:rPr>
          <w:t>-</w:t>
        </w:r>
      </w:hyperlink>
      <w:hyperlink r:id="rId677">
        <w:r>
          <w:rPr>
            <w:color w:val="0000FF"/>
            <w:u w:val="single" w:color="0000FF"/>
          </w:rPr>
          <w:t>7</w:t>
        </w:r>
      </w:hyperlink>
      <w:hyperlink r:id="rId67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O’Byrne, P. M., &amp; Mejza, F. (2018). Advances in the treatment of mild asthma: recent evidence. Polish Archives of Internal Medicine, 128(9), 545–549. </w:t>
      </w:r>
      <w:hyperlink r:id="rId679">
        <w:r>
          <w:rPr>
            <w:color w:val="0000FF"/>
            <w:u w:val="single" w:color="0000FF"/>
          </w:rPr>
          <w:t>https://doi.org/10.20452/PAMW.4341</w:t>
        </w:r>
      </w:hyperlink>
      <w:hyperlink r:id="rId68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Papi, A., Canonica, G. W., Maestrelli, P., Paggiaro, P., Olivieri, D., Pozzi, E., Crimi, N., Vignola, A. M., Morelli, P., Nicolini, G., &amp; Fabbri, L. M. (2007). Rescue</w:t>
      </w:r>
      <w:r>
        <w:t xml:space="preserve"> Use of Beclomethasone and Albuterol in a Single Inhaler for Mild Asthma. New England Journal of Medicine, 356(20), 2040–2052. </w:t>
      </w:r>
      <w:hyperlink r:id="rId681">
        <w:r>
          <w:rPr>
            <w:color w:val="0000FF"/>
            <w:u w:val="single" w:color="0000FF"/>
          </w:rPr>
          <w:t>https://doi.org/10.1056/nejmoa063861</w:t>
        </w:r>
      </w:hyperlink>
      <w:hyperlink r:id="rId68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Martinez, F. D., Chinchilli, V. M., Morgan, W. J., Boehmer, S. J., Lemanske, R. F., Mauger, D. T., Strunk, R. C., Szefler, S. J., Zeiger, R. S., Bacharier, L. B., Bade, E., Covar, R. A., Friedman, N. J., Guilbert, T. W., Heidarian-Rais</w:t>
      </w:r>
      <w:r>
        <w:t>sy, H., Kelly, H. W., Malka-Rais, J., Mellon, M. H., Sorkness, C. A., &amp; Taussig, L. (2011). Use of beclomethasone dipropionate as rescue treatment for children with mild persistent asthma (TREXA): a randomised, double-blind, placebo-controlled trial. Lance</w:t>
      </w:r>
      <w:r>
        <w:t xml:space="preserve">t (London, England), 377(9766), 650–657. </w:t>
      </w:r>
      <w:hyperlink r:id="rId683">
        <w:r>
          <w:rPr>
            <w:color w:val="0000FF"/>
            <w:u w:val="single" w:color="0000FF"/>
          </w:rPr>
          <w:t>https://doi.org/10.1016/S0140</w:t>
        </w:r>
      </w:hyperlink>
      <w:hyperlink r:id="rId684">
        <w:r>
          <w:rPr>
            <w:color w:val="0000FF"/>
            <w:u w:val="single" w:color="0000FF"/>
          </w:rPr>
          <w:t>-</w:t>
        </w:r>
      </w:hyperlink>
      <w:hyperlink r:id="rId685">
        <w:r>
          <w:rPr>
            <w:color w:val="0000FF"/>
            <w:u w:val="single" w:color="0000FF"/>
          </w:rPr>
          <w:t>6736(10)62145</w:t>
        </w:r>
      </w:hyperlink>
      <w:hyperlink r:id="rId686">
        <w:r>
          <w:rPr>
            <w:color w:val="0000FF"/>
            <w:u w:val="single" w:color="0000FF"/>
          </w:rPr>
          <w:t>-</w:t>
        </w:r>
      </w:hyperlink>
      <w:hyperlink r:id="rId687">
        <w:r>
          <w:rPr>
            <w:color w:val="0000FF"/>
            <w:u w:val="single" w:color="0000FF"/>
          </w:rPr>
          <w:t>9</w:t>
        </w:r>
      </w:hyperlink>
      <w:hyperlink r:id="rId68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Cates, C. J., &amp; Karner, C. (2013).</w:t>
      </w:r>
      <w:r>
        <w:t xml:space="preserve"> Combination formoterol and budesonide as maintenance and reliever therapy versus current best practice (including inhaled steroid maintenance), </w:t>
      </w:r>
    </w:p>
    <w:p w:rsidR="00F15F71" w:rsidRDefault="00F974CD">
      <w:pPr>
        <w:ind w:left="651" w:right="841"/>
      </w:pPr>
      <w:r>
        <w:t xml:space="preserve">for chronic asthma in adults and children. Cochrane Database of Systematic Reviews, 2013(4). </w:t>
      </w:r>
      <w:hyperlink r:id="rId689">
        <w:r>
          <w:rPr>
            <w:color w:val="0000FF"/>
            <w:u w:val="single" w:color="0000FF"/>
          </w:rPr>
          <w:t>https://doi.org/10.1002/14651858.CD007313.pub3</w:t>
        </w:r>
      </w:hyperlink>
      <w:hyperlink r:id="rId69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Reddel, H. K., Bateman, E. D., Schatz, M., Krishnan, J. A., &amp; Cloutier, M. M. (2022). A Pract</w:t>
      </w:r>
      <w:r>
        <w:t xml:space="preserve">ical Guide to Implementing SMART in Asthma Management. The Journal of Allergy and Clinical Immunology. In Practice, 10(1S), S31–S38. </w:t>
      </w:r>
      <w:hyperlink r:id="rId691">
        <w:r>
          <w:rPr>
            <w:color w:val="0000FF"/>
            <w:u w:val="single" w:color="0000FF"/>
          </w:rPr>
          <w:t>https://doi.org/10.1016/J.JAIP.2021.10.011</w:t>
        </w:r>
      </w:hyperlink>
      <w:hyperlink r:id="rId69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Ulmeanu, R., Bloju, S., &amp; Vittos, O. (2022). Assessment of Symptoms Control, Pulmonary Function and Related Quality of Life in Asthmatic Patients Treated with Extrafine Beclomethasone Dipropionate/Formoterol Fum</w:t>
      </w:r>
      <w:r>
        <w:t xml:space="preserve">arate 100/6 μg pMDI: Results of a Multicenter Observational Study in Romania (ALFRESCO Study). Journal of Asthma and Allergy, 15, 919–933. </w:t>
      </w:r>
      <w:hyperlink r:id="rId693">
        <w:r>
          <w:rPr>
            <w:color w:val="0000FF"/>
            <w:u w:val="single" w:color="0000FF"/>
          </w:rPr>
          <w:t>https://doi.org/10.2147/JAA.S358798</w:t>
        </w:r>
      </w:hyperlink>
      <w:hyperlink r:id="rId69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Singh, D., Garcia, G., Maneechotesuwan, K., Daley-Yates, P., Irusen, E., Aggarwal, B., Boucot, I., &amp; Berend, N. (2022). New Versus Old: The Impact of Changing Patterns of </w:t>
      </w:r>
    </w:p>
    <w:p w:rsidR="00F15F71" w:rsidRDefault="00F974CD">
      <w:pPr>
        <w:ind w:left="651" w:right="841"/>
      </w:pPr>
      <w:r>
        <w:t>Inhaled Corticosteroid Prescribing and Dosing Regimens</w:t>
      </w:r>
      <w:r>
        <w:t xml:space="preserve"> in Asthma Management. Advances in Therapy, 39(5), 1895–1914. </w:t>
      </w:r>
      <w:hyperlink r:id="rId695">
        <w:r>
          <w:rPr>
            <w:color w:val="0000FF"/>
            <w:u w:val="single" w:color="0000FF"/>
          </w:rPr>
          <w:t>https://doi.org/10.1007/S12325</w:t>
        </w:r>
      </w:hyperlink>
      <w:hyperlink r:id="rId696">
        <w:r>
          <w:rPr>
            <w:color w:val="0000FF"/>
            <w:u w:val="single" w:color="0000FF"/>
          </w:rPr>
          <w:t>-</w:t>
        </w:r>
      </w:hyperlink>
      <w:hyperlink r:id="rId697">
        <w:r>
          <w:rPr>
            <w:color w:val="0000FF"/>
            <w:u w:val="single" w:color="0000FF"/>
          </w:rPr>
          <w:t>022</w:t>
        </w:r>
      </w:hyperlink>
      <w:hyperlink r:id="rId698">
        <w:r>
          <w:rPr>
            <w:color w:val="0000FF"/>
            <w:u w:val="single" w:color="0000FF"/>
          </w:rPr>
          <w:t>-</w:t>
        </w:r>
      </w:hyperlink>
      <w:hyperlink r:id="rId699">
        <w:r>
          <w:rPr>
            <w:color w:val="0000FF"/>
            <w:u w:val="single" w:color="0000FF"/>
          </w:rPr>
          <w:t>02092</w:t>
        </w:r>
      </w:hyperlink>
      <w:hyperlink r:id="rId700">
        <w:r>
          <w:rPr>
            <w:color w:val="0000FF"/>
            <w:u w:val="single" w:color="0000FF"/>
          </w:rPr>
          <w:t>-</w:t>
        </w:r>
      </w:hyperlink>
      <w:hyperlink r:id="rId701">
        <w:r>
          <w:rPr>
            <w:color w:val="0000FF"/>
            <w:u w:val="single" w:color="0000FF"/>
          </w:rPr>
          <w:t>7</w:t>
        </w:r>
      </w:hyperlink>
      <w:hyperlink r:id="rId70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Sobieraj, D. M., Weeda, E. R., Nguyen, E., Coleman, C. I., Michael White, C., Lazarus, S. C., Blake, K. V., Lang, J. E., &amp; Baker, W. L. (2018). Association of Inhaled Corticosteroids and Long-Acting β-Agonists as Controller and Quick Relief Therapy With </w:t>
      </w:r>
    </w:p>
    <w:p w:rsidR="00F15F71" w:rsidRDefault="00F974CD">
      <w:pPr>
        <w:ind w:left="651" w:right="841"/>
      </w:pPr>
      <w:r>
        <w:t>E</w:t>
      </w:r>
      <w:r>
        <w:t xml:space="preserve">xacerbations and Symptom Control in Persistent Asthma: A Systematic Review and Meta-analysis. JAMA, 319(14), 1485–1496. </w:t>
      </w:r>
      <w:hyperlink r:id="rId703">
        <w:r>
          <w:rPr>
            <w:color w:val="0000FF"/>
            <w:u w:val="single" w:color="0000FF"/>
          </w:rPr>
          <w:t>https://doi.org/10.1001/JAMA.2018.2769</w:t>
        </w:r>
      </w:hyperlink>
      <w:hyperlink r:id="rId70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Singh, D., Garcia, G., Maneechotesuwan, K., Daley-Yates, P., Irusen, E., Aggarwal, B., Boucot, I., &amp; Berend, N. (2022). New Versus Old: The Impact of Changing Patterns of Inhaled Corticosteroid Prescribing and Dosing Regimens in Asthma </w:t>
      </w:r>
      <w:r>
        <w:t xml:space="preserve">Management. Advances in Therapy, 39(5), 1895–1914. </w:t>
      </w:r>
      <w:hyperlink r:id="rId705">
        <w:r>
          <w:rPr>
            <w:color w:val="0000FF"/>
            <w:u w:val="single" w:color="0000FF"/>
          </w:rPr>
          <w:t>https://doi.org/10.1007/S12325</w:t>
        </w:r>
      </w:hyperlink>
      <w:hyperlink r:id="rId706">
        <w:r>
          <w:rPr>
            <w:color w:val="0000FF"/>
            <w:u w:val="single" w:color="0000FF"/>
          </w:rPr>
          <w:t>-</w:t>
        </w:r>
      </w:hyperlink>
      <w:hyperlink r:id="rId707">
        <w:r>
          <w:rPr>
            <w:color w:val="0000FF"/>
            <w:u w:val="single" w:color="0000FF"/>
          </w:rPr>
          <w:t>022</w:t>
        </w:r>
      </w:hyperlink>
      <w:hyperlink r:id="rId708">
        <w:r>
          <w:rPr>
            <w:color w:val="0000FF"/>
            <w:u w:val="single" w:color="0000FF"/>
          </w:rPr>
          <w:t>-</w:t>
        </w:r>
      </w:hyperlink>
      <w:hyperlink r:id="rId709">
        <w:r>
          <w:rPr>
            <w:color w:val="0000FF"/>
            <w:u w:val="single" w:color="0000FF"/>
          </w:rPr>
          <w:t>02092</w:t>
        </w:r>
      </w:hyperlink>
      <w:hyperlink r:id="rId710">
        <w:r>
          <w:rPr>
            <w:color w:val="0000FF"/>
            <w:u w:val="single" w:color="0000FF"/>
          </w:rPr>
          <w:t>-</w:t>
        </w:r>
      </w:hyperlink>
      <w:hyperlink r:id="rId711">
        <w:r>
          <w:rPr>
            <w:color w:val="0000FF"/>
            <w:u w:val="single" w:color="0000FF"/>
          </w:rPr>
          <w:t>7</w:t>
        </w:r>
      </w:hyperlink>
      <w:hyperlink r:id="rId71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Vogelmeier, C., Naya, I., &amp; Ekelund, J. (2012). Budesonide/formoterol maintenance and reliever therapy in Asian patients (aged ≥16 years) with asthma: a sub-analysis of the </w:t>
      </w:r>
    </w:p>
    <w:p w:rsidR="00F15F71" w:rsidRDefault="00F974CD">
      <w:pPr>
        <w:ind w:left="651" w:right="841"/>
      </w:pPr>
      <w:r>
        <w:t>COS</w:t>
      </w:r>
      <w:r>
        <w:t xml:space="preserve">MOS </w:t>
      </w:r>
      <w:r>
        <w:tab/>
        <w:t xml:space="preserve">study. </w:t>
      </w:r>
      <w:r>
        <w:tab/>
        <w:t xml:space="preserve">Clinical </w:t>
      </w:r>
      <w:r>
        <w:tab/>
        <w:t xml:space="preserve">Drug </w:t>
      </w:r>
      <w:r>
        <w:tab/>
        <w:t xml:space="preserve">Investigation, </w:t>
      </w:r>
      <w:r>
        <w:tab/>
        <w:t xml:space="preserve">32(7), </w:t>
      </w:r>
      <w:r>
        <w:tab/>
        <w:t xml:space="preserve">439–449. </w:t>
      </w:r>
      <w:hyperlink r:id="rId713">
        <w:r>
          <w:rPr>
            <w:color w:val="0000FF"/>
            <w:u w:val="single" w:color="0000FF"/>
          </w:rPr>
          <w:t>https://doi.org/10.2165/11598840</w:t>
        </w:r>
      </w:hyperlink>
      <w:hyperlink r:id="rId714">
        <w:r>
          <w:rPr>
            <w:color w:val="0000FF"/>
            <w:u w:val="single" w:color="0000FF"/>
          </w:rPr>
          <w:t>-</w:t>
        </w:r>
      </w:hyperlink>
      <w:hyperlink r:id="rId715">
        <w:r>
          <w:rPr>
            <w:color w:val="0000FF"/>
            <w:u w:val="single" w:color="0000FF"/>
          </w:rPr>
          <w:t>000000000</w:t>
        </w:r>
      </w:hyperlink>
      <w:hyperlink r:id="rId716">
        <w:r>
          <w:rPr>
            <w:color w:val="0000FF"/>
            <w:u w:val="single" w:color="0000FF"/>
          </w:rPr>
          <w:t>-</w:t>
        </w:r>
      </w:hyperlink>
      <w:hyperlink r:id="rId717">
        <w:r>
          <w:rPr>
            <w:color w:val="0000FF"/>
            <w:u w:val="single" w:color="0000FF"/>
          </w:rPr>
          <w:t>00000</w:t>
        </w:r>
      </w:hyperlink>
      <w:hyperlink r:id="rId71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Bateman, E. D., Harrison, T. W., Quirce, S., Reddel, H. K., Buhl, R., Humbert, M., </w:t>
      </w:r>
    </w:p>
    <w:p w:rsidR="00F15F71" w:rsidRDefault="00F974CD">
      <w:pPr>
        <w:ind w:left="651" w:right="841"/>
      </w:pPr>
      <w:r>
        <w:t>Jenkins, C. R., Peterson, S., Östlund, O., O’Byrne, P. M., Sears, M. R., &amp; Eriksson, G. S. (2011). Overa</w:t>
      </w:r>
      <w:r>
        <w:t xml:space="preserve">ll asthma control achieved with budesonide/formoterol maintenance and reliever therapy for patients on different treatment steps. Respiratory Research, 12(1).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719">
        <w:r>
          <w:rPr>
            <w:color w:val="0000FF"/>
            <w:u w:val="single" w:color="0000FF"/>
          </w:rPr>
          <w:t>https://doi.org/10.1186/1465</w:t>
        </w:r>
      </w:hyperlink>
      <w:hyperlink r:id="rId720">
        <w:r>
          <w:rPr>
            <w:color w:val="0000FF"/>
            <w:u w:val="single" w:color="0000FF"/>
          </w:rPr>
          <w:t>-</w:t>
        </w:r>
      </w:hyperlink>
      <w:hyperlink r:id="rId721">
        <w:r>
          <w:rPr>
            <w:color w:val="0000FF"/>
            <w:u w:val="single" w:color="0000FF"/>
          </w:rPr>
          <w:t>9921</w:t>
        </w:r>
      </w:hyperlink>
      <w:hyperlink r:id="rId722">
        <w:r>
          <w:rPr>
            <w:color w:val="0000FF"/>
            <w:u w:val="single" w:color="0000FF"/>
          </w:rPr>
          <w:t>-</w:t>
        </w:r>
      </w:hyperlink>
      <w:hyperlink r:id="rId723">
        <w:r>
          <w:rPr>
            <w:color w:val="0000FF"/>
            <w:u w:val="single" w:color="0000FF"/>
          </w:rPr>
          <w:t>12</w:t>
        </w:r>
      </w:hyperlink>
      <w:hyperlink r:id="rId724">
        <w:r>
          <w:rPr>
            <w:color w:val="0000FF"/>
            <w:u w:val="single" w:color="0000FF"/>
          </w:rPr>
          <w:t>-</w:t>
        </w:r>
      </w:hyperlink>
      <w:hyperlink r:id="rId725">
        <w:r>
          <w:rPr>
            <w:color w:val="0000FF"/>
            <w:u w:val="single" w:color="0000FF"/>
          </w:rPr>
          <w:t>38</w:t>
        </w:r>
      </w:hyperlink>
      <w:hyperlink r:id="rId72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Chong, J., Haran, C., &amp; Asher, I. (2014). Intermittent inhaled corticosteroid therapy versus pl</w:t>
      </w:r>
      <w:r>
        <w:t xml:space="preserve">acebo for persistent asthma in children and adults. Cochrane Database of Systematic Reviews, 2014(4). </w:t>
      </w:r>
      <w:hyperlink r:id="rId727">
        <w:r>
          <w:rPr>
            <w:color w:val="0000FF"/>
            <w:u w:val="single" w:color="0000FF"/>
          </w:rPr>
          <w:t>https://doi.org/10.1002/14651858.CD011032</w:t>
        </w:r>
      </w:hyperlink>
      <w:hyperlink r:id="rId72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Sumino, K., Bacharier, L. B., Taylor, J., Chadwick-Mansker, K., Curtis, V., Nash, A., Jackson-Triggs, S., Moen, J., Schechtman, K. B., Garbutt, J., &amp; Castro, M. (2020). A Pragmatic Trial of Symptom-Based Inhaled Corticosteroid Use in African-Ame</w:t>
      </w:r>
      <w:r>
        <w:t xml:space="preserve">rican Children with Mild Asthma. The Journal of Allergy and Clinical Immunology. In Practice,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8(1), 176-185.e2. </w:t>
      </w:r>
      <w:hyperlink r:id="rId729">
        <w:r>
          <w:rPr>
            <w:color w:val="0000FF"/>
            <w:u w:val="single" w:color="0000FF"/>
          </w:rPr>
          <w:t>https://doi.org/10.1016/J.JAIP.2019.06.030</w:t>
        </w:r>
      </w:hyperlink>
      <w:hyperlink r:id="rId73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Nielsen, K. G., &amp; Bisgaard, H. (2000). The effect of inhaled budesonide on symptoms, lung function, and cold air and methacholine responsiveness in 2- to 5-year-old asthmatic children. American Journal of Respiratory and Critical C</w:t>
      </w:r>
      <w:r>
        <w:t>are Medicine, 162(4 Pt 1), 1500–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1506. </w:t>
      </w:r>
      <w:hyperlink r:id="rId731">
        <w:r>
          <w:rPr>
            <w:color w:val="0000FF"/>
            <w:u w:val="single" w:color="0000FF"/>
          </w:rPr>
          <w:t>https://doi.org/10.1164/AJRCCM.162.4.20</w:t>
        </w:r>
      </w:hyperlink>
      <w:hyperlink r:id="rId732">
        <w:r>
          <w:rPr>
            <w:color w:val="0000FF"/>
            <w:u w:val="single" w:color="0000FF"/>
          </w:rPr>
          <w:t>02019</w:t>
        </w:r>
      </w:hyperlink>
      <w:hyperlink r:id="rId73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Pao, C. S., McKenzie, S. A., Bisgaard, H., &amp; Nielsen, K. G. (2001). Inhaled corticosteroids for persistent wheeze in preschool children [3] (multiple letters). American </w:t>
      </w:r>
    </w:p>
    <w:p w:rsidR="00F15F71" w:rsidRDefault="00F974CD">
      <w:pPr>
        <w:ind w:left="651" w:right="841"/>
      </w:pPr>
      <w:r>
        <w:t xml:space="preserve">Journal </w:t>
      </w:r>
      <w:r>
        <w:tab/>
        <w:t xml:space="preserve">of </w:t>
      </w:r>
      <w:r>
        <w:tab/>
        <w:t xml:space="preserve">Respiratory </w:t>
      </w:r>
      <w:r>
        <w:tab/>
        <w:t xml:space="preserve">and </w:t>
      </w:r>
      <w:r>
        <w:tab/>
        <w:t xml:space="preserve">Critical </w:t>
      </w:r>
      <w:r>
        <w:tab/>
        <w:t xml:space="preserve">Care </w:t>
      </w:r>
      <w:r>
        <w:tab/>
        <w:t xml:space="preserve">Medicine, </w:t>
      </w:r>
      <w:r>
        <w:tab/>
        <w:t>163(5),</w:t>
      </w:r>
      <w:r>
        <w:t xml:space="preserve"> </w:t>
      </w:r>
      <w:r>
        <w:tab/>
        <w:t xml:space="preserve">1278. </w:t>
      </w:r>
      <w:hyperlink r:id="rId734">
        <w:r>
          <w:rPr>
            <w:color w:val="0000FF"/>
            <w:u w:val="single" w:color="0000FF"/>
          </w:rPr>
          <w:t>https://doi.org/10.1164/ajrccm.163.5.1635c</w:t>
        </w:r>
      </w:hyperlink>
      <w:hyperlink r:id="rId73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Castro-Rodriguez, J. A., Rodriguez-Martinez, C. E., &amp; Ducharme, F. M. (2018). Da</w:t>
      </w:r>
      <w:r>
        <w:t xml:space="preserve">ily inhaled corticosteroids or montelukast for preschoolers with asthma or recurrent wheezing: A systematic review. Pediatric Pulmonology, 53(12), 1670–1677. </w:t>
      </w:r>
      <w:hyperlink r:id="rId736">
        <w:r>
          <w:rPr>
            <w:color w:val="0000FF"/>
            <w:u w:val="single" w:color="0000FF"/>
          </w:rPr>
          <w:t>https://doi.org/10.1002/ppul.24176</w:t>
        </w:r>
      </w:hyperlink>
      <w:hyperlink r:id="rId73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Zhang, H. P., Jia, C. E., Lv, Y., Gibson, P. G., &amp; Wang, G. (2014). Montelukast for prevention and treatment of asthma exacerbations in adults: Systematic review and metaanalysis. Allergy and Asthma Pro</w:t>
      </w:r>
      <w:r>
        <w:t xml:space="preserve">ceedings, 35(4), 278–287. </w:t>
      </w:r>
      <w:hyperlink r:id="rId738">
        <w:r>
          <w:rPr>
            <w:color w:val="0000FF"/>
            <w:u w:val="single" w:color="0000FF"/>
          </w:rPr>
          <w:t>https://doi.org/10.2500/AAP.2014.35.3745</w:t>
        </w:r>
      </w:hyperlink>
      <w:hyperlink r:id="rId73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9"/>
        <w:ind w:right="841" w:hanging="689"/>
      </w:pPr>
      <w:r>
        <w:t xml:space="preserve">Mayoral, K., Lizano-Barrantes, C., Zamora, V., Pont, A., Miret, C., </w:t>
      </w:r>
      <w:r>
        <w:t>Barrufet, C., Caballero-Rabasco, M. A., Praena-Crespo, M., Bercedo, A., Valdesoiro-Navarrete, L., Guerra, M. T., Pardo, Y., Zapata, M. J. M., Garin, O., &amp; Ferrer, M. (2023). Montelukast in paediatric asthma and allergic rhinitis: a systematic review and me</w:t>
      </w:r>
      <w:r>
        <w:t xml:space="preserve">ta-analysis. European </w:t>
      </w:r>
    </w:p>
    <w:p w:rsidR="00F15F71" w:rsidRDefault="00F974CD">
      <w:pPr>
        <w:ind w:left="651" w:right="841"/>
      </w:pPr>
      <w:r>
        <w:t xml:space="preserve">Respiratory Review : An Official Journal of the European Respiratory Society, 32(170). </w:t>
      </w:r>
      <w:hyperlink r:id="rId740">
        <w:r>
          <w:rPr>
            <w:color w:val="0000FF"/>
            <w:u w:val="single" w:color="0000FF"/>
          </w:rPr>
          <w:t>https://doi.org/10.1183/1600061</w:t>
        </w:r>
      </w:hyperlink>
      <w:hyperlink r:id="rId741">
        <w:r>
          <w:rPr>
            <w:color w:val="0000FF"/>
            <w:u w:val="single" w:color="0000FF"/>
          </w:rPr>
          <w:t>7.0124</w:t>
        </w:r>
      </w:hyperlink>
      <w:hyperlink r:id="rId742">
        <w:r>
          <w:rPr>
            <w:color w:val="0000FF"/>
            <w:u w:val="single" w:color="0000FF"/>
          </w:rPr>
          <w:t>-</w:t>
        </w:r>
      </w:hyperlink>
      <w:hyperlink r:id="rId743">
        <w:r>
          <w:rPr>
            <w:color w:val="0000FF"/>
            <w:u w:val="single" w:color="0000FF"/>
          </w:rPr>
          <w:t>2023</w:t>
        </w:r>
      </w:hyperlink>
      <w:hyperlink r:id="rId74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Kaiser, S. V., Huynh, T., Bacharier, L. B., Rose</w:t>
      </w:r>
      <w:r>
        <w:t xml:space="preserve">nthal, J. L., Bakel, L. A., Parkin, P. C., &amp; Cabana, M. D. (2016). Preventing Exacerbations in Preschoolers With Recurrent Wheeze: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A Meta-analysis. Pediatrics, 137(6). </w:t>
      </w:r>
      <w:hyperlink r:id="rId745">
        <w:r>
          <w:rPr>
            <w:color w:val="0000FF"/>
            <w:u w:val="single" w:color="0000FF"/>
          </w:rPr>
          <w:t>https://doi.org/10.1542/PEDS.</w:t>
        </w:r>
        <w:r>
          <w:rPr>
            <w:color w:val="0000FF"/>
            <w:u w:val="single" w:color="0000FF"/>
          </w:rPr>
          <w:t>2015</w:t>
        </w:r>
      </w:hyperlink>
      <w:hyperlink r:id="rId746">
        <w:r>
          <w:rPr>
            <w:color w:val="0000FF"/>
            <w:u w:val="single" w:color="0000FF"/>
          </w:rPr>
          <w:t>-</w:t>
        </w:r>
      </w:hyperlink>
      <w:hyperlink r:id="rId747">
        <w:r>
          <w:rPr>
            <w:color w:val="0000FF"/>
            <w:u w:val="single" w:color="0000FF"/>
          </w:rPr>
          <w:t>4496</w:t>
        </w:r>
      </w:hyperlink>
      <w:hyperlink r:id="rId74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Szefler, S. J., </w:t>
      </w:r>
      <w:r>
        <w:t xml:space="preserve">Baker, J. W., Uryniak, T., Goldman, M., &amp; Silkoff, P. E. (2007). Comparative study of budesonide inhalation suspension and montelukast in young children with mild persistent asthma. The Journal of Allergy and Clinical Immunology, 120(5), 1043–1050. </w:t>
      </w:r>
      <w:hyperlink r:id="rId749">
        <w:r>
          <w:rPr>
            <w:color w:val="0000FF"/>
            <w:u w:val="single" w:color="0000FF"/>
          </w:rPr>
          <w:t>https://doi.org/10.1016/J.JACI.2007.08.063</w:t>
        </w:r>
      </w:hyperlink>
      <w:hyperlink r:id="rId75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Fitzpatrick, A. M., Jackson, D. J., Mauger, D. T., Boehmer, S. J., Phipatanakul, W., Sheehan, W</w:t>
      </w:r>
      <w:r>
        <w:t xml:space="preserve">. J., Moy, J. N., Paul, I. M., Bacharier, L. B., Cabana, M. D., Covar, R., Holguin, F., Lemanske, R. F., Martinez, F. D., Pongracic, J. A., Beigelman, A., Baxi, S. </w:t>
      </w:r>
    </w:p>
    <w:p w:rsidR="00F15F71" w:rsidRDefault="00F974CD">
      <w:pPr>
        <w:ind w:left="651" w:right="841"/>
      </w:pPr>
      <w:r>
        <w:t>N., Benson, M., Blake, K., … Szefler, S. J. (2016). Individualized therapy for persistent a</w:t>
      </w:r>
      <w:r>
        <w:t>sthma in young children. The Journal of Allergy and Clinical Immunology, 138(6), 1608-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1618.e12. </w:t>
      </w:r>
      <w:hyperlink r:id="rId751">
        <w:r>
          <w:rPr>
            <w:color w:val="0000FF"/>
            <w:u w:val="single" w:color="0000FF"/>
          </w:rPr>
          <w:t>https://doi.org/10.1016/J.JACI.2016.09.028</w:t>
        </w:r>
      </w:hyperlink>
      <w:hyperlink r:id="rId75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Chauhan, B. F., Chartrand, C., Ni Chroinin, M., Milan, S. J., &amp; Ducharme, F. M. (2015). Addition of long-acting beta2-agonists to inhaled corticosteroids for chronic asthma in children. Cochrane Database of Systematic Reviews, 2015(11). </w:t>
      </w:r>
      <w:hyperlink r:id="rId753">
        <w:r>
          <w:rPr>
            <w:color w:val="0000FF"/>
            <w:u w:val="single" w:color="0000FF"/>
          </w:rPr>
          <w:t>https://doi.org/10.1002/14651858.CD007949.pub2</w:t>
        </w:r>
      </w:hyperlink>
      <w:hyperlink r:id="rId75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Ducharme, F. M., Ni Chroinin, M., Greenstone, I., &amp; Lasserson, T. J. (2010). Addition of long-acting beta2-agonists to inhaled steroids versus higher dose inhaled steroids in adults and children with persistent asthma. The Cochrane Database of Systematic R</w:t>
      </w:r>
      <w:r>
        <w:t xml:space="preserve">eviews, 4. </w:t>
      </w:r>
      <w:hyperlink r:id="rId755">
        <w:r>
          <w:rPr>
            <w:color w:val="0000FF"/>
            <w:u w:val="single" w:color="0000FF"/>
          </w:rPr>
          <w:t>https://doi.org/10.1002/14651858.CD005533.PUB2</w:t>
        </w:r>
      </w:hyperlink>
      <w:hyperlink r:id="rId75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Ni Chroinin, M., Greenstone, I., Lasserson, T. J., &amp; Ducharme, F.</w:t>
      </w:r>
      <w:r>
        <w:t xml:space="preserve"> M. (2009). Addition of long-acting beta2-agonists to inhaled steroids as first line therapy for persistent asthma in steroid-naive adults and children. Cochrane Database of Systematic Reviews, 2009(4). </w:t>
      </w:r>
      <w:hyperlink r:id="rId757">
        <w:r>
          <w:rPr>
            <w:color w:val="0000FF"/>
            <w:u w:val="single" w:color="0000FF"/>
          </w:rPr>
          <w:t>https://doi.org/10.1002/14651858.CD005307.pub2</w:t>
        </w:r>
      </w:hyperlink>
      <w:hyperlink r:id="rId75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Ducharme, F. M., Ni Chroinin, M., Greenstone, I., &amp; Lasserson, T. J. (2010). Addition of long-acting beta2-agonists to inhaled co</w:t>
      </w:r>
      <w:r>
        <w:t xml:space="preserve">rticosteroids versus same dose inhaled corticosteroids for chronic asthma in adults and children. Cochrane Database of Systematic Reviews. </w:t>
      </w:r>
      <w:hyperlink r:id="rId759">
        <w:r>
          <w:rPr>
            <w:color w:val="0000FF"/>
            <w:u w:val="single" w:color="0000FF"/>
          </w:rPr>
          <w:t>https://doi.org/10.1002/14651858.cd005535.pub2</w:t>
        </w:r>
      </w:hyperlink>
      <w:hyperlink r:id="rId76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Greenstone, I. I., Ni Chroinin, M., Lasserson, T. J., &amp; Ducharme, F. (2005). Combination of inhaled long-acting beta2-agonists and inhaled steroids versus higher dose of inhaled steroids in chi</w:t>
      </w:r>
      <w:r>
        <w:t xml:space="preserve">ldren and adults with persistent asthma. Cochrane Database of Systematic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Reviews. </w:t>
      </w:r>
      <w:hyperlink r:id="rId761">
        <w:r>
          <w:rPr>
            <w:color w:val="0000FF"/>
            <w:u w:val="single" w:color="0000FF"/>
          </w:rPr>
          <w:t>https://doi.org/10.1002/14651858.cd005533</w:t>
        </w:r>
      </w:hyperlink>
      <w:hyperlink r:id="rId76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6" w:line="259" w:lineRule="auto"/>
        <w:ind w:right="841" w:hanging="689"/>
      </w:pPr>
      <w:r>
        <w:t xml:space="preserve">Powell, </w:t>
      </w:r>
      <w:r>
        <w:t>H., &amp; Gibson, P. G. (2003). Inhaled corticosteroid doses in asthma: an evidence-</w:t>
      </w:r>
    </w:p>
    <w:p w:rsidR="00F15F71" w:rsidRDefault="00F974CD">
      <w:pPr>
        <w:ind w:left="651" w:right="841"/>
      </w:pPr>
      <w:r>
        <w:t xml:space="preserve">based </w:t>
      </w:r>
      <w:r>
        <w:tab/>
        <w:t xml:space="preserve">approach. </w:t>
      </w:r>
      <w:r>
        <w:tab/>
        <w:t xml:space="preserve">The </w:t>
      </w:r>
      <w:r>
        <w:tab/>
        <w:t xml:space="preserve">Medical </w:t>
      </w:r>
      <w:r>
        <w:tab/>
        <w:t xml:space="preserve">Journal </w:t>
      </w:r>
      <w:r>
        <w:tab/>
        <w:t xml:space="preserve">of </w:t>
      </w:r>
      <w:r>
        <w:tab/>
        <w:t xml:space="preserve">Australia, </w:t>
      </w:r>
      <w:r>
        <w:tab/>
        <w:t xml:space="preserve">178(5), </w:t>
      </w:r>
      <w:r>
        <w:tab/>
        <w:t xml:space="preserve">223–225. </w:t>
      </w:r>
      <w:hyperlink r:id="rId763">
        <w:r>
          <w:rPr>
            <w:color w:val="0000FF"/>
            <w:u w:val="single" w:color="0000FF"/>
          </w:rPr>
          <w:t>https://doi.org/10.5694/J.1326</w:t>
        </w:r>
      </w:hyperlink>
      <w:hyperlink r:id="rId764">
        <w:r>
          <w:rPr>
            <w:color w:val="0000FF"/>
            <w:u w:val="single" w:color="0000FF"/>
          </w:rPr>
          <w:t>-</w:t>
        </w:r>
      </w:hyperlink>
      <w:hyperlink r:id="rId765">
        <w:r>
          <w:rPr>
            <w:color w:val="0000FF"/>
            <w:u w:val="single" w:color="0000FF"/>
          </w:rPr>
          <w:t>5377.2003.TB05167.X</w:t>
        </w:r>
      </w:hyperlink>
      <w:hyperlink r:id="rId76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Szefler, S. J., Martin, </w:t>
      </w:r>
      <w:r>
        <w:t xml:space="preserve">R. J., King, T. S., Boushey, H. A., Cherniack, R. M., Chinchilli, V. </w:t>
      </w:r>
    </w:p>
    <w:p w:rsidR="00F15F71" w:rsidRDefault="00F974CD">
      <w:pPr>
        <w:ind w:left="651" w:right="841"/>
      </w:pPr>
      <w:r>
        <w:t>M., Craig, T. J., Dolovich, M., Drazen, J. M., Fagan, J. K., Fahy, J. V., Fish, J. E., Ford, J. G., Israel, E., Kiley, J., Kraft, M., Lazarus, S. C., Lemanske, R. F., Mauger, E., … Sorkn</w:t>
      </w:r>
      <w:r>
        <w:t xml:space="preserve">ess, C. A. (2002). Significant variability in response to inhaled corticosteroids for persistent asthma. Journal of Allergy and Clinical Immunology, 109(3), 410–418.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767">
        <w:r>
          <w:rPr>
            <w:color w:val="0000FF"/>
            <w:u w:val="single" w:color="0000FF"/>
          </w:rPr>
          <w:t>https://doi.org/10.1067/mai.20</w:t>
        </w:r>
        <w:r>
          <w:rPr>
            <w:color w:val="0000FF"/>
            <w:u w:val="single" w:color="0000FF"/>
          </w:rPr>
          <w:t>02.122635</w:t>
        </w:r>
      </w:hyperlink>
      <w:hyperlink r:id="rId76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Evans, D. J., Taylor, D. A., Zetterstrom, O., Chung, K. F., O’Connor, B. J., &amp; Barnes, P. </w:t>
      </w:r>
    </w:p>
    <w:p w:rsidR="00F15F71" w:rsidRDefault="00F974CD">
      <w:pPr>
        <w:numPr>
          <w:ilvl w:val="1"/>
          <w:numId w:val="31"/>
        </w:numPr>
        <w:ind w:right="841"/>
      </w:pPr>
      <w:r>
        <w:t>(1997). A comparison of low-dose inhaled budesonide plus theophylline and high-dose inhaled bud</w:t>
      </w:r>
      <w:r>
        <w:t xml:space="preserve">esonide for moderate asthma. The New England Journal of Medicine, 337(20), 1412–1419. </w:t>
      </w:r>
      <w:hyperlink r:id="rId769">
        <w:r>
          <w:rPr>
            <w:color w:val="0000FF"/>
            <w:u w:val="single" w:color="0000FF"/>
          </w:rPr>
          <w:t>https://doi.org/10.1056/NEJM199711133372002</w:t>
        </w:r>
      </w:hyperlink>
      <w:hyperlink r:id="rId77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Castro-Rodriguez, J. A., Custovic, A., &amp; Ducharme, F. M. (2016). Treatment of asthma in young children: evidence-based recommendations. Asthma Research and Practice 2016 2:1, 2(1), 1–11. </w:t>
      </w:r>
      <w:hyperlink r:id="rId771">
        <w:r>
          <w:rPr>
            <w:color w:val="0000FF"/>
            <w:u w:val="single" w:color="0000FF"/>
          </w:rPr>
          <w:t>https://doi.org/10.1186/S40733</w:t>
        </w:r>
      </w:hyperlink>
      <w:hyperlink r:id="rId772">
        <w:r>
          <w:rPr>
            <w:color w:val="0000FF"/>
            <w:u w:val="single" w:color="0000FF"/>
          </w:rPr>
          <w:t>-</w:t>
        </w:r>
      </w:hyperlink>
      <w:hyperlink r:id="rId773">
        <w:r>
          <w:rPr>
            <w:color w:val="0000FF"/>
            <w:u w:val="single" w:color="0000FF"/>
          </w:rPr>
          <w:t>016</w:t>
        </w:r>
      </w:hyperlink>
      <w:hyperlink r:id="rId774">
        <w:r>
          <w:rPr>
            <w:color w:val="0000FF"/>
            <w:u w:val="single" w:color="0000FF"/>
          </w:rPr>
          <w:t>-</w:t>
        </w:r>
      </w:hyperlink>
      <w:hyperlink r:id="rId775">
        <w:r>
          <w:rPr>
            <w:color w:val="0000FF"/>
            <w:u w:val="single" w:color="0000FF"/>
          </w:rPr>
          <w:t>0020</w:t>
        </w:r>
      </w:hyperlink>
      <w:hyperlink r:id="rId776">
        <w:r>
          <w:rPr>
            <w:color w:val="0000FF"/>
            <w:u w:val="single" w:color="0000FF"/>
          </w:rPr>
          <w:t>-</w:t>
        </w:r>
      </w:hyperlink>
      <w:hyperlink r:id="rId777">
        <w:r>
          <w:rPr>
            <w:color w:val="0000FF"/>
            <w:u w:val="single" w:color="0000FF"/>
          </w:rPr>
          <w:t>Z</w:t>
        </w:r>
      </w:hyperlink>
      <w:hyperlink r:id="rId77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Castro-Rodriguez, J. A., &amp; Rodrigo, G. J. </w:t>
      </w:r>
      <w:r>
        <w:t xml:space="preserve">(2009). Efficacy of inhaled corticosteroids in infants and preschoolers with recurrent wheezing and asthma: a systematic review with meta-analysis. Pediatrics, 123(3). </w:t>
      </w:r>
      <w:hyperlink r:id="rId779">
        <w:r>
          <w:rPr>
            <w:color w:val="0000FF"/>
            <w:u w:val="single" w:color="0000FF"/>
          </w:rPr>
          <w:t>https://doi.org/10.1542/PEDS.2</w:t>
        </w:r>
        <w:r>
          <w:rPr>
            <w:color w:val="0000FF"/>
            <w:u w:val="single" w:color="0000FF"/>
          </w:rPr>
          <w:t>008</w:t>
        </w:r>
      </w:hyperlink>
      <w:hyperlink r:id="rId780">
        <w:r>
          <w:rPr>
            <w:color w:val="0000FF"/>
            <w:u w:val="single" w:color="0000FF"/>
          </w:rPr>
          <w:t>-</w:t>
        </w:r>
      </w:hyperlink>
      <w:hyperlink r:id="rId781">
        <w:r>
          <w:rPr>
            <w:color w:val="0000FF"/>
            <w:u w:val="single" w:color="0000FF"/>
          </w:rPr>
          <w:t>2867</w:t>
        </w:r>
      </w:hyperlink>
      <w:hyperlink r:id="rId78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Yoshihara, S., Tsubaki, T., Ikeda, M., Lenney, W., Tomiak, R., Hattori, T., Hashimoto, K., Soutome, T., &amp; Kato, S. (2019). The efficacy and safety of fluticasone/salmeterol compared to fluticasone in children younger than four years of age. Pediatric Aller</w:t>
      </w:r>
      <w:r>
        <w:t xml:space="preserve">gy and </w:t>
      </w:r>
    </w:p>
    <w:p w:rsidR="00F15F71" w:rsidRDefault="00F974CD">
      <w:pPr>
        <w:ind w:left="651" w:right="841"/>
      </w:pPr>
      <w:r>
        <w:t xml:space="preserve">Immunology : Official Publication of the European Society of Pediatric Allergy and Immunology, 30(2), 195–203. </w:t>
      </w:r>
      <w:hyperlink r:id="rId783">
        <w:r>
          <w:rPr>
            <w:color w:val="0000FF"/>
            <w:u w:val="single" w:color="0000FF"/>
          </w:rPr>
          <w:t>https://doi.org/10.1111/PAI.1301</w:t>
        </w:r>
      </w:hyperlink>
      <w:hyperlink r:id="rId784">
        <w:r>
          <w:rPr>
            <w:color w:val="0000FF"/>
            <w:u w:val="single" w:color="0000FF"/>
          </w:rPr>
          <w:t>0</w:t>
        </w:r>
      </w:hyperlink>
      <w:hyperlink r:id="rId78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Kew, K. M., &amp; Dahri, K. (2016). Long-acting muscarinic antagonists (LAMA) added to combination long-acting beta2-agonists and inhaled corticosteroids (LABA/ICS) versus LABA/ICS for adults with asthma</w:t>
      </w:r>
      <w:r>
        <w:t xml:space="preserve">. The Cochrane Database of Systematic Reviews,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2016(1). </w:t>
      </w:r>
      <w:hyperlink r:id="rId786">
        <w:r>
          <w:rPr>
            <w:color w:val="0000FF"/>
            <w:u w:val="single" w:color="0000FF"/>
          </w:rPr>
          <w:t>https://doi.org/10.1002/14651858.CD011721.PUB2</w:t>
        </w:r>
      </w:hyperlink>
      <w:hyperlink r:id="rId78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26" w:line="259" w:lineRule="auto"/>
        <w:ind w:right="841" w:hanging="689"/>
      </w:pPr>
      <w:r>
        <w:t>Kerstjens, H. A. M.</w:t>
      </w:r>
      <w:r>
        <w:t xml:space="preserve">, Maspero, J., Chapman, K. R., van Zyl-Smit, R. N., Hosoe, M., </w:t>
      </w:r>
    </w:p>
    <w:p w:rsidR="00F15F71" w:rsidRDefault="00F974CD">
      <w:pPr>
        <w:ind w:left="651" w:right="841"/>
      </w:pPr>
      <w:r>
        <w:t>Tanase, A. M., Lavecchia, C., Pethe, A., Shu, X., &amp; D’Andrea, P. (2020). Once-daily, single-inhaler mometasone-indacaterol-glycopyrronium versus mometasone-indacaterol or twice-daily fluticaso</w:t>
      </w:r>
      <w:r>
        <w:t xml:space="preserve">ne-salmeterol in patients with inadequately controlled asthma (IRIDIUM): a randomised, double-blind, controlled phase 3 study. The Lancet.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Respiratory Medicine, 8(10), 1000–1012. </w:t>
      </w:r>
      <w:hyperlink r:id="rId788">
        <w:r>
          <w:rPr>
            <w:color w:val="0000FF"/>
            <w:u w:val="single" w:color="0000FF"/>
          </w:rPr>
          <w:t>https://doi</w:t>
        </w:r>
        <w:r>
          <w:rPr>
            <w:color w:val="0000FF"/>
            <w:u w:val="single" w:color="0000FF"/>
          </w:rPr>
          <w:t>.org/10.1016/S2213</w:t>
        </w:r>
      </w:hyperlink>
      <w:hyperlink r:id="rId789">
        <w:r>
          <w:rPr>
            <w:color w:val="0000FF"/>
            <w:u w:val="single" w:color="0000FF"/>
          </w:rPr>
          <w:t>-</w:t>
        </w:r>
      </w:hyperlink>
      <w:hyperlink r:id="rId790">
        <w:r>
          <w:rPr>
            <w:color w:val="0000FF"/>
            <w:u w:val="single" w:color="0000FF"/>
          </w:rPr>
          <w:t>2600(20)30190</w:t>
        </w:r>
      </w:hyperlink>
      <w:hyperlink r:id="rId791">
        <w:r>
          <w:rPr>
            <w:color w:val="0000FF"/>
            <w:u w:val="single" w:color="0000FF"/>
          </w:rPr>
          <w:t>-</w:t>
        </w:r>
      </w:hyperlink>
      <w:hyperlink r:id="rId792">
        <w:r>
          <w:rPr>
            <w:color w:val="0000FF"/>
            <w:u w:val="single" w:color="0000FF"/>
          </w:rPr>
          <w:t>9</w:t>
        </w:r>
      </w:hyperlink>
      <w:hyperlink r:id="rId79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04"/>
        <w:ind w:right="841" w:hanging="689"/>
      </w:pPr>
      <w:r>
        <w:t>Virchow, J. C., Kuna, P., Paggiaro, P., Papi, A., Singh, D., Corre, S., Zuccaro, F., Vele, A., Kots, M., Georges, G., Petruzz</w:t>
      </w:r>
      <w:r>
        <w:t xml:space="preserve">elli, S., &amp; Canonica, G. W. (2019). Single inhaler extrafine triple therapy in uncontrolled asthma (TRIMARAN and TRIGGER): two double-blind, parallel-group, randomised, controlled phase 3 trials. Lancet (London,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England), 394(10210), 1737–1749. </w:t>
      </w:r>
      <w:hyperlink r:id="rId794">
        <w:r>
          <w:rPr>
            <w:color w:val="0000FF"/>
            <w:u w:val="single" w:color="0000FF"/>
          </w:rPr>
          <w:t>https://doi.org/10.1016/S0140</w:t>
        </w:r>
      </w:hyperlink>
      <w:hyperlink r:id="rId795">
        <w:r>
          <w:rPr>
            <w:color w:val="0000FF"/>
            <w:u w:val="single" w:color="0000FF"/>
          </w:rPr>
          <w:t>-</w:t>
        </w:r>
      </w:hyperlink>
      <w:hyperlink r:id="rId796">
        <w:r>
          <w:rPr>
            <w:color w:val="0000FF"/>
            <w:u w:val="single" w:color="0000FF"/>
          </w:rPr>
          <w:t>6736(19)32215</w:t>
        </w:r>
      </w:hyperlink>
      <w:hyperlink r:id="rId797">
        <w:r>
          <w:rPr>
            <w:color w:val="0000FF"/>
            <w:u w:val="single" w:color="0000FF"/>
          </w:rPr>
          <w:t>-</w:t>
        </w:r>
      </w:hyperlink>
      <w:hyperlink r:id="rId798">
        <w:r>
          <w:rPr>
            <w:color w:val="0000FF"/>
            <w:u w:val="single" w:color="0000FF"/>
          </w:rPr>
          <w:t>9</w:t>
        </w:r>
      </w:hyperlink>
      <w:hyperlink r:id="rId79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Agusti, A., Fabbri, L., Lahousse, L., Singh, D., &amp; Papi, A. (2022). Single inhaler tr</w:t>
      </w:r>
      <w:r>
        <w:t xml:space="preserve">iple therapy (SITT) in asthma: Systematic review and practice implications. Allergy, 77(4), 1105–1113. </w:t>
      </w:r>
      <w:hyperlink r:id="rId800">
        <w:r>
          <w:rPr>
            <w:color w:val="0000FF"/>
            <w:u w:val="single" w:color="0000FF"/>
          </w:rPr>
          <w:t>https://doi.org/10.1111/ALL.15076</w:t>
        </w:r>
      </w:hyperlink>
      <w:hyperlink r:id="rId80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3" w:line="259" w:lineRule="auto"/>
        <w:ind w:right="841" w:hanging="689"/>
      </w:pPr>
      <w:r>
        <w:t>Kim, L. H. Y</w:t>
      </w:r>
      <w:r>
        <w:t xml:space="preserve">., Saleh, C., Whalen-Browne, A., O’Byrne, P. M., &amp; Chu, D. K. (2021). </w:t>
      </w:r>
    </w:p>
    <w:p w:rsidR="00F15F71" w:rsidRDefault="00F974CD">
      <w:pPr>
        <w:ind w:left="651" w:right="841"/>
      </w:pPr>
      <w:r>
        <w:t xml:space="preserve">Triple vs Dual Inhaler Therapy and Asthma Outcomes in Moderate to Severe Asthma: A Systematic Review and Meta-analysis. JAMA, 325(24), 2466–2479. </w:t>
      </w:r>
      <w:hyperlink r:id="rId802">
        <w:r>
          <w:rPr>
            <w:color w:val="0000FF"/>
            <w:u w:val="single" w:color="0000FF"/>
          </w:rPr>
          <w:t>https://doi.org/10.1001/JAMA.2021.787</w:t>
        </w:r>
      </w:hyperlink>
      <w:hyperlink r:id="rId803">
        <w:r>
          <w:rPr>
            <w:color w:val="0000FF"/>
            <w:u w:val="single" w:color="0000FF"/>
          </w:rPr>
          <w:t>2</w:t>
        </w:r>
      </w:hyperlink>
      <w:hyperlink r:id="rId80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Nakamura, Y., Hozawa, S., Sagara, H., Ohbayashi, H., Lee, L. A., Crawford, J., Ta</w:t>
      </w:r>
      <w:r>
        <w:t xml:space="preserve">maoki, J., Nishi, T., &amp; Fowler, A. (2021). Efficacy and safety of once-daily, single-inhaler fluticasone furoate/umeclidinium/vilanterol versus fluticasone furoate/vilanterol in </w:t>
      </w:r>
    </w:p>
    <w:p w:rsidR="00F15F71" w:rsidRDefault="00F974CD">
      <w:pPr>
        <w:spacing w:after="116" w:line="259" w:lineRule="auto"/>
        <w:ind w:left="651" w:right="841"/>
      </w:pPr>
      <w:r>
        <w:t>Japanese patients with inadequately controlled asthma: the CAPTAIN study. Cur</w:t>
      </w:r>
      <w:r>
        <w:t xml:space="preserve">rent </w:t>
      </w:r>
    </w:p>
    <w:p w:rsidR="00F15F71" w:rsidRDefault="00F974CD">
      <w:pPr>
        <w:ind w:left="651" w:right="841"/>
      </w:pPr>
      <w:r>
        <w:t xml:space="preserve">Medical </w:t>
      </w:r>
      <w:r>
        <w:tab/>
        <w:t xml:space="preserve">Research </w:t>
      </w:r>
      <w:r>
        <w:tab/>
        <w:t xml:space="preserve">and </w:t>
      </w:r>
      <w:r>
        <w:tab/>
        <w:t xml:space="preserve">Opinion, </w:t>
      </w:r>
      <w:r>
        <w:tab/>
        <w:t xml:space="preserve">37(9), </w:t>
      </w:r>
      <w:r>
        <w:tab/>
        <w:t xml:space="preserve">1657–1665. </w:t>
      </w:r>
      <w:hyperlink r:id="rId805">
        <w:r>
          <w:rPr>
            <w:color w:val="0000FF"/>
            <w:u w:val="single" w:color="0000FF"/>
          </w:rPr>
          <w:t>https://doi.org/10.1080/03007995.2021.1944849</w:t>
        </w:r>
      </w:hyperlink>
      <w:hyperlink r:id="rId80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Umeda, A., Shimada, </w:t>
      </w:r>
      <w:r>
        <w:t>H., Yamane, T., Mochizuki, T., Inoue, Y., Tsushima, K., Miyagawa, K., Mochida, A., Takeda, H., Okada, Y., Masaki, K., Matsusaka, M., &amp; Fukunaga, K. (2023). Real-world effects of once-daily inhaled steroid (fluticasone furoate) combined with long-acting bet</w:t>
      </w:r>
      <w:r>
        <w:t xml:space="preserve">a-2 agonist (vilanterol) and long-acting muscarinic antagonist (umeclidinium) on lung function tests of asthma patients in Japan. Frontiers in Physiology, 14. </w:t>
      </w:r>
      <w:hyperlink r:id="rId807">
        <w:r>
          <w:rPr>
            <w:color w:val="0000FF"/>
            <w:u w:val="single" w:color="0000FF"/>
          </w:rPr>
          <w:t>https://doi.org/10.3389/FPHYS.2023.</w:t>
        </w:r>
        <w:r>
          <w:rPr>
            <w:color w:val="0000FF"/>
            <w:u w:val="single" w:color="0000FF"/>
          </w:rPr>
          <w:t>1131949</w:t>
        </w:r>
      </w:hyperlink>
      <w:hyperlink r:id="rId80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Siler, T. M., Kerwin, E., Sousa, A. R., Donald, A., Ali, R., &amp; Church, A. (2015). Efficacy and safety of umeclidinium added to fluticasone furoate/vilanterol in chronic obstructive pulm</w:t>
      </w:r>
      <w:r>
        <w:t xml:space="preserve">onary disease: Results of two randomized studies. Respiratory Medicine, 109(9), 1155–1163. </w:t>
      </w:r>
      <w:hyperlink r:id="rId809">
        <w:r>
          <w:rPr>
            <w:color w:val="0000FF"/>
            <w:u w:val="single" w:color="0000FF"/>
          </w:rPr>
          <w:t>https://doi.org/10.1016/j.rmed.2015.06.006</w:t>
        </w:r>
      </w:hyperlink>
      <w:hyperlink r:id="rId81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6"/>
        <w:ind w:right="841" w:hanging="689"/>
      </w:pPr>
      <w:r>
        <w:t>Gessner, C., Kornmann, O., Maspero, J., van Zyl-Smit, R., Krüll, M., Salina, A., Gupta, P., Bostel, S., Fucile, S., Conde, L. G., &amp; Pfister, P. (2020). Fixed-dose combination of indacaterol/glycopyrronium/mometasone furoate once-</w:t>
      </w:r>
      <w:r>
        <w:t xml:space="preserve">daily versus salmeterol/fluticasone twice-daily plus tiotropium once-daily in patients with uncontrolled asthma: A randomised, Phase IIIb, non-inferiority study (ARGON). Respiratory Medicine, 170. </w:t>
      </w:r>
      <w:hyperlink r:id="rId811">
        <w:r>
          <w:rPr>
            <w:color w:val="0000FF"/>
            <w:u w:val="single" w:color="0000FF"/>
          </w:rPr>
          <w:t>https://doi.org/10.1016/J.RMED.2020.106021</w:t>
        </w:r>
      </w:hyperlink>
      <w:hyperlink r:id="rId81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van Zyl-Smit, R. N., Krüll, M., Gessner, C., Gon, Y., Noga, O., Richard, A., de los Reyes, A., Shu, X., Pethe, A., Tanase, A. M., &amp; D’Andrea, P. (2</w:t>
      </w:r>
      <w:r>
        <w:t xml:space="preserve">020). Once-daily mometasone plus indacaterol versus mometasone or twice-daily fluticasone plus salmeterol in patients </w:t>
      </w:r>
    </w:p>
    <w:p w:rsidR="00F15F71" w:rsidRDefault="00F974CD">
      <w:pPr>
        <w:ind w:left="651" w:right="841"/>
      </w:pPr>
      <w:r>
        <w:t>with inadequately controlled asthma (PALLADIUM): a randomised, double-blind, tripledummy, controlled phase 3 study. The Lancet Respirator</w:t>
      </w:r>
      <w:r>
        <w:t xml:space="preserve">y Medicine, 8(10), 987–999. </w:t>
      </w:r>
      <w:hyperlink r:id="rId813">
        <w:r>
          <w:rPr>
            <w:color w:val="0000FF"/>
            <w:u w:val="single" w:color="0000FF"/>
          </w:rPr>
          <w:t>https://doi.org/10.1016/S2213</w:t>
        </w:r>
      </w:hyperlink>
      <w:hyperlink r:id="rId814">
        <w:r>
          <w:rPr>
            <w:color w:val="0000FF"/>
            <w:u w:val="single" w:color="0000FF"/>
          </w:rPr>
          <w:t>-</w:t>
        </w:r>
      </w:hyperlink>
      <w:hyperlink r:id="rId815">
        <w:r>
          <w:rPr>
            <w:color w:val="0000FF"/>
            <w:u w:val="single" w:color="0000FF"/>
          </w:rPr>
          <w:t>260</w:t>
        </w:r>
        <w:r>
          <w:rPr>
            <w:color w:val="0000FF"/>
            <w:u w:val="single" w:color="0000FF"/>
          </w:rPr>
          <w:t>0(20)30178</w:t>
        </w:r>
      </w:hyperlink>
      <w:hyperlink r:id="rId816">
        <w:r>
          <w:rPr>
            <w:color w:val="0000FF"/>
            <w:u w:val="single" w:color="0000FF"/>
          </w:rPr>
          <w:t>-</w:t>
        </w:r>
      </w:hyperlink>
      <w:hyperlink r:id="rId817">
        <w:r>
          <w:rPr>
            <w:color w:val="0000FF"/>
            <w:u w:val="single" w:color="0000FF"/>
          </w:rPr>
          <w:t>8</w:t>
        </w:r>
      </w:hyperlink>
      <w:hyperlink r:id="rId81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Kerstjens, H. A. M., Casale, T. B., Bleecker, E</w:t>
      </w:r>
      <w:r>
        <w:t xml:space="preserve">. R., Meltzer, E. O., Pizzichini, E., Schmidt, O., Engel, M., Bour, L., Verkleij, C. B., Moroni-Zentgraf, P., &amp; Bateman, E. D. (2015). Tiotropium or salmeterol as add-on therapy to inhaled corticosteroids for patients with moderate symptomatic asthma: two </w:t>
      </w:r>
      <w:r>
        <w:t xml:space="preserve">replicate, double-blind, placebo-controlled, parallelgroup, active-comparator, randomised trials. The Lancet. Respiratory Medicine, 3(5), 367–376. </w:t>
      </w:r>
      <w:hyperlink r:id="rId819">
        <w:r>
          <w:rPr>
            <w:color w:val="0000FF"/>
            <w:u w:val="single" w:color="0000FF"/>
          </w:rPr>
          <w:t>https://doi.org/10.1016/S2213</w:t>
        </w:r>
      </w:hyperlink>
      <w:hyperlink r:id="rId820">
        <w:r>
          <w:rPr>
            <w:color w:val="0000FF"/>
            <w:u w:val="single" w:color="0000FF"/>
          </w:rPr>
          <w:t>-</w:t>
        </w:r>
      </w:hyperlink>
      <w:hyperlink r:id="rId821">
        <w:r>
          <w:rPr>
            <w:color w:val="0000FF"/>
            <w:u w:val="single" w:color="0000FF"/>
          </w:rPr>
          <w:t>2600(15)00031</w:t>
        </w:r>
      </w:hyperlink>
      <w:hyperlink r:id="rId822">
        <w:r>
          <w:rPr>
            <w:color w:val="0000FF"/>
            <w:u w:val="single" w:color="0000FF"/>
          </w:rPr>
          <w:t>-</w:t>
        </w:r>
      </w:hyperlink>
      <w:hyperlink r:id="rId823">
        <w:r>
          <w:rPr>
            <w:color w:val="0000FF"/>
            <w:u w:val="single" w:color="0000FF"/>
          </w:rPr>
          <w:t>4</w:t>
        </w:r>
      </w:hyperlink>
      <w:hyperlink r:id="rId82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30" w:line="259" w:lineRule="auto"/>
        <w:ind w:right="841" w:hanging="689"/>
      </w:pPr>
      <w:r>
        <w:t xml:space="preserve">Timmer, W., Moroni-Zentgraf, P., Cornelissen, P., Unseld, A., Pizzichini, E., &amp; Buhl, R. </w:t>
      </w:r>
    </w:p>
    <w:p w:rsidR="00F15F71" w:rsidRDefault="00F974CD">
      <w:pPr>
        <w:ind w:left="651" w:right="841"/>
      </w:pPr>
      <w:r>
        <w:t>(2015). Once-daily tiotropium Respimat® 5 μg is an efficacious 24-h bronchodilator in adults w</w:t>
      </w:r>
      <w:r>
        <w:t xml:space="preserve">ith symptomatic asthma. Respiratory Medicine, 109(3), 329–338. </w:t>
      </w:r>
      <w:hyperlink r:id="rId825">
        <w:r>
          <w:rPr>
            <w:color w:val="0000FF"/>
            <w:u w:val="single" w:color="0000FF"/>
          </w:rPr>
          <w:t>https://doi.org/10.1016/j.rmed.2014.12.005</w:t>
        </w:r>
      </w:hyperlink>
      <w:hyperlink r:id="rId82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Rodrigo, G. J., &amp; Neffen,</w:t>
      </w:r>
      <w:r>
        <w:t xml:space="preserve"> H. (2017). Efficacy and safety of tiotropium in school-age children with moderate-to-severe symptomatic asthma: A systematic review. Pediatric Allergy and Immunology, 28(6), 573–578. </w:t>
      </w:r>
      <w:hyperlink r:id="rId827">
        <w:r>
          <w:rPr>
            <w:color w:val="0000FF"/>
            <w:u w:val="single" w:color="0000FF"/>
          </w:rPr>
          <w:t>https://doi.org/10.</w:t>
        </w:r>
        <w:r>
          <w:rPr>
            <w:color w:val="0000FF"/>
            <w:u w:val="single" w:color="0000FF"/>
          </w:rPr>
          <w:t>1111/pai.12759</w:t>
        </w:r>
      </w:hyperlink>
      <w:hyperlink r:id="rId82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34" w:line="259" w:lineRule="auto"/>
        <w:ind w:right="841" w:hanging="689"/>
      </w:pPr>
      <w:r>
        <w:t xml:space="preserve">Ohta, K., Ichinose, M., Tohda, Y., Engel, M., Moroni-Zentgraf, P., Kunimitsu, S., </w:t>
      </w:r>
    </w:p>
    <w:p w:rsidR="00F15F71" w:rsidRDefault="00F974CD">
      <w:pPr>
        <w:ind w:left="651" w:right="841"/>
      </w:pPr>
      <w:r>
        <w:t>Sakamoto, W., &amp; Adachi, M. (2015). Long-term once-</w:t>
      </w:r>
      <w:r>
        <w:t xml:space="preserve">daily tiotropium Respimat® is well tolerated and maintains efficacy over 52 weeks in patients with symptomatic asthma in </w:t>
      </w:r>
    </w:p>
    <w:p w:rsidR="00F15F71" w:rsidRDefault="00F974CD">
      <w:pPr>
        <w:ind w:left="651" w:right="841"/>
      </w:pPr>
      <w:r>
        <w:t xml:space="preserve">Japan: </w:t>
      </w:r>
      <w:r>
        <w:tab/>
        <w:t xml:space="preserve">A </w:t>
      </w:r>
      <w:r>
        <w:tab/>
        <w:t xml:space="preserve">randomised, </w:t>
      </w:r>
      <w:r>
        <w:tab/>
        <w:t xml:space="preserve">placebo-controlled </w:t>
      </w:r>
      <w:r>
        <w:tab/>
        <w:t xml:space="preserve">study. </w:t>
      </w:r>
      <w:r>
        <w:tab/>
        <w:t xml:space="preserve">PLoS </w:t>
      </w:r>
      <w:r>
        <w:tab/>
        <w:t xml:space="preserve">ONE, </w:t>
      </w:r>
      <w:r>
        <w:tab/>
        <w:t xml:space="preserve">10(4). </w:t>
      </w:r>
      <w:hyperlink r:id="rId829">
        <w:r>
          <w:rPr>
            <w:color w:val="0000FF"/>
            <w:u w:val="single" w:color="0000FF"/>
          </w:rPr>
          <w:t>https://doi.org/10.1371/journal.pone.0124109</w:t>
        </w:r>
      </w:hyperlink>
      <w:hyperlink r:id="rId83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Kew, K. M., Evans, D. J., Allison, D. E., &amp; Boyter, A. C. (2015). Long-acting muscarinic antagonists (LAMA) added to inhaled corticosteroids (ICS</w:t>
      </w:r>
      <w:r>
        <w:t xml:space="preserve">) versus addition of long-acting beta2-agonists (LABA) for adults with asthma. Cochrane Database of Systematic Reviews, 2015(6). </w:t>
      </w:r>
      <w:hyperlink r:id="rId831">
        <w:r>
          <w:rPr>
            <w:color w:val="0000FF"/>
            <w:u w:val="single" w:color="0000FF"/>
          </w:rPr>
          <w:t>https://doi.org/10.1002/14651858.CD011438.pub2</w:t>
        </w:r>
      </w:hyperlink>
      <w:hyperlink r:id="rId83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Löfdahl, C. G., Reiss, T. F., Leff, J. A., Israel, E., Noonan, M. J., Finn, A. F., Seidenberg, B. C., Capizzi, T., Kundu, S., &amp; Godard, P. (1999). Randomised, placebo controlled trial of effect of a leuk</w:t>
      </w:r>
      <w:r>
        <w:t xml:space="preserve">otriene receptor antagonist, montelukast, on tapering inhaled corticosteroids in asthmatic patients. BMJ (Clinical Research Ed.), 319(7202), 87–90. </w:t>
      </w:r>
      <w:hyperlink r:id="rId833">
        <w:r>
          <w:rPr>
            <w:color w:val="0000FF"/>
            <w:u w:val="single" w:color="0000FF"/>
          </w:rPr>
          <w:t>https://doi.org/10.1136/BMJ.319.7202.87</w:t>
        </w:r>
      </w:hyperlink>
      <w:hyperlink r:id="rId83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Price, D. B., Hernandez, D., Magyar, P., Fiterman, J., Beeh, K. M., James, I. G., Konstantopoulos, S., Rojas, R., van Noord, J. A., Pons, M., Gilles, L., &amp; Leff, J. A. (2003). Randomised controlled trial o</w:t>
      </w:r>
      <w:r>
        <w:t xml:space="preserve">f montelukast plus inhaled budesonide versus double </w:t>
      </w:r>
    </w:p>
    <w:p w:rsidR="00F15F71" w:rsidRDefault="00F974CD">
      <w:pPr>
        <w:ind w:left="651" w:right="841"/>
      </w:pPr>
      <w:r>
        <w:t xml:space="preserve">dose inhaled budesonide in adult patients with asthma. Thorax, 58(3), 211–216. </w:t>
      </w:r>
      <w:hyperlink r:id="rId835">
        <w:r>
          <w:rPr>
            <w:color w:val="0000FF"/>
            <w:u w:val="single" w:color="0000FF"/>
          </w:rPr>
          <w:t>https://doi.org/10.1136/THORAX.58.3.211</w:t>
        </w:r>
      </w:hyperlink>
      <w:hyperlink r:id="rId83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Vaquerizo, M. J., Gonzalez-Esteban, J., Casan, P., Sanchis, J., Castillo, J., Perpiña, M., Sobradillo, V., Valencia, A., Verea, H., Viejo, J. L., Villasante, C., &amp; Picado, C. (2003). </w:t>
      </w:r>
    </w:p>
    <w:p w:rsidR="00F15F71" w:rsidRDefault="00F974CD">
      <w:pPr>
        <w:ind w:left="651" w:right="841"/>
      </w:pPr>
      <w:r>
        <w:t>Effect of montelukast added to inhale</w:t>
      </w:r>
      <w:r>
        <w:t xml:space="preserve">d budesonide on control of mild to moderate asthma. Thorax, 58(3), 204–210. </w:t>
      </w:r>
      <w:hyperlink r:id="rId837">
        <w:r>
          <w:rPr>
            <w:color w:val="0000FF"/>
            <w:u w:val="single" w:color="0000FF"/>
          </w:rPr>
          <w:t>https://doi.org/10.1136/THORAX.58.3.204</w:t>
        </w:r>
      </w:hyperlink>
      <w:hyperlink r:id="rId83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Tamaoki, J., Kondo, M</w:t>
      </w:r>
      <w:r>
        <w:t>., Sakai, N., Nakata, J., Takemura, H., Nagai, A., Takizawa, T., &amp; Konno, K. (1997). Leukotriene antagonist prevents exacerbation of asthma during reduction of high-dose inhaled corticosteroid. The Tokyo Joshi-Idai Asthma Research Group. American Journal o</w:t>
      </w:r>
      <w:r>
        <w:t xml:space="preserve">f Respiratory and Critical Care Medicine, 155(4), 1235–1240. </w:t>
      </w:r>
      <w:hyperlink r:id="rId839">
        <w:r>
          <w:rPr>
            <w:color w:val="0000FF"/>
            <w:u w:val="single" w:color="0000FF"/>
          </w:rPr>
          <w:t>https://doi.org/10.1164/AJRCCM.155.4.9105060</w:t>
        </w:r>
      </w:hyperlink>
      <w:hyperlink r:id="rId84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Ye, Q., He, X. O., &amp; </w:t>
      </w:r>
      <w:r>
        <w:t xml:space="preserve">D’Urzo, A. (2017). A Review on the Safety and Efficacy of Inhaled Corticosteroids in the Management of Asthma. Pulmonary Therapy 2017 3:1, 3(1), 1–18.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841">
        <w:r>
          <w:rPr>
            <w:color w:val="0000FF"/>
            <w:u w:val="single" w:color="0000FF"/>
          </w:rPr>
          <w:t>https://doi.org/10.1007/S41030</w:t>
        </w:r>
      </w:hyperlink>
      <w:hyperlink r:id="rId842">
        <w:r>
          <w:rPr>
            <w:color w:val="0000FF"/>
            <w:u w:val="single" w:color="0000FF"/>
          </w:rPr>
          <w:t>-</w:t>
        </w:r>
      </w:hyperlink>
      <w:hyperlink r:id="rId843">
        <w:r>
          <w:rPr>
            <w:color w:val="0000FF"/>
            <w:u w:val="single" w:color="0000FF"/>
          </w:rPr>
          <w:t>017</w:t>
        </w:r>
      </w:hyperlink>
      <w:hyperlink r:id="rId844">
        <w:r>
          <w:rPr>
            <w:color w:val="0000FF"/>
            <w:u w:val="single" w:color="0000FF"/>
          </w:rPr>
          <w:t>-</w:t>
        </w:r>
      </w:hyperlink>
      <w:hyperlink r:id="rId845">
        <w:r>
          <w:rPr>
            <w:color w:val="0000FF"/>
            <w:u w:val="single" w:color="0000FF"/>
          </w:rPr>
          <w:t>0043</w:t>
        </w:r>
      </w:hyperlink>
      <w:hyperlink r:id="rId846">
        <w:r>
          <w:rPr>
            <w:color w:val="0000FF"/>
            <w:u w:val="single" w:color="0000FF"/>
          </w:rPr>
          <w:t>-</w:t>
        </w:r>
      </w:hyperlink>
      <w:hyperlink r:id="rId847">
        <w:r>
          <w:rPr>
            <w:color w:val="0000FF"/>
            <w:u w:val="single" w:color="0000FF"/>
          </w:rPr>
          <w:t>5</w:t>
        </w:r>
      </w:hyperlink>
      <w:hyperlink r:id="rId84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Malo, J. L., Cartier, A., Ghezzo, H., Trudeau, C., Morris, J., &amp; Jennin</w:t>
      </w:r>
      <w:r>
        <w:t xml:space="preserve">gs, B. (1995). Comparison of four-times-a-day and twice-a-day dosing regimens in subjects requiring </w:t>
      </w:r>
    </w:p>
    <w:p w:rsidR="00F15F71" w:rsidRDefault="00F974CD">
      <w:pPr>
        <w:spacing w:after="116" w:line="259" w:lineRule="auto"/>
        <w:ind w:left="651" w:right="841"/>
      </w:pPr>
      <w:r>
        <w:t xml:space="preserve">1200 micrograms or less of budesonide to control mild to moderate asthma. Respiratory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Medicine, 89(8), 537–543. </w:t>
      </w:r>
      <w:hyperlink r:id="rId849">
        <w:r>
          <w:rPr>
            <w:color w:val="0000FF"/>
            <w:u w:val="single" w:color="0000FF"/>
          </w:rPr>
          <w:t>https://doi.org/10.1016/0954</w:t>
        </w:r>
      </w:hyperlink>
      <w:hyperlink r:id="rId850">
        <w:r>
          <w:rPr>
            <w:color w:val="0000FF"/>
            <w:u w:val="single" w:color="0000FF"/>
          </w:rPr>
          <w:t>-</w:t>
        </w:r>
      </w:hyperlink>
      <w:hyperlink r:id="rId851">
        <w:r>
          <w:rPr>
            <w:color w:val="0000FF"/>
            <w:u w:val="single" w:color="0000FF"/>
          </w:rPr>
          <w:t>6111(95)90154</w:t>
        </w:r>
      </w:hyperlink>
      <w:hyperlink r:id="rId852">
        <w:r>
          <w:rPr>
            <w:color w:val="0000FF"/>
            <w:u w:val="single" w:color="0000FF"/>
          </w:rPr>
          <w:t>-</w:t>
        </w:r>
      </w:hyperlink>
      <w:hyperlink r:id="rId853">
        <w:r>
          <w:rPr>
            <w:color w:val="0000FF"/>
            <w:u w:val="single" w:color="0000FF"/>
          </w:rPr>
          <w:t>X</w:t>
        </w:r>
      </w:hyperlink>
      <w:hyperlink r:id="rId85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Toogood, J. H., Baskerville, J. C., Jennings, B., Lefcoe, N. M., &amp; Johansson, S. A. (1982). Influence of dosing frequency an</w:t>
      </w:r>
      <w:r>
        <w:t>d schedule on the response of chronic asthmatics to the aerosol steroid, budesonide. The Journal of Allergy and Clinical Immunology, 70(4), 288–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298. </w:t>
      </w:r>
      <w:hyperlink r:id="rId855">
        <w:r>
          <w:rPr>
            <w:color w:val="0000FF"/>
            <w:u w:val="single" w:color="0000FF"/>
          </w:rPr>
          <w:t>https://doi.org/10.1016/0091</w:t>
        </w:r>
      </w:hyperlink>
      <w:hyperlink r:id="rId856">
        <w:r>
          <w:rPr>
            <w:color w:val="0000FF"/>
            <w:u w:val="single" w:color="0000FF"/>
          </w:rPr>
          <w:t>-</w:t>
        </w:r>
      </w:hyperlink>
      <w:hyperlink r:id="rId857">
        <w:r>
          <w:rPr>
            <w:color w:val="0000FF"/>
            <w:u w:val="single" w:color="0000FF"/>
          </w:rPr>
          <w:t>6749(82)90065</w:t>
        </w:r>
      </w:hyperlink>
      <w:hyperlink r:id="rId858">
        <w:r>
          <w:rPr>
            <w:color w:val="0000FF"/>
            <w:u w:val="single" w:color="0000FF"/>
          </w:rPr>
          <w:t>-</w:t>
        </w:r>
      </w:hyperlink>
      <w:hyperlink r:id="rId859">
        <w:r>
          <w:rPr>
            <w:color w:val="0000FF"/>
            <w:u w:val="single" w:color="0000FF"/>
          </w:rPr>
          <w:t>3</w:t>
        </w:r>
      </w:hyperlink>
      <w:hyperlink r:id="rId86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Normansell, R., Walker, S., Milan, S. J., Walters, E. H., &amp; Nair, P. (2014). Omalizumab for asthma in adults and children. The Cochrane Database of Systematic Reviews, 2014(1). </w:t>
      </w:r>
      <w:hyperlink r:id="rId861">
        <w:r>
          <w:rPr>
            <w:color w:val="0000FF"/>
            <w:u w:val="single" w:color="0000FF"/>
          </w:rPr>
          <w:t>https://doi.org/10.1002/14651858.CD003559.PUB4</w:t>
        </w:r>
      </w:hyperlink>
      <w:hyperlink r:id="rId86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Farne, H. A., Wilson, A., Milan, S., Banchoff, E., Yang, F., &amp; Powell, C. V. E. (2022).</w:t>
      </w:r>
      <w:r>
        <w:t xml:space="preserve"> Anti-IL-5 therapies for asthma. The Cochrane Database of Systematic Reviews, 7(7). </w:t>
      </w:r>
      <w:hyperlink r:id="rId863">
        <w:r>
          <w:rPr>
            <w:color w:val="0000FF"/>
            <w:u w:val="single" w:color="0000FF"/>
          </w:rPr>
          <w:t>https://doi.org/10.1002/14651858.CD010834.PUB4</w:t>
        </w:r>
      </w:hyperlink>
      <w:hyperlink r:id="rId86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Powell, C., Milan, S. J., Dwan, K., Bax, L., &amp; Walters, N. (2015). Mepolizumab versus placebo for asthma. Cochrane Database of Systematic Reviews, 2015(7). </w:t>
      </w:r>
      <w:hyperlink r:id="rId865">
        <w:r>
          <w:rPr>
            <w:color w:val="0000FF"/>
            <w:u w:val="single" w:color="0000FF"/>
          </w:rPr>
          <w:t>https://doi.org/10.1002/14651858.CD010834.pub2</w:t>
        </w:r>
      </w:hyperlink>
      <w:hyperlink r:id="rId86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Xiong, X. F., Zhu, M., Wu, H. X., Fan, L. L., &amp; Cheng, D. Y. (2019). Efficacy and safety of dupilumab for the treatment of uncontrolled asthma</w:t>
      </w:r>
      <w:r>
        <w:t xml:space="preserve">: a meta-analysis of randomized clinical trials. Respiratory Research, 20(1). </w:t>
      </w:r>
      <w:hyperlink r:id="rId867">
        <w:r>
          <w:rPr>
            <w:color w:val="0000FF"/>
            <w:u w:val="single" w:color="0000FF"/>
          </w:rPr>
          <w:t>https://doi.org/10.1186/S12931</w:t>
        </w:r>
      </w:hyperlink>
      <w:hyperlink r:id="rId868">
        <w:r>
          <w:rPr>
            <w:color w:val="0000FF"/>
            <w:u w:val="single" w:color="0000FF"/>
          </w:rPr>
          <w:t>-</w:t>
        </w:r>
      </w:hyperlink>
      <w:hyperlink r:id="rId869">
        <w:r>
          <w:rPr>
            <w:color w:val="0000FF"/>
            <w:u w:val="single" w:color="0000FF"/>
          </w:rPr>
          <w:t>019</w:t>
        </w:r>
      </w:hyperlink>
      <w:hyperlink r:id="rId870">
        <w:r>
          <w:rPr>
            <w:color w:val="0000FF"/>
            <w:u w:val="single" w:color="0000FF"/>
          </w:rPr>
          <w:t>-</w:t>
        </w:r>
      </w:hyperlink>
      <w:hyperlink r:id="rId871">
        <w:r>
          <w:rPr>
            <w:color w:val="0000FF"/>
            <w:u w:val="single" w:color="0000FF"/>
          </w:rPr>
          <w:t>1065</w:t>
        </w:r>
      </w:hyperlink>
      <w:hyperlink r:id="rId872">
        <w:r>
          <w:rPr>
            <w:color w:val="0000FF"/>
            <w:u w:val="single" w:color="0000FF"/>
          </w:rPr>
          <w:t>-</w:t>
        </w:r>
      </w:hyperlink>
      <w:hyperlink r:id="rId873">
        <w:r>
          <w:rPr>
            <w:color w:val="0000FF"/>
            <w:u w:val="single" w:color="0000FF"/>
          </w:rPr>
          <w:t>3</w:t>
        </w:r>
      </w:hyperlink>
      <w:hyperlink r:id="rId87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Li, J., Wang, F., Lin, C., Du, J., Xiao, B., Du, C., &amp; Sun, J. (2017). The efficacy and safety of reslizumab for inadequately controlled asthma with elevated b</w:t>
      </w:r>
      <w:r>
        <w:t xml:space="preserve">lood eosinophil counts: A systematic review and meta-analysis. Journal of Asthma, 54(3), 300–307. </w:t>
      </w:r>
      <w:hyperlink r:id="rId875">
        <w:r>
          <w:rPr>
            <w:color w:val="0000FF"/>
            <w:u w:val="single" w:color="0000FF"/>
          </w:rPr>
          <w:t>https://doi.org/10.1080/02770903.2016.1212371</w:t>
        </w:r>
      </w:hyperlink>
      <w:hyperlink r:id="rId87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Wenzel, S., Castro, M., Corren, J., Maspero, J., Wang, L., Zhang, B., Pirozzi, G., </w:t>
      </w:r>
    </w:p>
    <w:p w:rsidR="00F15F71" w:rsidRDefault="00F974CD">
      <w:pPr>
        <w:ind w:left="651" w:right="841"/>
      </w:pPr>
      <w:r>
        <w:t>Sutherland, E. R., Evans, R. R., Joish, V. N., Eckert, L., Graham, N. M. H., Stahl, N., Yancopoulos, G. D., Louis-Tisserand, M., &amp; Teper, A. (2016). Dupi</w:t>
      </w:r>
      <w:r>
        <w:t>lumab efficacy and safety in adults with uncontrolled persistent asthma despite use of medium-to-high-dose inhaled corticosteroids plus a long-acting β2 agonist: a randomised double-blind placebocontrolled pivotal phase 2b dose-ranging trial. The Lancet, 3</w:t>
      </w:r>
      <w:r>
        <w:t xml:space="preserve">88(10039), 31–44. </w:t>
      </w:r>
      <w:hyperlink r:id="rId877">
        <w:r>
          <w:rPr>
            <w:color w:val="0000FF"/>
            <w:u w:val="single" w:color="0000FF"/>
          </w:rPr>
          <w:t>https://doi.org/1</w:t>
        </w:r>
      </w:hyperlink>
      <w:hyperlink r:id="rId878">
        <w:r>
          <w:rPr>
            <w:color w:val="0000FF"/>
            <w:u w:val="single" w:color="0000FF"/>
          </w:rPr>
          <w:t>0.101</w:t>
        </w:r>
      </w:hyperlink>
      <w:hyperlink r:id="rId879">
        <w:r>
          <w:rPr>
            <w:color w:val="0000FF"/>
            <w:u w:val="single" w:color="0000FF"/>
          </w:rPr>
          <w:t>6/S0140</w:t>
        </w:r>
      </w:hyperlink>
      <w:hyperlink r:id="rId880">
        <w:r>
          <w:rPr>
            <w:color w:val="0000FF"/>
            <w:u w:val="single" w:color="0000FF"/>
          </w:rPr>
          <w:t>-</w:t>
        </w:r>
      </w:hyperlink>
      <w:hyperlink r:id="rId881">
        <w:r>
          <w:rPr>
            <w:color w:val="0000FF"/>
            <w:u w:val="single" w:color="0000FF"/>
          </w:rPr>
          <w:t>6736(16)30307</w:t>
        </w:r>
      </w:hyperlink>
      <w:hyperlink r:id="rId882">
        <w:r>
          <w:rPr>
            <w:color w:val="0000FF"/>
            <w:u w:val="single" w:color="0000FF"/>
          </w:rPr>
          <w:t>-</w:t>
        </w:r>
      </w:hyperlink>
      <w:hyperlink r:id="rId883">
        <w:r>
          <w:rPr>
            <w:color w:val="0000FF"/>
            <w:u w:val="single" w:color="0000FF"/>
          </w:rPr>
          <w:t>5</w:t>
        </w:r>
      </w:hyperlink>
      <w:hyperlink r:id="rId88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Corren, J., Karpefors, M., Hellqvist, Å., Parnes, J. R., &amp; Colice, G. (2021). Tezepelumab Reduces Exacerbations Across All Seasons in Patients with Severe, Uncontrolled Asthma: </w:t>
      </w:r>
    </w:p>
    <w:p w:rsidR="00F15F71" w:rsidRDefault="00F974CD">
      <w:pPr>
        <w:ind w:left="651" w:right="841"/>
      </w:pPr>
      <w:r>
        <w:t>A Pos</w:t>
      </w:r>
      <w:r>
        <w:t xml:space="preserve">t Hoc Analysis of the PATHWAY Phase 2b Study. Journal of Asthma and Allergy, 14, 1–11. </w:t>
      </w:r>
      <w:hyperlink r:id="rId885">
        <w:r>
          <w:rPr>
            <w:color w:val="0000FF"/>
            <w:u w:val="single" w:color="0000FF"/>
          </w:rPr>
          <w:t>https://doi.org/10.2147/JAA.S286036</w:t>
        </w:r>
      </w:hyperlink>
      <w:hyperlink r:id="rId88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Busse, W. W., Castro, M., &amp; Casale, T. B. (2023). Asthma Management in Adults. The Journal of Allergy and Clinical Immunology. In Practice, 11(1), 21–33. </w:t>
      </w:r>
      <w:hyperlink r:id="rId887">
        <w:r>
          <w:rPr>
            <w:color w:val="0000FF"/>
            <w:u w:val="single" w:color="0000FF"/>
          </w:rPr>
          <w:t>https://doi.org/10.1016/J.JAIP.2022.10.0</w:t>
        </w:r>
        <w:r>
          <w:rPr>
            <w:color w:val="0000FF"/>
            <w:u w:val="single" w:color="0000FF"/>
          </w:rPr>
          <w:t>15</w:t>
        </w:r>
      </w:hyperlink>
      <w:hyperlink r:id="rId88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5"/>
        <w:ind w:right="841" w:hanging="689"/>
      </w:pPr>
      <w:r>
        <w:t xml:space="preserve">Agache, I., Beltran, J., Akdis, C., Akdis, M., Canelo-Aybar, C., Canonica, G. W., Casale, T., Chivato, T., Corren, J., Del Giacco, S., Eiwegger, T., Firinu, D., Gern, J. E., </w:t>
      </w:r>
    </w:p>
    <w:p w:rsidR="00F15F71" w:rsidRDefault="00F974CD">
      <w:pPr>
        <w:ind w:left="651" w:right="841"/>
      </w:pPr>
      <w:r>
        <w:t xml:space="preserve">Hamelmann, E., </w:t>
      </w:r>
      <w:r>
        <w:t>Hanania, N., Mäkelä, M., Hernández-Martín, I., Nair, P., O’Mahony, L., … Jutel, M. (2020). Efficacy and safety of treatment with biologicals (benralizumab, dupilumab, mepolizumab, omalizumab and reslizumab) for severe eosinophilic asthma. A systematic revi</w:t>
      </w:r>
      <w:r>
        <w:t xml:space="preserve">ew for the EAACI Guidelines - recommendations on the use of biologicals in severe asthma. Allergy: European Journal of Allergy and Clinical Immunology, 75(5), 1023–1042. </w:t>
      </w:r>
      <w:hyperlink r:id="rId889">
        <w:r>
          <w:rPr>
            <w:color w:val="0000FF"/>
            <w:u w:val="single" w:color="0000FF"/>
          </w:rPr>
          <w:t>https://doi.org/10.1111/all.14221</w:t>
        </w:r>
      </w:hyperlink>
      <w:hyperlink r:id="rId89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Farne, H. A., Wilson, A., Milan, S., Banchoff, E., Yang, F., &amp; Powell, C. V. E. (2022). Anti-IL-5 therapies for asthma. Cochrane Database of Systematic Reviews, 2022(7). </w:t>
      </w:r>
      <w:hyperlink r:id="rId891">
        <w:r>
          <w:rPr>
            <w:color w:val="0000FF"/>
            <w:u w:val="single" w:color="0000FF"/>
          </w:rPr>
          <w:t>https://doi.org/10.1002/14651858.CD010834.pub4</w:t>
        </w:r>
      </w:hyperlink>
      <w:hyperlink r:id="rId89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Menzies-</w:t>
      </w:r>
      <w:r>
        <w:t>Gow, A., Gurnell, M., Heaney, L. G., Corren, J., Bel, E. H., Maspero, J., Harrison, T., Jackson, D. J., Price, D., Lugogo, N., Kreindler, J., Burden, A., de GiorgioMiller, A., Padilla, K., Martin, U. J., &amp; Garcia Gil, E. (2022). Oral corticosteroid elimina</w:t>
      </w:r>
      <w:r>
        <w:t xml:space="preserve">tion via a personalised reduction algorithm in adults with severe, eosinophilic asthma treated with benralizumab (PONENTE): a multicentre, open-label, single-arm study. The Lancet. Respiratory Medicine, 10(1), 47–58. </w:t>
      </w:r>
      <w:hyperlink r:id="rId893">
        <w:r>
          <w:rPr>
            <w:color w:val="0000FF"/>
            <w:u w:val="single" w:color="0000FF"/>
          </w:rPr>
          <w:t>https://doi.org/10.1016/S2213</w:t>
        </w:r>
      </w:hyperlink>
      <w:hyperlink r:id="rId894"/>
      <w:hyperlink r:id="rId895">
        <w:r>
          <w:rPr>
            <w:color w:val="0000FF"/>
            <w:u w:val="single" w:color="0000FF"/>
          </w:rPr>
          <w:t>2600(21)00352</w:t>
        </w:r>
      </w:hyperlink>
      <w:hyperlink r:id="rId896">
        <w:r>
          <w:rPr>
            <w:color w:val="0000FF"/>
            <w:u w:val="single" w:color="0000FF"/>
          </w:rPr>
          <w:t>-</w:t>
        </w:r>
      </w:hyperlink>
      <w:hyperlink r:id="rId897">
        <w:r>
          <w:rPr>
            <w:color w:val="0000FF"/>
            <w:u w:val="single" w:color="0000FF"/>
          </w:rPr>
          <w:t>0</w:t>
        </w:r>
      </w:hyperlink>
      <w:hyperlink r:id="rId89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Chheang, C., Guinand, S., von Garnier, C., &amp; Sartori, C. (2022). New perspectives of biological therapy for severe </w:t>
      </w:r>
      <w:r>
        <w:t xml:space="preserve">asthma in adults and adolescents. Swiss Medical Weekly, 152(21–22). </w:t>
      </w:r>
      <w:hyperlink r:id="rId899">
        <w:r>
          <w:rPr>
            <w:color w:val="0000FF"/>
            <w:u w:val="single" w:color="0000FF"/>
          </w:rPr>
          <w:t>https://doi.org/10.4414/SMW.2022.W30176</w:t>
        </w:r>
      </w:hyperlink>
      <w:hyperlink r:id="rId90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3" w:line="259" w:lineRule="auto"/>
        <w:ind w:right="841" w:hanging="689"/>
      </w:pPr>
      <w:r>
        <w:t xml:space="preserve">Wangberg, H., &amp; Woessner, K. </w:t>
      </w:r>
      <w:r>
        <w:t xml:space="preserve">(2021). Choice of biologics in asthma endotypes. Current </w:t>
      </w:r>
    </w:p>
    <w:p w:rsidR="00F15F71" w:rsidRDefault="00F974CD">
      <w:pPr>
        <w:ind w:left="651" w:right="841"/>
      </w:pPr>
      <w:r>
        <w:t xml:space="preserve">Opinion </w:t>
      </w:r>
      <w:r>
        <w:tab/>
        <w:t xml:space="preserve">in </w:t>
      </w:r>
      <w:r>
        <w:tab/>
        <w:t xml:space="preserve">Allergy </w:t>
      </w:r>
      <w:r>
        <w:tab/>
        <w:t xml:space="preserve">and </w:t>
      </w:r>
      <w:r>
        <w:tab/>
        <w:t xml:space="preserve">Clinical </w:t>
      </w:r>
      <w:r>
        <w:tab/>
        <w:t xml:space="preserve">Immunology, </w:t>
      </w:r>
      <w:r>
        <w:tab/>
        <w:t xml:space="preserve">21(1), </w:t>
      </w:r>
      <w:r>
        <w:tab/>
        <w:t xml:space="preserve">79–85. </w:t>
      </w:r>
      <w:hyperlink r:id="rId901">
        <w:r>
          <w:rPr>
            <w:color w:val="0000FF"/>
            <w:u w:val="single" w:color="0000FF"/>
          </w:rPr>
          <w:t>https://doi.org/10.1097/ACI.0000000000000708</w:t>
        </w:r>
      </w:hyperlink>
      <w:hyperlink r:id="rId90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Katsaounou, P., Buhl, R., Brusselle, G., Pfister, P., Martínez, R., Wahn, U., &amp; Bousquet, J. (2019). Omalizumab as alternative to chronic use of oral corticosteroids in severe asthma. Respiratory Medicine, 150, 51–6</w:t>
      </w:r>
      <w:r>
        <w:t xml:space="preserve">2. https://doi.org/10.1016/J.RMED.2019.02.003 </w:t>
      </w:r>
    </w:p>
    <w:p w:rsidR="00F15F71" w:rsidRDefault="00F974CD">
      <w:pPr>
        <w:numPr>
          <w:ilvl w:val="0"/>
          <w:numId w:val="31"/>
        </w:numPr>
        <w:spacing w:after="112" w:line="259" w:lineRule="auto"/>
        <w:ind w:right="841" w:hanging="689"/>
      </w:pPr>
      <w:r>
        <w:t xml:space="preserve">Gon, Y., Maruoka, S., &amp; Mizumura, K. (2022). Omalizumab and IgE in the Control of </w:t>
      </w:r>
    </w:p>
    <w:p w:rsidR="00F15F71" w:rsidRDefault="00F974CD">
      <w:pPr>
        <w:ind w:left="651" w:right="841"/>
      </w:pPr>
      <w:r>
        <w:t xml:space="preserve">Severe </w:t>
      </w:r>
      <w:r>
        <w:tab/>
        <w:t xml:space="preserve">Allergic </w:t>
      </w:r>
      <w:r>
        <w:tab/>
        <w:t xml:space="preserve">Asthma. </w:t>
      </w:r>
      <w:r>
        <w:tab/>
        <w:t xml:space="preserve">Frontiers </w:t>
      </w:r>
      <w:r>
        <w:tab/>
        <w:t xml:space="preserve">in </w:t>
      </w:r>
      <w:r>
        <w:tab/>
        <w:t xml:space="preserve">Pharmacology, </w:t>
      </w:r>
      <w:r>
        <w:tab/>
        <w:t xml:space="preserve">13. </w:t>
      </w:r>
      <w:hyperlink r:id="rId903">
        <w:r>
          <w:rPr>
            <w:color w:val="0000FF"/>
            <w:u w:val="single" w:color="0000FF"/>
          </w:rPr>
          <w:t>http</w:t>
        </w:r>
        <w:r>
          <w:rPr>
            <w:color w:val="0000FF"/>
            <w:u w:val="single" w:color="0000FF"/>
          </w:rPr>
          <w:t>s://doi.org/10.3389/FPHAR.2022.839011</w:t>
        </w:r>
      </w:hyperlink>
      <w:hyperlink r:id="rId90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Henriksen, D. P., Bodtger, U., Sidenius, K., </w:t>
      </w:r>
      <w:r>
        <w:t>Maltbaek, N., Pedersen, L., Madsen, H., Andersson, E. A., Norgaard, O., Madsen, L. K., &amp; Chawes, B. L. (2018). Efficacy, adverse events, and inter-drug comparison of mepolizumab and reslizumab anti-IL-5 treatments of severe asthma - a systematic review and</w:t>
      </w:r>
      <w:r>
        <w:t xml:space="preserve"> meta-analysis. European Clinical Respiratory Journal, 5(1). </w:t>
      </w:r>
      <w:hyperlink r:id="rId905">
        <w:r>
          <w:rPr>
            <w:color w:val="0000FF"/>
            <w:u w:val="single" w:color="0000FF"/>
          </w:rPr>
          <w:t>https://doi.org/10.1080/20018525.2018.1536097</w:t>
        </w:r>
      </w:hyperlink>
      <w:hyperlink r:id="rId90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33" w:line="259" w:lineRule="auto"/>
        <w:ind w:right="841" w:hanging="689"/>
      </w:pPr>
      <w:r>
        <w:t>Flood-Page, P. T.,</w:t>
      </w:r>
      <w:r>
        <w:t xml:space="preserve"> Menzies-Gow, A. N., Kay, A. B., &amp; Robinson, D. S. (2003). </w:t>
      </w:r>
    </w:p>
    <w:p w:rsidR="00F15F71" w:rsidRDefault="00F974CD">
      <w:pPr>
        <w:ind w:left="651" w:right="841"/>
      </w:pPr>
      <w:r>
        <w:t xml:space="preserve">Eosinophil’s role remains uncertain as anti-interleukin-5 only partially depletes numbers in asthmatic airway. American Journal of Respiratory and Critical Care Medicine, 167(2), 199–204. </w:t>
      </w:r>
      <w:hyperlink r:id="rId907">
        <w:r>
          <w:rPr>
            <w:color w:val="0000FF"/>
            <w:u w:val="single" w:color="0000FF"/>
          </w:rPr>
          <w:t>https://doi.org/10.1164/RCCM.200208</w:t>
        </w:r>
      </w:hyperlink>
      <w:hyperlink r:id="rId908">
        <w:r>
          <w:rPr>
            <w:color w:val="0000FF"/>
            <w:u w:val="single" w:color="0000FF"/>
          </w:rPr>
          <w:t>-</w:t>
        </w:r>
      </w:hyperlink>
      <w:hyperlink r:id="rId909">
        <w:r>
          <w:rPr>
            <w:color w:val="0000FF"/>
            <w:u w:val="single" w:color="0000FF"/>
          </w:rPr>
          <w:t>789OC</w:t>
        </w:r>
      </w:hyperlink>
      <w:hyperlink r:id="rId91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3" w:line="259" w:lineRule="auto"/>
        <w:ind w:right="841" w:hanging="689"/>
      </w:pPr>
      <w:r>
        <w:t xml:space="preserve">Garrett, J. K., Jameson, S. C., Thomson, B., Collins, M. H., Wagoner, L. E., Freese, D. K., </w:t>
      </w:r>
    </w:p>
    <w:p w:rsidR="00F15F71" w:rsidRDefault="00F974CD">
      <w:pPr>
        <w:ind w:left="651" w:right="841"/>
      </w:pPr>
      <w:r>
        <w:t>Beck, L. A., Boyce, J. A., Filipovich, A. H., Villanueva, J. M., Sutton, S. A., Assa’ad, A. H., &amp; Rothenberg, M. E. (2004). Anti-interleukin</w:t>
      </w:r>
      <w:r>
        <w:t xml:space="preserve">-5 (mepolizumab) therapy for hypereosinophilic syndromes. Journal of Allergy and Clinical Immunology, 113(1), 115– 119. </w:t>
      </w:r>
      <w:hyperlink r:id="rId911">
        <w:r>
          <w:rPr>
            <w:color w:val="0000FF"/>
            <w:u w:val="single" w:color="0000FF"/>
          </w:rPr>
          <w:t>https://doi.org/10.1016/j.jaci.2003.10.</w:t>
        </w:r>
      </w:hyperlink>
      <w:hyperlink r:id="rId912">
        <w:r>
          <w:rPr>
            <w:color w:val="0000FF"/>
            <w:u w:val="single" w:color="0000FF"/>
          </w:rPr>
          <w:t>049</w:t>
        </w:r>
      </w:hyperlink>
      <w:hyperlink r:id="rId91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Egan, R. W., Athwal, D., Bodmer, M. W., Carter, J. M., Chapman, R. W., Chou, C. C., Cox, M. A., Emtage, J. S., Fernandez, X., Genatt, N., Indelicato, S. R., Jenh,</w:t>
      </w:r>
      <w:r>
        <w:t xml:space="preserve"> C. H., </w:t>
      </w:r>
    </w:p>
    <w:p w:rsidR="00F15F71" w:rsidRDefault="00F974CD">
      <w:pPr>
        <w:spacing w:after="126" w:line="259" w:lineRule="auto"/>
        <w:ind w:left="651" w:right="841"/>
      </w:pPr>
      <w:r>
        <w:t xml:space="preserve">Kreutner, W., Kung, T. T., Mauser, P. J., Minnicozzi, M., Murgolo, N. J., Narula, S. K., </w:t>
      </w:r>
    </w:p>
    <w:p w:rsidR="00F15F71" w:rsidRDefault="00F974CD">
      <w:pPr>
        <w:ind w:left="651" w:right="841"/>
      </w:pPr>
      <w:r>
        <w:t>Petro, M. E., … Zurcher, J. (1999). Effect of Sch 55700, a humanized monoclonal antibody to human interleukin-5, on eosinophilic responses and bronchial hype</w:t>
      </w:r>
      <w:r>
        <w:t xml:space="preserve">rreactivity. </w:t>
      </w:r>
    </w:p>
    <w:p w:rsidR="00F15F71" w:rsidRDefault="00F974CD">
      <w:pPr>
        <w:spacing w:line="259" w:lineRule="auto"/>
        <w:ind w:left="651" w:right="841"/>
      </w:pPr>
      <w:r>
        <w:t xml:space="preserve">Arzneimittel-Forschung, 49(9), 779–790. </w:t>
      </w:r>
      <w:hyperlink r:id="rId914">
        <w:r>
          <w:rPr>
            <w:color w:val="0000FF"/>
            <w:u w:val="single" w:color="0000FF"/>
          </w:rPr>
          <w:t>https://doi.org/10.1055/S</w:t>
        </w:r>
      </w:hyperlink>
      <w:hyperlink r:id="rId915">
        <w:r>
          <w:rPr>
            <w:color w:val="0000FF"/>
            <w:u w:val="single" w:color="0000FF"/>
          </w:rPr>
          <w:t>-</w:t>
        </w:r>
      </w:hyperlink>
      <w:hyperlink r:id="rId916">
        <w:r>
          <w:rPr>
            <w:color w:val="0000FF"/>
            <w:u w:val="single" w:color="0000FF"/>
          </w:rPr>
          <w:t>00</w:t>
        </w:r>
        <w:r>
          <w:rPr>
            <w:color w:val="0000FF"/>
            <w:u w:val="single" w:color="0000FF"/>
          </w:rPr>
          <w:t>31</w:t>
        </w:r>
      </w:hyperlink>
      <w:hyperlink r:id="rId917">
        <w:r>
          <w:rPr>
            <w:color w:val="0000FF"/>
            <w:u w:val="single" w:color="0000FF"/>
          </w:rPr>
          <w:t>-</w:t>
        </w:r>
      </w:hyperlink>
      <w:hyperlink r:id="rId918">
        <w:r>
          <w:rPr>
            <w:color w:val="0000FF"/>
            <w:u w:val="single" w:color="0000FF"/>
          </w:rPr>
          <w:t>1300502</w:t>
        </w:r>
      </w:hyperlink>
      <w:hyperlink r:id="rId91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Castro, M., Mathur, S., Hargreave, F., Boulet, L. P., Xie, F., Young, </w:t>
      </w:r>
      <w:r>
        <w:t xml:space="preserve">J., Jeffrey Wilkins, H., Henkel, T., &amp; Nair, P. (2011). Reslizumab for poorly controlled, eosinophilic asthma: a randomized, placebo-controlled study. American Journal of Respiratory and Critical Care Medicine, 184(10), 1125–1132. </w:t>
      </w:r>
      <w:hyperlink r:id="rId920">
        <w:r>
          <w:rPr>
            <w:color w:val="0000FF"/>
            <w:u w:val="single" w:color="0000FF"/>
          </w:rPr>
          <w:t>https://doi.org/10.1164/RCCM.201103</w:t>
        </w:r>
      </w:hyperlink>
      <w:hyperlink r:id="rId921">
        <w:r>
          <w:rPr>
            <w:color w:val="0000FF"/>
            <w:u w:val="single" w:color="0000FF"/>
          </w:rPr>
          <w:t>-</w:t>
        </w:r>
      </w:hyperlink>
      <w:hyperlink r:id="rId922">
        <w:r>
          <w:rPr>
            <w:color w:val="0000FF"/>
            <w:u w:val="single" w:color="0000FF"/>
          </w:rPr>
          <w:t>0396OC</w:t>
        </w:r>
      </w:hyperlink>
      <w:hyperlink r:id="rId92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Castro, M., Zangrilli, J., Wechsler, M. </w:t>
      </w:r>
      <w:r>
        <w:t>E., Bateman, E. D., Brusselle, G. G., Bardin, P., Murphy, K., Maspero, J. F., O’Brien, C., &amp; Korn, S. (2015). Reslizumab for inadequately controlled asthma with elevated blood eosinophil counts: results from two multicentre, parallel, double-blind, randomi</w:t>
      </w:r>
      <w:r>
        <w:t xml:space="preserve">sed, placebo-controlled, phase 3 trials. The Lancet. Respiratory Medicine, 3(5), 355–366. </w:t>
      </w:r>
      <w:hyperlink r:id="rId924">
        <w:r>
          <w:rPr>
            <w:color w:val="0000FF"/>
            <w:u w:val="single" w:color="0000FF"/>
          </w:rPr>
          <w:t>https://doi.org/10.1016/S2213</w:t>
        </w:r>
      </w:hyperlink>
      <w:hyperlink r:id="rId925">
        <w:r>
          <w:rPr>
            <w:color w:val="0000FF"/>
            <w:u w:val="single" w:color="0000FF"/>
          </w:rPr>
          <w:t>-</w:t>
        </w:r>
      </w:hyperlink>
      <w:hyperlink r:id="rId926">
        <w:r>
          <w:rPr>
            <w:color w:val="0000FF"/>
            <w:u w:val="single" w:color="0000FF"/>
          </w:rPr>
          <w:t>2600(15)00042</w:t>
        </w:r>
      </w:hyperlink>
      <w:hyperlink r:id="rId927">
        <w:r>
          <w:rPr>
            <w:color w:val="0000FF"/>
            <w:u w:val="single" w:color="0000FF"/>
          </w:rPr>
          <w:t>-</w:t>
        </w:r>
      </w:hyperlink>
      <w:hyperlink r:id="rId928">
        <w:r>
          <w:rPr>
            <w:color w:val="0000FF"/>
            <w:u w:val="single" w:color="0000FF"/>
          </w:rPr>
          <w:t>9</w:t>
        </w:r>
      </w:hyperlink>
      <w:hyperlink r:id="rId92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Koike, M., Nakamura, K., Furuya, A., Iida, A., Anazawa, H., Takatsu, K., &amp; Hanai, N. (2009). Establishment of humanized anti-interleukin-5 receptor alpha chain monoclonal antibodies having a potent neutralizing activity. Human Antibodies, 18</w:t>
      </w:r>
      <w:r>
        <w:t xml:space="preserve">(1–2), 17–27. </w:t>
      </w:r>
      <w:hyperlink r:id="rId930">
        <w:r>
          <w:rPr>
            <w:color w:val="0000FF"/>
            <w:u w:val="single" w:color="0000FF"/>
          </w:rPr>
          <w:t>https://doi.org/10.3233/HAB</w:t>
        </w:r>
      </w:hyperlink>
      <w:hyperlink r:id="rId931">
        <w:r>
          <w:rPr>
            <w:color w:val="0000FF"/>
            <w:u w:val="single" w:color="0000FF"/>
          </w:rPr>
          <w:t>-</w:t>
        </w:r>
      </w:hyperlink>
      <w:hyperlink r:id="rId932">
        <w:r>
          <w:rPr>
            <w:color w:val="0000FF"/>
            <w:u w:val="single" w:color="0000FF"/>
          </w:rPr>
          <w:t>2009</w:t>
        </w:r>
      </w:hyperlink>
      <w:hyperlink r:id="rId933">
        <w:r>
          <w:rPr>
            <w:color w:val="0000FF"/>
            <w:u w:val="single" w:color="0000FF"/>
          </w:rPr>
          <w:t>-</w:t>
        </w:r>
      </w:hyperlink>
      <w:hyperlink r:id="rId934">
        <w:r>
          <w:rPr>
            <w:color w:val="0000FF"/>
            <w:u w:val="single" w:color="0000FF"/>
          </w:rPr>
          <w:t>0198</w:t>
        </w:r>
      </w:hyperlink>
      <w:hyperlink r:id="rId93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2" w:line="259" w:lineRule="auto"/>
        <w:ind w:right="841" w:hanging="689"/>
      </w:pPr>
      <w:r>
        <w:t xml:space="preserve">Kolbeck, R., Kozhich, A., Koike, M., Peng, L., Andersson, C. K., Damschroder, M. M., </w:t>
      </w:r>
    </w:p>
    <w:p w:rsidR="00F15F71" w:rsidRDefault="00F974CD">
      <w:pPr>
        <w:ind w:left="651" w:right="841"/>
      </w:pPr>
      <w:r>
        <w:t>Reed, J. L., Woods, R., Dall’Ac</w:t>
      </w:r>
      <w:r>
        <w:t>qua, W. W., Stephens, G. L., Erjefalt, J. S., Bjermer, L., Humbles, A. A., Gossage, D., Wu, H., Kiener, P. A., Spitalny, G. L., Mackay, C. R., Molfino, N. A., &amp; Coyle, A. J. (2010). MEDI-563, a humanized anti-IL-5 receptor alpha mAb with enhanced antibody-</w:t>
      </w:r>
      <w:r>
        <w:t xml:space="preserve">dependent cell-mediated cytotoxicity function. The Journal of Allergy and Clinical Immunology, 125(6). </w:t>
      </w:r>
      <w:hyperlink r:id="rId936">
        <w:r>
          <w:rPr>
            <w:color w:val="0000FF"/>
            <w:u w:val="single" w:color="0000FF"/>
          </w:rPr>
          <w:t>https://doi.org/10.1016/J.JACI.2010.04.004</w:t>
        </w:r>
      </w:hyperlink>
      <w:hyperlink r:id="rId93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Bachert, C., Han, J. K., Desrosiers, M., Hellings, P. W., Amin, N., Lee, S. E., Mullol, J., Greos, L. S., Bosso, J. V., Laidlaw, T. M., Cervin, A. U., Maspero, J. F., Hopkins, C., </w:t>
      </w:r>
    </w:p>
    <w:p w:rsidR="00F15F71" w:rsidRDefault="00F974CD">
      <w:pPr>
        <w:spacing w:after="30"/>
        <w:ind w:left="651" w:right="841"/>
      </w:pPr>
      <w:r>
        <w:t>Olze, H., Canonica, G. W., Paggiaro, P., Cho, S. H., Fokkens</w:t>
      </w:r>
      <w:r>
        <w:t>, W. J., Fujieda, S., … Mannent, L. P. (2019). Efficacy and safety of dupilumab in patients with severe chronic rhinosinusitis with nasal polyps (LIBERTY NP SINUS-24 and LIBERTY NP SINUS-52): results from two multicentre, randomised, double-blind, placebo-</w:t>
      </w:r>
      <w:r>
        <w:t xml:space="preserve">controlled, parallel-group phase 3 trials. Lancet (London, England), 394(10209), 1638–1650. </w:t>
      </w:r>
      <w:hyperlink r:id="rId938">
        <w:r>
          <w:rPr>
            <w:color w:val="0000FF"/>
            <w:u w:val="single" w:color="0000FF"/>
          </w:rPr>
          <w:t>https://doi.org/10.1016/S0140</w:t>
        </w:r>
      </w:hyperlink>
      <w:hyperlink r:id="rId939">
        <w:r>
          <w:rPr>
            <w:color w:val="0000FF"/>
            <w:u w:val="single" w:color="0000FF"/>
          </w:rPr>
          <w:t>-</w:t>
        </w:r>
      </w:hyperlink>
      <w:hyperlink r:id="rId940">
        <w:r>
          <w:rPr>
            <w:color w:val="0000FF"/>
            <w:u w:val="single" w:color="0000FF"/>
          </w:rPr>
          <w:t>6736(19)31881</w:t>
        </w:r>
      </w:hyperlink>
      <w:hyperlink r:id="rId941">
        <w:r>
          <w:rPr>
            <w:color w:val="0000FF"/>
            <w:u w:val="single" w:color="0000FF"/>
          </w:rPr>
          <w:t>-</w:t>
        </w:r>
      </w:hyperlink>
      <w:hyperlink r:id="rId942">
        <w:r>
          <w:rPr>
            <w:color w:val="0000FF"/>
            <w:u w:val="single" w:color="0000FF"/>
          </w:rPr>
          <w:t>1</w:t>
        </w:r>
      </w:hyperlink>
      <w:hyperlink r:id="rId94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Guttman-Yassky, E., Bissonnette, R., Ungar, B., Suárez-Fariñas, M., Ardeleanu, M., Esaki, H., Suprun, M., Estrada, Y., Xu, H., Peng, X., Silverberg, J. I., Menter, A., </w:t>
      </w:r>
    </w:p>
    <w:p w:rsidR="00F15F71" w:rsidRDefault="00F974CD">
      <w:pPr>
        <w:ind w:left="651" w:right="841"/>
      </w:pPr>
      <w:r>
        <w:t>Krueger, J. G., Zhang,</w:t>
      </w:r>
      <w:r>
        <w:t xml:space="preserve"> R., Chaudhry, U., Swanson, B., Graham, N. M. H., Pirozzi, G., Yancopoulos, G. D., &amp; Jennifer, J. D. (2019). Dupilumab progressively improves systemic and cutaneous abnormalities in patients with atopic dermatitis. The Journal of </w:t>
      </w:r>
    </w:p>
    <w:p w:rsidR="00F15F71" w:rsidRDefault="00F974CD">
      <w:pPr>
        <w:ind w:left="651" w:right="841"/>
      </w:pPr>
      <w:r>
        <w:t xml:space="preserve">Allergy </w:t>
      </w:r>
      <w:r>
        <w:tab/>
        <w:t xml:space="preserve">and </w:t>
      </w:r>
      <w:r>
        <w:tab/>
        <w:t xml:space="preserve">Clinical </w:t>
      </w:r>
      <w:r>
        <w:tab/>
        <w:t>I</w:t>
      </w:r>
      <w:r>
        <w:t xml:space="preserve">mmunology, </w:t>
      </w:r>
      <w:r>
        <w:tab/>
        <w:t xml:space="preserve">143(1), </w:t>
      </w:r>
      <w:r>
        <w:tab/>
        <w:t xml:space="preserve">155–172. </w:t>
      </w:r>
      <w:hyperlink r:id="rId944">
        <w:r>
          <w:rPr>
            <w:color w:val="0000FF"/>
            <w:u w:val="single" w:color="0000FF"/>
          </w:rPr>
          <w:t>https://doi.org/10.1016/J.JACI.2018.08.022</w:t>
        </w:r>
      </w:hyperlink>
      <w:hyperlink r:id="rId94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49" w:line="259" w:lineRule="auto"/>
        <w:ind w:right="841" w:hanging="689"/>
      </w:pPr>
      <w:r>
        <w:t>Menzies-Gow, A., Corren, J., Bourdin, A., Chupp, G., Israe</w:t>
      </w:r>
      <w:r>
        <w:t xml:space="preserve">l, E., Wechsler, M. E., </w:t>
      </w:r>
    </w:p>
    <w:p w:rsidR="00F15F71" w:rsidRDefault="00F974CD">
      <w:pPr>
        <w:ind w:left="651" w:right="841"/>
      </w:pPr>
      <w:r>
        <w:t xml:space="preserve">Brightling, C. E., Griffiths, J. M., Hellqvist, Å., Bowen, K., Kaur, P., Almqvist, G., Ponnarambil, S., &amp; Colice, G. (2021). Tezepelumab in Adults and Adolescents with </w:t>
      </w:r>
    </w:p>
    <w:p w:rsidR="00F15F71" w:rsidRDefault="00F974CD">
      <w:pPr>
        <w:ind w:left="651" w:right="841"/>
      </w:pPr>
      <w:r>
        <w:t>Severe, Uncontrolled Asthma. The New England Journal of Medici</w:t>
      </w:r>
      <w:r>
        <w:t xml:space="preserve">ne, 384(19), 1800– 1809. </w:t>
      </w:r>
      <w:hyperlink r:id="rId946">
        <w:r>
          <w:rPr>
            <w:color w:val="0000FF"/>
            <w:u w:val="single" w:color="0000FF"/>
          </w:rPr>
          <w:t>https://doi.org/10.1056/NEJMOA2034975</w:t>
        </w:r>
      </w:hyperlink>
      <w:hyperlink r:id="rId94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Chen S, Tran TN, Cook W, Altraja A, Bourdin AA, Sheu CC, Tsai MJ, Hoyte F, Qui</w:t>
      </w:r>
      <w:r>
        <w:t xml:space="preserve">nton AR, Emmanuel B, Goh C, Carter V, Price DP. Clinical outcomes and emergency health care utilization in patients with severe asthma who continued, switched, or stopped biologic therapy: results from the CLEAR STUDY. Chest 2022, 162(4), A23-A27. </w:t>
      </w:r>
      <w:hyperlink r:id="rId948">
        <w:r>
          <w:rPr>
            <w:color w:val="0000FF"/>
            <w:u w:val="single" w:color="0000FF"/>
          </w:rPr>
          <w:t>https://doi.org/10.1016/j.chest.2022.08.019</w:t>
        </w:r>
      </w:hyperlink>
      <w:hyperlink r:id="rId94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Haldar, P., Brightling, C. E., Singapuri, A., Hargadon, B., Gupta, S., Monteiro, W., Bradding</w:t>
      </w:r>
      <w:r>
        <w:t xml:space="preserve">, P., Green, R. H., Wardlaw, A. J., Ortega, H., &amp; Pavord, I. D. (2014). Outcomes after cessation of mepolizumab therapy in severe eosinophilic asthma: a 12-month followup analysis. The Journal of Allergy and Clinical Immunology, 133(3), 921–923. </w:t>
      </w:r>
      <w:hyperlink r:id="rId950">
        <w:r>
          <w:rPr>
            <w:color w:val="0000FF"/>
            <w:u w:val="single" w:color="0000FF"/>
          </w:rPr>
          <w:t>https://doi.org/10.1016/J.JACI.2013.11.026</w:t>
        </w:r>
      </w:hyperlink>
      <w:hyperlink r:id="rId95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Undela, K., Goldsmith, L., Kew, K. M., &amp; Ferrara, G. (2021). Macrolides versus placebo for chronic</w:t>
      </w:r>
      <w:r>
        <w:t xml:space="preserve"> asthma. Cochrane Database of Systematic Reviews, 2021(11). </w:t>
      </w:r>
      <w:hyperlink r:id="rId952">
        <w:r>
          <w:rPr>
            <w:color w:val="0000FF"/>
            <w:u w:val="single" w:color="0000FF"/>
          </w:rPr>
          <w:t>https://doi.org/10.1002/14651858.CD002997.pub5</w:t>
        </w:r>
      </w:hyperlink>
      <w:hyperlink r:id="rId95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Zimmermann, P., </w:t>
      </w:r>
      <w:r>
        <w:t xml:space="preserve">Ziesenitz, V. C., Curtis, N., &amp; Ritz, N. (2018). The immunomodulatory effects of macrolides-A systematic review of the underlying mechanisms. Frontiers in Immunology, 9(MAR). </w:t>
      </w:r>
      <w:hyperlink r:id="rId954">
        <w:r>
          <w:rPr>
            <w:color w:val="0000FF"/>
            <w:u w:val="single" w:color="0000FF"/>
          </w:rPr>
          <w:t>https://doi.org/10.33</w:t>
        </w:r>
        <w:r>
          <w:rPr>
            <w:color w:val="0000FF"/>
            <w:u w:val="single" w:color="0000FF"/>
          </w:rPr>
          <w:t>89/FIMMU.2018.00302</w:t>
        </w:r>
      </w:hyperlink>
      <w:hyperlink r:id="rId95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Hiles, S. A., McDonald, V. M., Guilhermino, M., Brusselle, G. G., &amp; Gibson, P. G. (2019). Does maintenance azithromycin reduce asthma exacerbations? An individual participant </w:t>
      </w:r>
      <w:r>
        <w:t xml:space="preserve">data meta-analysis. The European Respiratory Journal, 54(5). </w:t>
      </w:r>
      <w:hyperlink r:id="rId956">
        <w:r>
          <w:rPr>
            <w:color w:val="0000FF"/>
            <w:u w:val="single" w:color="0000FF"/>
          </w:rPr>
          <w:t>https://doi.org/10.1183/13993003.01381</w:t>
        </w:r>
      </w:hyperlink>
      <w:hyperlink r:id="rId957">
        <w:r>
          <w:rPr>
            <w:color w:val="0000FF"/>
            <w:u w:val="single" w:color="0000FF"/>
          </w:rPr>
          <w:t>-</w:t>
        </w:r>
      </w:hyperlink>
      <w:hyperlink r:id="rId958">
        <w:r>
          <w:rPr>
            <w:color w:val="0000FF"/>
            <w:u w:val="single" w:color="0000FF"/>
          </w:rPr>
          <w:t>2019</w:t>
        </w:r>
      </w:hyperlink>
      <w:hyperlink r:id="rId95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Gibson, P. G., Yang, I. A., Upham, J. W., Reynolds, P. N., Hodge, S., James, A. L., Jenkins, C., Peters, M. J., Marks, G. B., Baraket, M., Powell, H., Tay</w:t>
      </w:r>
      <w:r>
        <w:t>lor, S. L., Leong, L. E. X., Rogers, G. B., &amp; Simpson, J. L. (2017). Effect of azithromycin on asthma exacerbations and quality of life in adults with persistent uncontrolled asthma (AMAZES): a randomised, double-blind, placebo-controlled trial. Lancet (Lo</w:t>
      </w:r>
      <w:r>
        <w:t xml:space="preserve">ndon, England), 390(10095), 659–668. </w:t>
      </w:r>
      <w:hyperlink r:id="rId960">
        <w:r>
          <w:rPr>
            <w:color w:val="0000FF"/>
            <w:u w:val="single" w:color="0000FF"/>
          </w:rPr>
          <w:t>https://doi.org/10.1016/S0140</w:t>
        </w:r>
      </w:hyperlink>
      <w:hyperlink r:id="rId961">
        <w:r>
          <w:rPr>
            <w:color w:val="0000FF"/>
            <w:u w:val="single" w:color="0000FF"/>
          </w:rPr>
          <w:t>-</w:t>
        </w:r>
      </w:hyperlink>
      <w:hyperlink r:id="rId962">
        <w:r>
          <w:rPr>
            <w:color w:val="0000FF"/>
            <w:u w:val="single" w:color="0000FF"/>
          </w:rPr>
          <w:t>6736(17)31281</w:t>
        </w:r>
      </w:hyperlink>
      <w:hyperlink r:id="rId963">
        <w:r>
          <w:rPr>
            <w:color w:val="0000FF"/>
            <w:u w:val="single" w:color="0000FF"/>
          </w:rPr>
          <w:t>-</w:t>
        </w:r>
      </w:hyperlink>
      <w:hyperlink r:id="rId964">
        <w:r>
          <w:rPr>
            <w:color w:val="0000FF"/>
            <w:u w:val="single" w:color="0000FF"/>
          </w:rPr>
          <w:t>3</w:t>
        </w:r>
      </w:hyperlink>
      <w:hyperlink r:id="rId96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Brusselle, G. G., VanderStichele, C., Jordens, P., Deman, R., Slabbynck, H., Ringoet, V., Verleden, G., Demedts, I. K., Verhamme, K., Delporte, A., Demeyere, B., Claeys, G., </w:t>
      </w:r>
    </w:p>
    <w:p w:rsidR="00F15F71" w:rsidRDefault="00F974CD">
      <w:pPr>
        <w:spacing w:after="114" w:line="259" w:lineRule="auto"/>
        <w:ind w:left="10" w:right="845"/>
        <w:jc w:val="right"/>
      </w:pPr>
      <w:r>
        <w:t xml:space="preserve">Boelens, J., Padalko, E., Verschakelen, J., Van Maele, G., Deschepper, E., &amp; Joos, G. F. </w:t>
      </w:r>
    </w:p>
    <w:p w:rsidR="00F15F71" w:rsidRDefault="00F974CD">
      <w:pPr>
        <w:ind w:left="651" w:right="841"/>
      </w:pPr>
      <w:r>
        <w:t>P. (2013). Azithromycin for prevention of exacerbations in severe asthma (AZISAST): A multicentre randomised double-blind placebo-controlled trial. Thorax, 68(4), 322</w:t>
      </w:r>
      <w:r>
        <w:t xml:space="preserve">–329. </w:t>
      </w:r>
      <w:hyperlink r:id="rId966">
        <w:r>
          <w:rPr>
            <w:color w:val="0000FF"/>
            <w:u w:val="single" w:color="0000FF"/>
          </w:rPr>
          <w:t>https://doi.org/10.1136/thoraxjnl</w:t>
        </w:r>
      </w:hyperlink>
      <w:hyperlink r:id="rId967">
        <w:r>
          <w:rPr>
            <w:color w:val="0000FF"/>
            <w:u w:val="single" w:color="0000FF"/>
          </w:rPr>
          <w:t>-</w:t>
        </w:r>
      </w:hyperlink>
      <w:hyperlink r:id="rId968">
        <w:r>
          <w:rPr>
            <w:color w:val="0000FF"/>
            <w:u w:val="single" w:color="0000FF"/>
          </w:rPr>
          <w:t>2012</w:t>
        </w:r>
      </w:hyperlink>
      <w:hyperlink r:id="rId969">
        <w:r>
          <w:rPr>
            <w:color w:val="0000FF"/>
            <w:u w:val="single" w:color="0000FF"/>
          </w:rPr>
          <w:t>-</w:t>
        </w:r>
      </w:hyperlink>
      <w:hyperlink r:id="rId970">
        <w:r>
          <w:rPr>
            <w:color w:val="0000FF"/>
            <w:u w:val="single" w:color="0000FF"/>
          </w:rPr>
          <w:t>202698</w:t>
        </w:r>
      </w:hyperlink>
      <w:hyperlink r:id="rId97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Sadeghdoust, M., Mirsadraee, M., Aligolighasemabadi, F., Khakzad, M. </w:t>
      </w:r>
      <w:r>
        <w:t xml:space="preserve">R., Hashemi Attar, A., &amp; Naghibi, S. (2021). Effect of azithromycin on bronchial wall thickness in severe persistent asthma: A double-blind placebo-controlled randomized clinical trial. Respiratory Medicine, 185. </w:t>
      </w:r>
      <w:hyperlink r:id="rId972">
        <w:r>
          <w:rPr>
            <w:color w:val="0000FF"/>
            <w:u w:val="single" w:color="0000FF"/>
          </w:rPr>
          <w:t>https://doi.org/10.1016/J.RMED.2021.106494</w:t>
        </w:r>
      </w:hyperlink>
      <w:hyperlink r:id="rId97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Nievas, I. F. F., &amp; Anand, K. J. S. (2013). Severe acute asthma exacerbation in children: a stepwise approach for escalating therap</w:t>
      </w:r>
      <w:r>
        <w:t xml:space="preserve">y in a pediatric intensive care unit. The Journal of </w:t>
      </w:r>
    </w:p>
    <w:p w:rsidR="00F15F71" w:rsidRDefault="00F974CD">
      <w:pPr>
        <w:ind w:left="651" w:right="841"/>
      </w:pPr>
      <w:r>
        <w:t xml:space="preserve">Pediatric Pharmacology and Therapeutics : JPPT : The Official Journal of PPAG, 18(2), 88–104. </w:t>
      </w:r>
      <w:hyperlink r:id="rId974">
        <w:r>
          <w:rPr>
            <w:color w:val="0000FF"/>
            <w:u w:val="single" w:color="0000FF"/>
          </w:rPr>
          <w:t>https://doi.org/10.5863/1551</w:t>
        </w:r>
      </w:hyperlink>
      <w:hyperlink r:id="rId975">
        <w:r>
          <w:rPr>
            <w:color w:val="0000FF"/>
            <w:u w:val="single" w:color="0000FF"/>
          </w:rPr>
          <w:t>-</w:t>
        </w:r>
      </w:hyperlink>
      <w:hyperlink r:id="rId976">
        <w:r>
          <w:rPr>
            <w:color w:val="0000FF"/>
            <w:u w:val="single" w:color="0000FF"/>
          </w:rPr>
          <w:t>6776</w:t>
        </w:r>
      </w:hyperlink>
      <w:hyperlink r:id="rId977">
        <w:r>
          <w:rPr>
            <w:color w:val="0000FF"/>
            <w:u w:val="single" w:color="0000FF"/>
          </w:rPr>
          <w:t>-</w:t>
        </w:r>
      </w:hyperlink>
      <w:hyperlink r:id="rId978">
        <w:r>
          <w:rPr>
            <w:color w:val="0000FF"/>
            <w:u w:val="single" w:color="0000FF"/>
          </w:rPr>
          <w:t>18.2.88</w:t>
        </w:r>
      </w:hyperlink>
      <w:hyperlink r:id="rId97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Cates, C. J., Welsh, E. J., &amp; Rowe, B. H. (2013). Holding chambers (spacers) versus nebulisers for beta-agonist treatment of acute asthma. The Cochrane Database of Systematic Reviews, 2013(9). </w:t>
      </w:r>
      <w:hyperlink r:id="rId980">
        <w:r>
          <w:rPr>
            <w:color w:val="0000FF"/>
            <w:u w:val="single" w:color="0000FF"/>
          </w:rPr>
          <w:t>https://doi.org/10.1002/14651858.CD000052.PUB3</w:t>
        </w:r>
      </w:hyperlink>
      <w:hyperlink r:id="rId98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Haney, S., &amp; Hancox, R. J. (2007). Overcoming beta-agonist tolerance: High dos</w:t>
      </w:r>
      <w:r>
        <w:t xml:space="preserve">e salbutamol and ipratropium bromide. Two randomised controlled trials. Respiratory Research, 8(1), 1–7. </w:t>
      </w:r>
      <w:hyperlink r:id="rId982">
        <w:r>
          <w:rPr>
            <w:color w:val="0000FF"/>
            <w:u w:val="single" w:color="0000FF"/>
          </w:rPr>
          <w:t>https://doi.org/10.1186/1465</w:t>
        </w:r>
      </w:hyperlink>
      <w:hyperlink r:id="rId983">
        <w:r>
          <w:rPr>
            <w:color w:val="0000FF"/>
            <w:u w:val="single" w:color="0000FF"/>
          </w:rPr>
          <w:t>-</w:t>
        </w:r>
      </w:hyperlink>
      <w:hyperlink r:id="rId984">
        <w:r>
          <w:rPr>
            <w:color w:val="0000FF"/>
            <w:u w:val="single" w:color="0000FF"/>
          </w:rPr>
          <w:t>9921</w:t>
        </w:r>
      </w:hyperlink>
      <w:hyperlink r:id="rId985">
        <w:r>
          <w:rPr>
            <w:color w:val="0000FF"/>
            <w:u w:val="single" w:color="0000FF"/>
          </w:rPr>
          <w:t>-</w:t>
        </w:r>
      </w:hyperlink>
      <w:hyperlink r:id="rId986">
        <w:r>
          <w:rPr>
            <w:color w:val="0000FF"/>
            <w:u w:val="single" w:color="0000FF"/>
          </w:rPr>
          <w:t>8</w:t>
        </w:r>
      </w:hyperlink>
      <w:hyperlink r:id="rId987">
        <w:r>
          <w:rPr>
            <w:color w:val="0000FF"/>
            <w:u w:val="single" w:color="0000FF"/>
          </w:rPr>
          <w:t>-</w:t>
        </w:r>
      </w:hyperlink>
      <w:hyperlink r:id="rId988">
        <w:r>
          <w:rPr>
            <w:color w:val="0000FF"/>
            <w:u w:val="single" w:color="0000FF"/>
          </w:rPr>
          <w:t>19/FIGURES/2_557</w:t>
        </w:r>
      </w:hyperlink>
      <w:hyperlink r:id="rId98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2"/>
        <w:ind w:right="841" w:hanging="689"/>
      </w:pPr>
      <w:r>
        <w:t>Авдеев, С. Н., Жестков, А. В., Ле</w:t>
      </w:r>
      <w:r>
        <w:t>щенко, И. В., Мартыненко, Т. И., Огородова, Л. М., &amp; Черняк, Б. А. (2006). Небулизированный будесонид при тяжелом обострении бронхиальной астмы: сравнение с системными стероидами. Мультицентровое рандомизированное контролируемое исследование. Пульмонология</w:t>
      </w:r>
      <w:r>
        <w:t xml:space="preserve">, №4, с.58–67. </w:t>
      </w:r>
      <w:hyperlink r:id="rId990">
        <w:r>
          <w:rPr>
            <w:color w:val="0000FF"/>
            <w:u w:val="single" w:color="0000FF"/>
          </w:rPr>
          <w:t>https://doi.org/10.18093/0869</w:t>
        </w:r>
      </w:hyperlink>
      <w:hyperlink r:id="rId991">
        <w:r>
          <w:rPr>
            <w:color w:val="0000FF"/>
            <w:u w:val="single" w:color="0000FF"/>
          </w:rPr>
          <w:t>-</w:t>
        </w:r>
      </w:hyperlink>
      <w:hyperlink r:id="rId992">
        <w:r>
          <w:rPr>
            <w:color w:val="0000FF"/>
            <w:u w:val="single" w:color="0000FF"/>
          </w:rPr>
          <w:t>0189</w:t>
        </w:r>
      </w:hyperlink>
      <w:hyperlink r:id="rId993">
        <w:r>
          <w:rPr>
            <w:color w:val="0000FF"/>
            <w:u w:val="single" w:color="0000FF"/>
          </w:rPr>
          <w:t>-</w:t>
        </w:r>
      </w:hyperlink>
      <w:hyperlink r:id="rId994">
        <w:r>
          <w:rPr>
            <w:color w:val="0000FF"/>
            <w:u w:val="single" w:color="0000FF"/>
          </w:rPr>
          <w:t>2006</w:t>
        </w:r>
      </w:hyperlink>
      <w:hyperlink r:id="rId995">
        <w:r>
          <w:rPr>
            <w:color w:val="0000FF"/>
            <w:u w:val="single" w:color="0000FF"/>
          </w:rPr>
          <w:t>-</w:t>
        </w:r>
      </w:hyperlink>
      <w:hyperlink r:id="rId996">
        <w:r>
          <w:rPr>
            <w:color w:val="0000FF"/>
            <w:u w:val="single" w:color="0000FF"/>
          </w:rPr>
          <w:t>4</w:t>
        </w:r>
      </w:hyperlink>
      <w:hyperlink r:id="rId997">
        <w:r>
          <w:rPr>
            <w:color w:val="0000FF"/>
            <w:u w:val="single" w:color="0000FF"/>
          </w:rPr>
          <w:t>-</w:t>
        </w:r>
      </w:hyperlink>
      <w:hyperlink r:id="rId998">
        <w:r>
          <w:rPr>
            <w:color w:val="0000FF"/>
            <w:u w:val="single" w:color="0000FF"/>
          </w:rPr>
          <w:t>58</w:t>
        </w:r>
      </w:hyperlink>
      <w:hyperlink r:id="rId999">
        <w:r>
          <w:rPr>
            <w:color w:val="0000FF"/>
            <w:u w:val="single" w:color="0000FF"/>
          </w:rPr>
          <w:t>-</w:t>
        </w:r>
      </w:hyperlink>
      <w:hyperlink r:id="rId1000">
        <w:r>
          <w:rPr>
            <w:color w:val="0000FF"/>
            <w:u w:val="single" w:color="0000FF"/>
          </w:rPr>
          <w:t>67</w:t>
        </w:r>
      </w:hyperlink>
      <w:hyperlink r:id="rId100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Бегунов А.В., Зарубина Е.Г., Бетанели Т.Ш. Небулайзерная терапия суспензией </w:t>
      </w:r>
    </w:p>
    <w:p w:rsidR="00F15F71" w:rsidRDefault="00F974CD">
      <w:pPr>
        <w:spacing w:after="121" w:line="259" w:lineRule="auto"/>
        <w:ind w:left="651" w:right="841"/>
      </w:pPr>
      <w:r>
        <w:t xml:space="preserve">Пульмикорта при тяжелой бронхиальной астме. Практическая Пульмонология, </w:t>
      </w:r>
    </w:p>
    <w:p w:rsidR="00F15F71" w:rsidRDefault="00F974CD">
      <w:pPr>
        <w:spacing w:after="0" w:line="358" w:lineRule="auto"/>
        <w:ind w:left="641" w:right="50"/>
        <w:jc w:val="left"/>
      </w:pPr>
      <w:r>
        <w:t xml:space="preserve">2003, №4, с.51-52. </w:t>
      </w:r>
      <w:hyperlink r:id="rId1002">
        <w:r>
          <w:rPr>
            <w:color w:val="0000FF"/>
            <w:u w:val="single" w:color="0000FF"/>
          </w:rPr>
          <w:t>https://cyberleninka.ru/article/n/nebulayzernaya</w:t>
        </w:r>
      </w:hyperlink>
      <w:hyperlink r:id="rId1003">
        <w:r>
          <w:rPr>
            <w:color w:val="0000FF"/>
            <w:u w:val="single" w:color="0000FF"/>
          </w:rPr>
          <w:t>-</w:t>
        </w:r>
      </w:hyperlink>
      <w:hyperlink r:id="rId1004">
        <w:r>
          <w:rPr>
            <w:color w:val="0000FF"/>
            <w:u w:val="single" w:color="0000FF"/>
          </w:rPr>
          <w:t>terapiya</w:t>
        </w:r>
      </w:hyperlink>
      <w:hyperlink r:id="rId1005">
        <w:r>
          <w:rPr>
            <w:color w:val="0000FF"/>
            <w:u w:val="single" w:color="0000FF"/>
          </w:rPr>
          <w:t>-</w:t>
        </w:r>
      </w:hyperlink>
      <w:hyperlink r:id="rId1006">
        <w:r>
          <w:rPr>
            <w:color w:val="0000FF"/>
            <w:u w:val="single" w:color="0000FF"/>
          </w:rPr>
          <w:t>suspenziey</w:t>
        </w:r>
      </w:hyperlink>
      <w:hyperlink r:id="rId1007"/>
      <w:hyperlink r:id="rId1008">
        <w:r>
          <w:rPr>
            <w:color w:val="0000FF"/>
            <w:u w:val="single" w:color="0000FF"/>
          </w:rPr>
          <w:t>pulmikorta</w:t>
        </w:r>
      </w:hyperlink>
      <w:hyperlink r:id="rId1009">
        <w:r>
          <w:rPr>
            <w:color w:val="0000FF"/>
            <w:u w:val="single" w:color="0000FF"/>
          </w:rPr>
          <w:t>-</w:t>
        </w:r>
      </w:hyperlink>
      <w:hyperlink r:id="rId1010">
        <w:r>
          <w:rPr>
            <w:color w:val="0000FF"/>
            <w:u w:val="single" w:color="0000FF"/>
          </w:rPr>
          <w:t>pri</w:t>
        </w:r>
      </w:hyperlink>
      <w:hyperlink r:id="rId1011">
        <w:r>
          <w:rPr>
            <w:color w:val="0000FF"/>
            <w:u w:val="single" w:color="0000FF"/>
          </w:rPr>
          <w:t>-</w:t>
        </w:r>
      </w:hyperlink>
      <w:hyperlink r:id="rId1012">
        <w:r>
          <w:rPr>
            <w:color w:val="0000FF"/>
            <w:u w:val="single" w:color="0000FF"/>
          </w:rPr>
          <w:t>tyazheloy</w:t>
        </w:r>
      </w:hyperlink>
      <w:hyperlink r:id="rId1013">
        <w:r>
          <w:rPr>
            <w:color w:val="0000FF"/>
            <w:u w:val="single" w:color="0000FF"/>
          </w:rPr>
          <w:t>-</w:t>
        </w:r>
      </w:hyperlink>
      <w:hyperlink r:id="rId1014">
        <w:r>
          <w:rPr>
            <w:color w:val="0000FF"/>
            <w:u w:val="single" w:color="0000FF"/>
          </w:rPr>
          <w:t>bronhialnoy</w:t>
        </w:r>
      </w:hyperlink>
      <w:hyperlink r:id="rId1015">
        <w:r>
          <w:rPr>
            <w:color w:val="0000FF"/>
            <w:u w:val="single" w:color="0000FF"/>
          </w:rPr>
          <w:t>-</w:t>
        </w:r>
      </w:hyperlink>
      <w:hyperlink r:id="rId1016">
        <w:r>
          <w:rPr>
            <w:color w:val="0000FF"/>
            <w:u w:val="single" w:color="0000FF"/>
          </w:rPr>
          <w:t>astme</w:t>
        </w:r>
      </w:hyperlink>
      <w:hyperlink r:id="rId101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Edmonds, M. L., Milan, S. J., Camargo, C. A., Pollack, C. V., &amp; Rowe, B. H. (</w:t>
      </w:r>
      <w:r>
        <w:t xml:space="preserve">2012). Early use of inhaled corticosteroids in the emergency department treatment of acute asthma. Cochrane Database of Systematic Reviews, 2018(8). </w:t>
      </w:r>
      <w:hyperlink r:id="rId1018">
        <w:r>
          <w:rPr>
            <w:color w:val="0000FF"/>
            <w:u w:val="single" w:color="0000FF"/>
          </w:rPr>
          <w:t>https://doi.org/10.1002/14651858.CD002308</w:t>
        </w:r>
        <w:r>
          <w:rPr>
            <w:color w:val="0000FF"/>
            <w:u w:val="single" w:color="0000FF"/>
          </w:rPr>
          <w:t>.pub2</w:t>
        </w:r>
      </w:hyperlink>
      <w:hyperlink r:id="rId101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Edmonds, M. L., Milan, S. J., Brenner, B. E., Camargo, C. A., &amp; Rowe, B. H. (2012). </w:t>
      </w:r>
    </w:p>
    <w:p w:rsidR="00F15F71" w:rsidRDefault="00F974CD">
      <w:pPr>
        <w:spacing w:after="113" w:line="259" w:lineRule="auto"/>
        <w:ind w:left="651" w:right="841"/>
      </w:pPr>
      <w:r>
        <w:t xml:space="preserve">Inhaled steroids for acute asthma following emergency department discharge. Cochrane </w:t>
      </w:r>
    </w:p>
    <w:p w:rsidR="00F15F71" w:rsidRDefault="00F974CD">
      <w:pPr>
        <w:spacing w:after="112" w:line="362" w:lineRule="auto"/>
        <w:ind w:left="641" w:right="50"/>
        <w:jc w:val="left"/>
      </w:pPr>
      <w:r>
        <w:t xml:space="preserve">Database </w:t>
      </w:r>
      <w:r>
        <w:tab/>
        <w:t xml:space="preserve">of </w:t>
      </w:r>
      <w:r>
        <w:tab/>
        <w:t xml:space="preserve">Systematic </w:t>
      </w:r>
      <w:r>
        <w:tab/>
        <w:t xml:space="preserve">Reviews, </w:t>
      </w:r>
      <w:r>
        <w:tab/>
        <w:t xml:space="preserve">2018(8). </w:t>
      </w:r>
      <w:hyperlink r:id="rId1020">
        <w:r>
          <w:rPr>
            <w:color w:val="0000FF"/>
            <w:u w:val="single" w:color="0000FF"/>
          </w:rPr>
          <w:t>https://doi.org/10.1002/14651858.CD002316.pub2</w:t>
        </w:r>
      </w:hyperlink>
      <w:hyperlink r:id="rId102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Volovitz, B. (2007). Inhaled bu</w:t>
      </w:r>
      <w:r>
        <w:t xml:space="preserve">desonide in the management of acute worsenings and exacerbations of asthma: A review of the evidence. Respiratory Medicine, 101(4), 685– 695. </w:t>
      </w:r>
      <w:hyperlink r:id="rId1022">
        <w:r>
          <w:rPr>
            <w:color w:val="0000FF"/>
            <w:u w:val="single" w:color="0000FF"/>
          </w:rPr>
          <w:t>https://doi.org/10.1016/j.rmed.2006.10.009</w:t>
        </w:r>
      </w:hyperlink>
      <w:hyperlink r:id="rId102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Arulparithi, C. S., Babu, T. A., Ravichandran, C., Santhanam, I., Sathyamurthi, B., Parivathini, S., &amp; Hemachitra, J. (2015). Efficacy of Nebulised Budesonide versus Oral Prednisolone in Acute S</w:t>
      </w:r>
      <w:r>
        <w:t xml:space="preserve">evere Asthma. Indian Journal of Pediatrics, 82(4), 328–332. </w:t>
      </w:r>
      <w:hyperlink r:id="rId1024">
        <w:r>
          <w:rPr>
            <w:color w:val="0000FF"/>
            <w:u w:val="single" w:color="0000FF"/>
          </w:rPr>
          <w:t>https://doi.org/10.1007/s12098</w:t>
        </w:r>
      </w:hyperlink>
      <w:hyperlink r:id="rId1025">
        <w:r>
          <w:rPr>
            <w:color w:val="0000FF"/>
            <w:u w:val="single" w:color="0000FF"/>
          </w:rPr>
          <w:t>-</w:t>
        </w:r>
      </w:hyperlink>
      <w:hyperlink r:id="rId1026">
        <w:r>
          <w:rPr>
            <w:color w:val="0000FF"/>
            <w:u w:val="single" w:color="0000FF"/>
          </w:rPr>
          <w:t>014</w:t>
        </w:r>
      </w:hyperlink>
      <w:hyperlink r:id="rId1027">
        <w:r>
          <w:rPr>
            <w:color w:val="0000FF"/>
            <w:u w:val="single" w:color="0000FF"/>
          </w:rPr>
          <w:t>-</w:t>
        </w:r>
      </w:hyperlink>
      <w:hyperlink r:id="rId1028">
        <w:r>
          <w:rPr>
            <w:color w:val="0000FF"/>
            <w:u w:val="single" w:color="0000FF"/>
          </w:rPr>
          <w:t>1498</w:t>
        </w:r>
      </w:hyperlink>
      <w:hyperlink r:id="rId1029">
        <w:r>
          <w:rPr>
            <w:color w:val="0000FF"/>
            <w:u w:val="single" w:color="0000FF"/>
          </w:rPr>
          <w:t>-</w:t>
        </w:r>
      </w:hyperlink>
      <w:hyperlink r:id="rId1030">
        <w:r>
          <w:rPr>
            <w:color w:val="0000FF"/>
            <w:u w:val="single" w:color="0000FF"/>
          </w:rPr>
          <w:t>0</w:t>
        </w:r>
      </w:hyperlink>
      <w:hyperlink r:id="rId103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7"/>
        <w:ind w:right="841" w:hanging="689"/>
      </w:pPr>
      <w:r>
        <w:t>Chen, A. H., Zeng, G. Q., Chen, R. C., Zhan, J. Y., Sun, L. H., Huang, S. K., Yang, C. Z., &amp; Zhong, N. (2013). Effects of nebulized high-dose budesonide on moderate-to-severe ac</w:t>
      </w:r>
      <w:r>
        <w:t xml:space="preserve">ute exacerbation of asthma in children: a randomized, double-blind, placebo-controlled study. Respirology (Carlton, Vic.), 18 Suppl 3, 47–52. </w:t>
      </w:r>
      <w:hyperlink r:id="rId1032">
        <w:r>
          <w:rPr>
            <w:color w:val="0000FF"/>
            <w:u w:val="single" w:color="0000FF"/>
          </w:rPr>
          <w:t>https://doi.org/10.1111/RESP.12168</w:t>
        </w:r>
      </w:hyperlink>
      <w:hyperlink r:id="rId103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Ediger, D., Coşkun, F., Kunt Uzaslan, E., Gürdal Yüksel, E., Karadaǧ, M., Ege, E., &amp; Gözü, O. (2006). Clinical effectiveness of nebulised budesonide in the treatment of acute asthma attacks. Tuberkuloz ve Toraks, 54(2), 128–13</w:t>
      </w:r>
      <w:r>
        <w:t xml:space="preserve">6. </w:t>
      </w:r>
      <w:hyperlink r:id="rId1034">
        <w:r>
          <w:rPr>
            <w:color w:val="0000FF"/>
            <w:u w:val="single" w:color="0000FF"/>
          </w:rPr>
          <w:t>https://pubmed.ncbi.nlm.nih.gov/</w:t>
        </w:r>
      </w:hyperlink>
      <w:hyperlink r:id="rId1035">
        <w:r>
          <w:rPr>
            <w:color w:val="0000FF"/>
            <w:u w:val="single" w:color="0000FF"/>
          </w:rPr>
          <w:t>16924568/</w:t>
        </w:r>
      </w:hyperlink>
      <w:hyperlink r:id="rId103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Arulparithi, C. S., Babu, T</w:t>
      </w:r>
      <w:r>
        <w:t xml:space="preserve">. A., Ravichandran, C., Santhanam, I., Sathyamurthi, B., Parivathini, S., &amp; Hemachitra, J. (2015). Efficacy of Nebulised Budesonide versus Oral Prednisolone in Acute Severe Asthma. Indian Journal of Pediatrics, 82(4), 328–332. </w:t>
      </w:r>
      <w:hyperlink r:id="rId1037">
        <w:r>
          <w:rPr>
            <w:color w:val="0000FF"/>
            <w:u w:val="single" w:color="0000FF"/>
          </w:rPr>
          <w:t>https://doi.org/10.1007/s12098</w:t>
        </w:r>
      </w:hyperlink>
      <w:hyperlink r:id="rId1038">
        <w:r>
          <w:rPr>
            <w:color w:val="0000FF"/>
            <w:u w:val="single" w:color="0000FF"/>
          </w:rPr>
          <w:t>-</w:t>
        </w:r>
      </w:hyperlink>
      <w:hyperlink r:id="rId1039">
        <w:r>
          <w:rPr>
            <w:color w:val="0000FF"/>
            <w:u w:val="single" w:color="0000FF"/>
          </w:rPr>
          <w:t>014</w:t>
        </w:r>
      </w:hyperlink>
      <w:hyperlink r:id="rId1040">
        <w:r>
          <w:rPr>
            <w:color w:val="0000FF"/>
            <w:u w:val="single" w:color="0000FF"/>
          </w:rPr>
          <w:t>-</w:t>
        </w:r>
      </w:hyperlink>
      <w:hyperlink r:id="rId1041">
        <w:r>
          <w:rPr>
            <w:color w:val="0000FF"/>
            <w:u w:val="single" w:color="0000FF"/>
          </w:rPr>
          <w:t>1498</w:t>
        </w:r>
      </w:hyperlink>
      <w:hyperlink r:id="rId1042">
        <w:r>
          <w:rPr>
            <w:color w:val="0000FF"/>
            <w:u w:val="single" w:color="0000FF"/>
          </w:rPr>
          <w:t>-</w:t>
        </w:r>
      </w:hyperlink>
      <w:hyperlink r:id="rId1043">
        <w:r>
          <w:rPr>
            <w:color w:val="0000FF"/>
            <w:u w:val="single" w:color="0000FF"/>
          </w:rPr>
          <w:t>0</w:t>
        </w:r>
      </w:hyperlink>
      <w:hyperlink r:id="rId104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Murphy, K. R., Hong, J. G., Wandalsen, G., Larenas-Linnemann, D., El Beleidy, A., Zaytseva, O. V., &amp; Pedersen, S. E. (2020). Nebulized Inhaled Corticosteroids in Asthma Treatment in Children 5 Years or Younger: A Systematic Review and Global Expert Analysi</w:t>
      </w:r>
      <w:r>
        <w:t xml:space="preserve">s. The Journal of Allergy and Clinical Immunology. In Practice, 8(6), 1815–1827.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1045">
        <w:r>
          <w:rPr>
            <w:color w:val="0000FF"/>
            <w:u w:val="single" w:color="0000FF"/>
          </w:rPr>
          <w:t>https://doi.org/10.1016/J.JAIP.2020.01.042</w:t>
        </w:r>
      </w:hyperlink>
      <w:hyperlink r:id="rId104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Volovi</w:t>
      </w:r>
      <w:r>
        <w:t xml:space="preserve">tz, B., Nussinovitch, M., Finkelstein, Y., Harel, L., &amp; Varsano, I. (2001). Effectiveness of inhaled corticosteroids in controlling acute asthma exacerbations in children at home. Clinical Pediatrics, 40(2), 79–86. </w:t>
      </w:r>
      <w:hyperlink r:id="rId1047">
        <w:r>
          <w:rPr>
            <w:color w:val="0000FF"/>
            <w:u w:val="single" w:color="0000FF"/>
          </w:rPr>
          <w:t>https://doi.org/10.1177/000992280104000203</w:t>
        </w:r>
      </w:hyperlink>
      <w:hyperlink r:id="rId104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Higenbottam, T. W., Britton, J., Lawrence, D., Connolly, C. K., Kim Harrison, N., Eastham, H. M., &amp; Wilcock, C. (2012). Compariso</w:t>
      </w:r>
      <w:r>
        <w:t xml:space="preserve">n of Nebulised Budesonide and </w:t>
      </w:r>
    </w:p>
    <w:p w:rsidR="00F15F71" w:rsidRDefault="00F974CD">
      <w:pPr>
        <w:spacing w:after="114" w:line="259" w:lineRule="auto"/>
        <w:ind w:left="10" w:right="845"/>
        <w:jc w:val="right"/>
      </w:pPr>
      <w:r>
        <w:t>Prednisolone in Severe Asthma Exacerbation in Adults. BioDrugs 2000 14:4, 14(4), 247–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254. </w:t>
      </w:r>
      <w:hyperlink r:id="rId1049">
        <w:r>
          <w:rPr>
            <w:color w:val="0000FF"/>
            <w:u w:val="single" w:color="0000FF"/>
          </w:rPr>
          <w:t>https://doi.org/10.2165/0006</w:t>
        </w:r>
      </w:hyperlink>
      <w:hyperlink r:id="rId1050">
        <w:r>
          <w:rPr>
            <w:color w:val="0000FF"/>
            <w:u w:val="single" w:color="0000FF"/>
          </w:rPr>
          <w:t>3030</w:t>
        </w:r>
      </w:hyperlink>
      <w:hyperlink r:id="rId1051">
        <w:r>
          <w:rPr>
            <w:color w:val="0000FF"/>
            <w:u w:val="single" w:color="0000FF"/>
          </w:rPr>
          <w:t>-</w:t>
        </w:r>
      </w:hyperlink>
      <w:hyperlink r:id="rId1052">
        <w:r>
          <w:rPr>
            <w:color w:val="0000FF"/>
            <w:u w:val="single" w:color="0000FF"/>
          </w:rPr>
          <w:t>200014040</w:t>
        </w:r>
      </w:hyperlink>
      <w:hyperlink r:id="rId1053">
        <w:r>
          <w:rPr>
            <w:color w:val="0000FF"/>
            <w:u w:val="single" w:color="0000FF"/>
          </w:rPr>
          <w:t>-</w:t>
        </w:r>
      </w:hyperlink>
      <w:hyperlink r:id="rId1054">
        <w:r>
          <w:rPr>
            <w:color w:val="0000FF"/>
            <w:u w:val="single" w:color="0000FF"/>
          </w:rPr>
          <w:t>00004</w:t>
        </w:r>
      </w:hyperlink>
      <w:hyperlink r:id="rId105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Maltais, F., Ostinelli, J., Bourbeau, J., Tonnel, A. B., Jacquemet, N., Haddon, J., Rouleau, M., Boukhana, M., Martinot,</w:t>
      </w:r>
      <w:r>
        <w:t xml:space="preserve"> J. B., &amp; Duroux, P. (2002). Comparison of nebulized budesonide and oral prednisolone with placebo in the treatment of acute exacerbations of chronic obstructive pulmonary disease: a randomized controlled trial. American Journal of </w:t>
      </w:r>
    </w:p>
    <w:p w:rsidR="00F15F71" w:rsidRDefault="00F974CD">
      <w:pPr>
        <w:ind w:left="651" w:right="841"/>
      </w:pPr>
      <w:r>
        <w:t xml:space="preserve">Respiratory </w:t>
      </w:r>
      <w:r>
        <w:tab/>
        <w:t xml:space="preserve">and </w:t>
      </w:r>
      <w:r>
        <w:tab/>
        <w:t>Criti</w:t>
      </w:r>
      <w:r>
        <w:t xml:space="preserve">cal </w:t>
      </w:r>
      <w:r>
        <w:tab/>
        <w:t xml:space="preserve">Care </w:t>
      </w:r>
      <w:r>
        <w:tab/>
        <w:t xml:space="preserve">Medicine, </w:t>
      </w:r>
      <w:r>
        <w:tab/>
        <w:t xml:space="preserve">165(5), </w:t>
      </w:r>
      <w:r>
        <w:tab/>
        <w:t xml:space="preserve">698–703. </w:t>
      </w:r>
      <w:hyperlink r:id="rId1056">
        <w:r>
          <w:rPr>
            <w:color w:val="0000FF"/>
            <w:u w:val="single" w:color="0000FF"/>
          </w:rPr>
          <w:t>https://doi.org/10.1164/AJRCCM.165.5.2109093</w:t>
        </w:r>
      </w:hyperlink>
      <w:hyperlink r:id="rId105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Sung, L., Osmond, M. H., &amp; Klassen, T. P. </w:t>
      </w:r>
      <w:r>
        <w:t xml:space="preserve">(1998). Randomized, controlled trial of inhaled budesonide as an adjunct to oral prednisone in acute asthma. Academic </w:t>
      </w:r>
    </w:p>
    <w:p w:rsidR="00F15F71" w:rsidRDefault="00F974CD">
      <w:pPr>
        <w:ind w:left="651" w:right="841"/>
      </w:pPr>
      <w:r>
        <w:t xml:space="preserve">Emergency Medicine : Official Journal of the Society for Academic Emergency Medicine, 5(3), 209–213. </w:t>
      </w:r>
      <w:hyperlink r:id="rId1058">
        <w:r>
          <w:rPr>
            <w:color w:val="0000FF"/>
            <w:u w:val="single" w:color="0000FF"/>
          </w:rPr>
          <w:t>https://doi.org/10.1111/J.1553</w:t>
        </w:r>
      </w:hyperlink>
      <w:hyperlink r:id="rId1059">
        <w:r>
          <w:rPr>
            <w:color w:val="0000FF"/>
            <w:u w:val="single" w:color="0000FF"/>
          </w:rPr>
          <w:t>-</w:t>
        </w:r>
      </w:hyperlink>
      <w:hyperlink r:id="rId1060">
        <w:r>
          <w:rPr>
            <w:color w:val="0000FF"/>
            <w:u w:val="single" w:color="0000FF"/>
          </w:rPr>
          <w:t>2712.1998.TB02614.X</w:t>
        </w:r>
      </w:hyperlink>
      <w:hyperlink r:id="rId106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Ververeli, K., &amp; Chipps, B. (2004). Oral corticosteroid-sparing effects of inhaled corticosteroids in the treatment of persistent and acute asthma. Annals of Allergy, Asthma and Immunology, 92(5), 512–522. </w:t>
      </w:r>
      <w:hyperlink r:id="rId1062">
        <w:r>
          <w:rPr>
            <w:color w:val="0000FF"/>
            <w:u w:val="single" w:color="0000FF"/>
          </w:rPr>
          <w:t>https://doi.org/10.1016/S1081</w:t>
        </w:r>
      </w:hyperlink>
      <w:hyperlink r:id="rId1063">
        <w:r>
          <w:rPr>
            <w:color w:val="0000FF"/>
            <w:u w:val="single" w:color="0000FF"/>
          </w:rPr>
          <w:t>-</w:t>
        </w:r>
      </w:hyperlink>
      <w:hyperlink r:id="rId1064">
        <w:r>
          <w:rPr>
            <w:color w:val="0000FF"/>
            <w:u w:val="single" w:color="0000FF"/>
          </w:rPr>
          <w:t>1206(10)61758</w:t>
        </w:r>
      </w:hyperlink>
      <w:hyperlink r:id="rId1065">
        <w:r>
          <w:rPr>
            <w:color w:val="0000FF"/>
            <w:u w:val="single" w:color="0000FF"/>
          </w:rPr>
          <w:t>-</w:t>
        </w:r>
      </w:hyperlink>
      <w:hyperlink r:id="rId1066">
        <w:r>
          <w:rPr>
            <w:color w:val="0000FF"/>
            <w:u w:val="single" w:color="0000FF"/>
          </w:rPr>
          <w:t>9</w:t>
        </w:r>
      </w:hyperlink>
      <w:hyperlink r:id="rId106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Edmonds, M. L., Camargo, C. A., Brenner, B. E., &amp; Rowe, B. H. (2002). Replace</w:t>
      </w:r>
      <w:r>
        <w:t xml:space="preserve">ment of oral corticosteroids with inhaled corticosteroids in the treatment of acute asthma following emergency department discharge: A meta-analysis. Chest, 121(6), 1798–1805. </w:t>
      </w:r>
      <w:hyperlink r:id="rId1068">
        <w:r>
          <w:rPr>
            <w:color w:val="0000FF"/>
            <w:u w:val="single" w:color="0000FF"/>
          </w:rPr>
          <w:t>https://doi.org/10.1</w:t>
        </w:r>
        <w:r>
          <w:rPr>
            <w:color w:val="0000FF"/>
            <w:u w:val="single" w:color="0000FF"/>
          </w:rPr>
          <w:t>378/chest.121</w:t>
        </w:r>
      </w:hyperlink>
      <w:hyperlink r:id="rId1069">
        <w:r>
          <w:rPr>
            <w:color w:val="0000FF"/>
            <w:u w:val="single" w:color="0000FF"/>
          </w:rPr>
          <w:t>.6.1798</w:t>
        </w:r>
      </w:hyperlink>
      <w:hyperlink r:id="rId107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Devidayal, Singhi, S., Kumar, L., &amp; Jayshree, M. (1999). Efficacy of nebulized budesonide compared to oral prednisolone in acute bronchial asthma. Acta Paediatrica (Oslo, Norway : 1992), 88(8), 835–840. </w:t>
      </w:r>
      <w:hyperlink r:id="rId1071">
        <w:r>
          <w:rPr>
            <w:color w:val="0000FF"/>
            <w:u w:val="single" w:color="0000FF"/>
          </w:rPr>
          <w:t>https://doi.org/10.1080/08035259950168748</w:t>
        </w:r>
      </w:hyperlink>
      <w:hyperlink r:id="rId107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Sano, F., Cortez, G. K., Solé, D., &amp; Naspitz, C. K. (2000). Inhaled budesonide for the treatment of acute wheezing and dyspnea in children up to</w:t>
      </w:r>
      <w:r>
        <w:t xml:space="preserve"> 24 months old receiving intravenous hydrocortisone. The Journal of Allergy and Clinical Immunology, 105(4), 699–703. </w:t>
      </w:r>
      <w:hyperlink r:id="rId1073">
        <w:r>
          <w:rPr>
            <w:color w:val="0000FF"/>
            <w:u w:val="single" w:color="0000FF"/>
          </w:rPr>
          <w:t>https://doi.org/10.1067/MAI.2000.104784</w:t>
        </w:r>
      </w:hyperlink>
      <w:hyperlink r:id="rId107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Matthews, E. E., Curtis, P. D., McLain, B. I., Morris, L. S., &amp; Turbitt, M. L. (1999). </w:t>
      </w:r>
    </w:p>
    <w:p w:rsidR="00F15F71" w:rsidRDefault="00F974CD">
      <w:pPr>
        <w:spacing w:after="156" w:line="259" w:lineRule="auto"/>
        <w:ind w:left="10" w:right="845"/>
        <w:jc w:val="right"/>
      </w:pPr>
      <w:r>
        <w:t xml:space="preserve">Nebulized budesonide versus oral steroid in severe exacerbations of childhood asthma. </w:t>
      </w:r>
    </w:p>
    <w:p w:rsidR="00F15F71" w:rsidRDefault="00F974CD">
      <w:pPr>
        <w:ind w:left="651" w:right="841"/>
      </w:pPr>
      <w:r>
        <w:t xml:space="preserve">Acta </w:t>
      </w:r>
      <w:r>
        <w:tab/>
        <w:t xml:space="preserve">Paediatrica </w:t>
      </w:r>
      <w:r>
        <w:tab/>
        <w:t xml:space="preserve">(Oslo, </w:t>
      </w:r>
      <w:r>
        <w:tab/>
        <w:t xml:space="preserve">Norway : </w:t>
      </w:r>
      <w:r>
        <w:tab/>
        <w:t xml:space="preserve">1992), </w:t>
      </w:r>
      <w:r>
        <w:tab/>
        <w:t xml:space="preserve">88(8), </w:t>
      </w:r>
      <w:r>
        <w:tab/>
        <w:t>841–843</w:t>
      </w:r>
      <w:r>
        <w:t xml:space="preserve">. </w:t>
      </w:r>
      <w:hyperlink r:id="rId1075">
        <w:r>
          <w:rPr>
            <w:color w:val="0000FF"/>
            <w:u w:val="single" w:color="0000FF"/>
          </w:rPr>
          <w:t>https://doi.org/10.1080/08035259950168757</w:t>
        </w:r>
      </w:hyperlink>
      <w:hyperlink r:id="rId107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Sharma, S., Harish, R., Dutt, N., &amp; Digra, K. K. (2017). To evaluate the efficacy of nebu</w:t>
      </w:r>
      <w:r>
        <w:t xml:space="preserve">lized budesonide compared to oral prednisolone in the management of moderate exacerbation of acute asthma. International Journal of Contemporary Pediatrics, 4(4), 1278–1283. </w:t>
      </w:r>
      <w:hyperlink r:id="rId1077">
        <w:r>
          <w:rPr>
            <w:color w:val="0000FF"/>
            <w:u w:val="single" w:color="0000FF"/>
          </w:rPr>
          <w:t>https://doi.org</w:t>
        </w:r>
        <w:r>
          <w:rPr>
            <w:color w:val="0000FF"/>
            <w:u w:val="single" w:color="0000FF"/>
          </w:rPr>
          <w:t>/10.18203/2349</w:t>
        </w:r>
      </w:hyperlink>
      <w:hyperlink r:id="rId1078">
        <w:r>
          <w:rPr>
            <w:color w:val="0000FF"/>
            <w:u w:val="single" w:color="0000FF"/>
          </w:rPr>
          <w:t>-</w:t>
        </w:r>
      </w:hyperlink>
      <w:hyperlink r:id="rId1079">
        <w:r>
          <w:rPr>
            <w:color w:val="0000FF"/>
            <w:u w:val="single" w:color="0000FF"/>
          </w:rPr>
          <w:t>3291.IJCP20172542</w:t>
        </w:r>
      </w:hyperlink>
      <w:hyperlink r:id="rId108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Fitzgerald J.M., Shra</w:t>
      </w:r>
      <w:r>
        <w:t xml:space="preserve">gge D., Haddon J. et al. A randomized, controlled trial of high dose, inhaled budesonide versus oral prednisone in patients discharged from the emergency department following an acute asthma exacerbation. Can Respir J. 2000; 7(1), 61–67. </w:t>
      </w:r>
      <w:hyperlink r:id="rId1081">
        <w:r>
          <w:rPr>
            <w:color w:val="0000FF"/>
            <w:u w:val="single" w:color="0000FF"/>
          </w:rPr>
          <w:t>https://doi.org/10.1155/200</w:t>
        </w:r>
      </w:hyperlink>
      <w:hyperlink r:id="rId1082">
        <w:r>
          <w:rPr>
            <w:color w:val="0000FF"/>
            <w:u w:val="single" w:color="0000FF"/>
          </w:rPr>
          <w:t>0/587957</w:t>
        </w:r>
      </w:hyperlink>
      <w:hyperlink r:id="rId108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Nana, A., Youngchaiyud, P., Charoenratanakul, S., Boe, J</w:t>
      </w:r>
      <w:r>
        <w:t xml:space="preserve">., Löfdahl, C. G., Selroos, O., &amp; Ståhl, E. (1998). High-dose inhaled budesonide may substitute for oral therapy after an acute asthma attack. The Journal of Asthma : Official Journal of the Association for the Care of Asthma, 35(8), 647–655. </w:t>
      </w:r>
      <w:hyperlink r:id="rId1084">
        <w:r>
          <w:rPr>
            <w:color w:val="0000FF"/>
            <w:u w:val="single" w:color="0000FF"/>
          </w:rPr>
          <w:t>https://doi.org/10.3109/02770909809048967</w:t>
        </w:r>
      </w:hyperlink>
      <w:hyperlink r:id="rId108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Rowe, B. H., Bota, G. W., Fabris, L., Therrien, S. A., Milner, R. A., &amp; Jacono, J. (1999). Inhaled budes</w:t>
      </w:r>
      <w:r>
        <w:t xml:space="preserve">onide in addition to oral corticosteroids to prevent asthma relapse following discharge from the emergency department: a randomized controlled trial. JAMA, 281(22), 2119–2126. </w:t>
      </w:r>
      <w:hyperlink r:id="rId1086">
        <w:r>
          <w:rPr>
            <w:color w:val="0000FF"/>
            <w:u w:val="single" w:color="0000FF"/>
          </w:rPr>
          <w:t>https://doi.org/10.1</w:t>
        </w:r>
        <w:r>
          <w:rPr>
            <w:color w:val="0000FF"/>
            <w:u w:val="single" w:color="0000FF"/>
          </w:rPr>
          <w:t>001/JAMA.281.22.2119</w:t>
        </w:r>
      </w:hyperlink>
      <w:hyperlink r:id="rId108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Manser, R., Reid, D., &amp; Abramson, M. J. (2001). Corticosteroids for acute severe asthma in hospitalised patients. Cochrane Database of Systematic Reviews, 2010(1). </w:t>
      </w:r>
      <w:hyperlink r:id="rId1088">
        <w:r>
          <w:rPr>
            <w:color w:val="0000FF"/>
            <w:u w:val="single" w:color="0000FF"/>
          </w:rPr>
          <w:t>https://doi.org/10.1002/14651858.CD001740/EPDF/ABSTRACT</w:t>
        </w:r>
      </w:hyperlink>
      <w:hyperlink r:id="rId108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Ganaie, M. B., Munavvar, M., Gordon, M., Lim, H. F., &amp; Evan</w:t>
      </w:r>
      <w:r>
        <w:t xml:space="preserve">s, D. J. (2016). Patient- and parent-initiated oral steroids for asthma exacerbations. Cochrane Database of Systematic Reviews, 2016(12). </w:t>
      </w:r>
      <w:hyperlink r:id="rId1090">
        <w:r>
          <w:rPr>
            <w:color w:val="0000FF"/>
            <w:u w:val="single" w:color="0000FF"/>
          </w:rPr>
          <w:t>https://doi.org/10.1002/14651858.CD012195.PUB2</w:t>
        </w:r>
      </w:hyperlink>
      <w:hyperlink r:id="rId109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Volmer, T., Effenberger, T., Trautner, C., &amp; Buhl, R. (2018). Consequences of long-term oral corticosteroid therapy and its side-effects in severe asthma in adults: a focused review of the impac</w:t>
      </w:r>
      <w:r>
        <w:t xml:space="preserve">t data in the literature. The European Respiratory Journal, 52(4). </w:t>
      </w:r>
      <w:hyperlink r:id="rId1092">
        <w:r>
          <w:rPr>
            <w:color w:val="0000FF"/>
            <w:u w:val="single" w:color="0000FF"/>
          </w:rPr>
          <w:t>https://doi.org/10.1183/13993003.00703</w:t>
        </w:r>
      </w:hyperlink>
      <w:hyperlink r:id="rId1093">
        <w:r>
          <w:rPr>
            <w:color w:val="0000FF"/>
            <w:u w:val="single" w:color="0000FF"/>
          </w:rPr>
          <w:t>-</w:t>
        </w:r>
      </w:hyperlink>
      <w:hyperlink r:id="rId1094">
        <w:r>
          <w:rPr>
            <w:color w:val="0000FF"/>
            <w:u w:val="single" w:color="0000FF"/>
          </w:rPr>
          <w:t>2018</w:t>
        </w:r>
      </w:hyperlink>
      <w:hyperlink r:id="rId109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46" w:line="259" w:lineRule="auto"/>
        <w:ind w:right="841" w:hanging="689"/>
      </w:pPr>
      <w:r>
        <w:t>Del Pozo, V., Bobolea, I., Rial, M. J., Espigol-Frigolé, G., Solans Laqué, R., Hernández-</w:t>
      </w:r>
    </w:p>
    <w:p w:rsidR="00F15F71" w:rsidRDefault="00F974CD">
      <w:pPr>
        <w:spacing w:after="126" w:line="259" w:lineRule="auto"/>
        <w:ind w:left="651" w:right="841"/>
      </w:pPr>
      <w:r>
        <w:t>Rivas, J. M., Mora, E., Crespo-Lessmann, A., Izquierdo Alo</w:t>
      </w:r>
      <w:r>
        <w:t xml:space="preserve">nso, J. L., Domínguez Sosa, </w:t>
      </w:r>
    </w:p>
    <w:p w:rsidR="00F15F71" w:rsidRDefault="00F974CD">
      <w:pPr>
        <w:spacing w:after="149" w:line="259" w:lineRule="auto"/>
        <w:ind w:left="651" w:right="841"/>
      </w:pPr>
      <w:r>
        <w:t>M. S., Maza-Solano, J., Atienza-Mateo, B., Bañas-Conejero, D., Moure, A. L., &amp; Rúa-</w:t>
      </w:r>
    </w:p>
    <w:p w:rsidR="00F15F71" w:rsidRDefault="00F974CD">
      <w:pPr>
        <w:ind w:left="651" w:right="841"/>
      </w:pPr>
      <w:r>
        <w:t>Figueroa, Í. (2023). Expert consensus on the use of systemic glucocorticoids for managing eosinophil-related diseases. Frontiers in Immunology,</w:t>
      </w:r>
      <w:r>
        <w:t xml:space="preserve"> 14, 1310211. </w:t>
      </w:r>
      <w:hyperlink r:id="rId1096">
        <w:r>
          <w:rPr>
            <w:color w:val="0000FF"/>
            <w:u w:val="single" w:color="0000FF"/>
          </w:rPr>
          <w:t>https://doi.org/10.3389/fimmu.2023</w:t>
        </w:r>
      </w:hyperlink>
      <w:hyperlink r:id="rId1097">
        <w:r>
          <w:rPr>
            <w:color w:val="0000FF"/>
            <w:u w:val="single" w:color="0000FF"/>
          </w:rPr>
          <w:t>.1310211</w:t>
        </w:r>
      </w:hyperlink>
      <w:hyperlink r:id="rId109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6" w:line="259" w:lineRule="auto"/>
        <w:ind w:right="841" w:hanging="689"/>
      </w:pPr>
      <w:r>
        <w:t xml:space="preserve">Hew, M., &amp; Chung, K. F. (2010). Corticosteroid insensitivity in severe asthma: </w:t>
      </w:r>
    </w:p>
    <w:p w:rsidR="00F15F71" w:rsidRDefault="00F974CD">
      <w:pPr>
        <w:ind w:left="651" w:right="841"/>
      </w:pPr>
      <w:r>
        <w:t xml:space="preserve">significance, mechanisms and aetiology. Internal Medicine Journal, 40(5), 323–334. </w:t>
      </w:r>
      <w:hyperlink r:id="rId1099">
        <w:r>
          <w:rPr>
            <w:color w:val="0000FF"/>
            <w:u w:val="single" w:color="0000FF"/>
          </w:rPr>
          <w:t>https://doi.org/10.1111/J.1445</w:t>
        </w:r>
      </w:hyperlink>
      <w:hyperlink r:id="rId1100">
        <w:r>
          <w:rPr>
            <w:color w:val="0000FF"/>
            <w:u w:val="single" w:color="0000FF"/>
          </w:rPr>
          <w:t>-</w:t>
        </w:r>
      </w:hyperlink>
      <w:hyperlink r:id="rId1101">
        <w:r>
          <w:rPr>
            <w:color w:val="0000FF"/>
            <w:u w:val="single" w:color="0000FF"/>
          </w:rPr>
          <w:t>5994.2010.02192.X</w:t>
        </w:r>
      </w:hyperlink>
      <w:hyperlink r:id="rId110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Ch</w:t>
      </w:r>
      <w:r>
        <w:t>ang, A. B., Clark, R., Sloots, T. P., Stone, D. G., Petsky, H. L., Thearle, D., Champion, A. A., Wheeler, C., &amp; Acworth, J. P. (2008). A 5- versus 3-day course of oral corticosteroids for children with asthma exacerbations who are not hospitalised: a rando</w:t>
      </w:r>
      <w:r>
        <w:t xml:space="preserve">mised controlled trial. The Medical Journal of Australia, 189(6), 306–310.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1103">
        <w:r>
          <w:rPr>
            <w:color w:val="0000FF"/>
            <w:u w:val="single" w:color="0000FF"/>
          </w:rPr>
          <w:t>https://doi.org/10.5694/J.1326</w:t>
        </w:r>
      </w:hyperlink>
      <w:hyperlink r:id="rId1104">
        <w:r>
          <w:rPr>
            <w:color w:val="0000FF"/>
            <w:u w:val="single" w:color="0000FF"/>
          </w:rPr>
          <w:t>-</w:t>
        </w:r>
      </w:hyperlink>
      <w:hyperlink r:id="rId1105">
        <w:r>
          <w:rPr>
            <w:color w:val="0000FF"/>
            <w:u w:val="single" w:color="0000FF"/>
          </w:rPr>
          <w:t>5377.2008.TB02046.X</w:t>
        </w:r>
      </w:hyperlink>
      <w:hyperlink r:id="rId110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Hasegawa, T., Ishihara, K., Takakura, S., Fujii, H., Nishimura, T., Okazaki, M., Katakami, N., &amp; Umeda, </w:t>
      </w:r>
      <w:r>
        <w:t xml:space="preserve">B. (2000). Duration of systemic corticosteroids in the treatment of asthma exacerbation; a randomized study. Internal Medicine (Tokyo, Japan), 39(10), 794–797. </w:t>
      </w:r>
      <w:hyperlink r:id="rId1107">
        <w:r>
          <w:rPr>
            <w:color w:val="0000FF"/>
            <w:u w:val="single" w:color="0000FF"/>
          </w:rPr>
          <w:t>https://doi.org/10.2169/INTER</w:t>
        </w:r>
        <w:r>
          <w:rPr>
            <w:color w:val="0000FF"/>
            <w:u w:val="single" w:color="0000FF"/>
          </w:rPr>
          <w:t>NALMEDICINE.39.794</w:t>
        </w:r>
      </w:hyperlink>
      <w:hyperlink r:id="rId110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40" w:line="259" w:lineRule="auto"/>
        <w:ind w:right="841" w:hanging="689"/>
      </w:pPr>
      <w:r>
        <w:t xml:space="preserve">Jones, A. M., Munavvar, M., Vail, A., Aldridge, R. E., Hopkinson, L., Rayner, C., &amp; </w:t>
      </w:r>
    </w:p>
    <w:p w:rsidR="00F15F71" w:rsidRDefault="00F974CD">
      <w:pPr>
        <w:ind w:left="651" w:right="841"/>
      </w:pPr>
      <w:r>
        <w:t>O’driscoll, B. R. (2002). Prospective, placebo-controlled trial of 5 vs 10 days of o</w:t>
      </w:r>
      <w:r>
        <w:t xml:space="preserve">ral prednisolone in acute adult asthma. Respiratory Medicine, 96(11), 950–954. </w:t>
      </w:r>
      <w:hyperlink r:id="rId1109">
        <w:r>
          <w:rPr>
            <w:color w:val="0000FF"/>
            <w:u w:val="single" w:color="0000FF"/>
          </w:rPr>
          <w:t>https://doi.org/10.1053/RMED.2002.1369</w:t>
        </w:r>
      </w:hyperlink>
      <w:hyperlink r:id="rId111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Knightly, R., Milan, </w:t>
      </w:r>
      <w:r>
        <w:t xml:space="preserve">S. J., Hughes, R., Knopp-Sihota, J. A., Rowe, B. H., Normansell, R., &amp; Powell, C. (2017). Inhaled magnesium sulfate in the treatment of acute asthma. The </w:t>
      </w:r>
    </w:p>
    <w:p w:rsidR="00F15F71" w:rsidRDefault="00F974CD">
      <w:pPr>
        <w:ind w:left="651" w:right="841"/>
      </w:pPr>
      <w:r>
        <w:t xml:space="preserve">Cochrane </w:t>
      </w:r>
      <w:r>
        <w:tab/>
        <w:t xml:space="preserve">Database </w:t>
      </w:r>
      <w:r>
        <w:tab/>
        <w:t xml:space="preserve">of </w:t>
      </w:r>
      <w:r>
        <w:tab/>
        <w:t xml:space="preserve">Systematic </w:t>
      </w:r>
      <w:r>
        <w:tab/>
        <w:t xml:space="preserve">Reviews, </w:t>
      </w:r>
      <w:r>
        <w:tab/>
        <w:t xml:space="preserve">11(11). </w:t>
      </w:r>
      <w:hyperlink r:id="rId1111">
        <w:r>
          <w:rPr>
            <w:color w:val="0000FF"/>
            <w:u w:val="single" w:color="0000FF"/>
          </w:rPr>
          <w:t>https://doi.org/10.1002/14651858.CD003898.PUB6</w:t>
        </w:r>
      </w:hyperlink>
      <w:hyperlink r:id="rId111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Kew, K. M., Kirtchuk, L., &amp; Michell, C. I. (2014). Intravenous magnesium sulfate for treating adults with acute asthma in t</w:t>
      </w:r>
      <w:r>
        <w:t xml:space="preserve">he emergency department. Cochrane Database of Systematic Reviews, 2014(5). </w:t>
      </w:r>
      <w:hyperlink r:id="rId1113">
        <w:r>
          <w:rPr>
            <w:color w:val="0000FF"/>
            <w:u w:val="single" w:color="0000FF"/>
          </w:rPr>
          <w:t>https://doi.org/10.1002/14651858.CD010909.pub2</w:t>
        </w:r>
      </w:hyperlink>
      <w:hyperlink r:id="rId111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</w:t>
      </w:r>
      <w:r>
        <w:t>raig, S. S., Dalziel, S. R., Powell, C. V. E., Graudins, A., Babl, F. E., &amp; Lunny, C. (2020). Interventions for escalation of therapy for acute exacerbations of asthma in children: an overview of Cochrane Reviews. Cochrane Database of Systematic Reviews, 2</w:t>
      </w:r>
      <w:r>
        <w:t xml:space="preserve">020(8). </w:t>
      </w:r>
      <w:hyperlink r:id="rId1115">
        <w:r>
          <w:rPr>
            <w:color w:val="0000FF"/>
            <w:u w:val="single" w:color="0000FF"/>
          </w:rPr>
          <w:t>https://doi.org/10.1002/14651858.CD012977.pub2</w:t>
        </w:r>
      </w:hyperlink>
      <w:hyperlink r:id="rId111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Blitz, M., Blitz, S., Beasely, R., Diner, B., Hughes, R., Knopp, J.,</w:t>
      </w:r>
      <w:r>
        <w:t xml:space="preserve"> &amp; Rowe, B. (2005). Inhaled magnesium sulfate in the treatment of acute asthma. Cochrane Database of Systematic Reviews. </w:t>
      </w:r>
      <w:hyperlink r:id="rId1117">
        <w:r>
          <w:rPr>
            <w:color w:val="0000FF"/>
            <w:u w:val="single" w:color="0000FF"/>
          </w:rPr>
          <w:t>https://doi.org/10.1002/14651858.cd003898.pub3</w:t>
        </w:r>
      </w:hyperlink>
      <w:hyperlink r:id="rId111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Rovsing, A. H., Savran, O., &amp; Ulrik, C. S. (2023). Magnesium sulfate treatment for acute severe asthma in adults-a systematic review and meta-analysis. Frontiers in Allergy, 4, 1211949. </w:t>
      </w:r>
      <w:hyperlink r:id="rId1119">
        <w:r>
          <w:rPr>
            <w:color w:val="0000FF"/>
            <w:u w:val="single" w:color="0000FF"/>
          </w:rPr>
          <w:t>https://doi.org/10.3389/falgy.2023.1211949</w:t>
        </w:r>
      </w:hyperlink>
      <w:hyperlink r:id="rId112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Goodacre, S., Cohen, J., Bradburn, M., Gray, A., Benger, J., &amp; Coats, T. (2013). Intravenous</w:t>
      </w:r>
      <w:r>
        <w:t xml:space="preserve"> or nebulised magnesium sulphate versus standard therapy for severe acute asthma (3Mg trial): A double-blind, randomised controlled trial. The Lancet Respiratory Medicine, 1(4), 293–300. </w:t>
      </w:r>
      <w:hyperlink r:id="rId1121">
        <w:r>
          <w:rPr>
            <w:color w:val="0000FF"/>
            <w:u w:val="single" w:color="0000FF"/>
          </w:rPr>
          <w:t>http</w:t>
        </w:r>
        <w:r>
          <w:rPr>
            <w:color w:val="0000FF"/>
            <w:u w:val="single" w:color="0000FF"/>
          </w:rPr>
          <w:t>s://doi.org/10.1016/S2213</w:t>
        </w:r>
      </w:hyperlink>
      <w:hyperlink r:id="rId1122">
        <w:r>
          <w:rPr>
            <w:color w:val="0000FF"/>
            <w:u w:val="single" w:color="0000FF"/>
          </w:rPr>
          <w:t>-</w:t>
        </w:r>
      </w:hyperlink>
      <w:hyperlink r:id="rId1123">
        <w:r>
          <w:rPr>
            <w:color w:val="0000FF"/>
            <w:u w:val="single" w:color="0000FF"/>
          </w:rPr>
          <w:t>2600(13)70070</w:t>
        </w:r>
      </w:hyperlink>
      <w:hyperlink r:id="rId1124">
        <w:r>
          <w:rPr>
            <w:color w:val="0000FF"/>
            <w:u w:val="single" w:color="0000FF"/>
          </w:rPr>
          <w:t>-</w:t>
        </w:r>
      </w:hyperlink>
      <w:hyperlink r:id="rId1125">
        <w:r>
          <w:rPr>
            <w:color w:val="0000FF"/>
            <w:u w:val="single" w:color="0000FF"/>
          </w:rPr>
          <w:t>5</w:t>
        </w:r>
      </w:hyperlink>
      <w:hyperlink r:id="rId112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Craig, S. S., Dalziel, S. R., Powell, C. V. E., Graudins, A., Babl, F. E., &amp; Lunny, C. (2021). Interventions for escalation of therapy for acute</w:t>
      </w:r>
      <w:r>
        <w:t xml:space="preserve"> exacerbations of asthma in children: An overview of Cochrane reviews. Paediatric Respiratory Reviews, 38, 63–65.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1127">
        <w:r>
          <w:rPr>
            <w:color w:val="0000FF"/>
            <w:u w:val="single" w:color="0000FF"/>
          </w:rPr>
          <w:t>https://doi.org/10.1016/J.PRRV.2020.08.006</w:t>
        </w:r>
      </w:hyperlink>
      <w:hyperlink r:id="rId112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Gondal, A. Z., &amp; Zulfiqar, H. (2023). Aminophylline. XPharm: The Comprehensive Pharmacology Reference, 1–4. </w:t>
      </w:r>
      <w:hyperlink r:id="rId1129">
        <w:r>
          <w:rPr>
            <w:color w:val="0000FF"/>
            <w:u w:val="single" w:color="0000FF"/>
          </w:rPr>
          <w:t>https://doi.org/10.1016/B978</w:t>
        </w:r>
      </w:hyperlink>
      <w:hyperlink r:id="rId1130">
        <w:r>
          <w:rPr>
            <w:color w:val="0000FF"/>
            <w:u w:val="single" w:color="0000FF"/>
          </w:rPr>
          <w:t>-</w:t>
        </w:r>
      </w:hyperlink>
      <w:hyperlink r:id="rId1131">
        <w:r>
          <w:rPr>
            <w:color w:val="0000FF"/>
            <w:u w:val="single" w:color="0000FF"/>
          </w:rPr>
          <w:t>008055232</w:t>
        </w:r>
      </w:hyperlink>
      <w:hyperlink r:id="rId1132">
        <w:r>
          <w:rPr>
            <w:color w:val="0000FF"/>
            <w:u w:val="single" w:color="0000FF"/>
          </w:rPr>
          <w:t>-</w:t>
        </w:r>
      </w:hyperlink>
      <w:hyperlink r:id="rId1133">
        <w:r>
          <w:rPr>
            <w:color w:val="0000FF"/>
            <w:u w:val="single" w:color="0000FF"/>
          </w:rPr>
          <w:t>3.61213</w:t>
        </w:r>
      </w:hyperlink>
      <w:hyperlink r:id="rId1134">
        <w:r>
          <w:rPr>
            <w:color w:val="0000FF"/>
            <w:u w:val="single" w:color="0000FF"/>
          </w:rPr>
          <w:t>-</w:t>
        </w:r>
      </w:hyperlink>
      <w:hyperlink r:id="rId1135">
        <w:r>
          <w:rPr>
            <w:color w:val="0000FF"/>
            <w:u w:val="single" w:color="0000FF"/>
          </w:rPr>
          <w:t>9</w:t>
        </w:r>
      </w:hyperlink>
      <w:hyperlink r:id="rId113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Gray, C. S., Xu, Y., Babl, F. E., Dalzi</w:t>
      </w:r>
      <w:r>
        <w:t>el, S., Powell, C. V. E., Chong, S. L., Roland, D., Lyttle, M. D., Fernandes, R. M., Benito, J., Johnson, M., Yock-Corrales, A., Santhanam, I., Schuh, S., Cheema, B., Couper, J., &amp; Craig, S. (2023). International perspective on research priorities and outc</w:t>
      </w:r>
      <w:r>
        <w:t xml:space="preserve">ome measures of importance in the care of children with acute exacerbations of asthma: a qualitative interview study. BMJ Open Respiratory Research, 10(1), e001502. </w:t>
      </w:r>
      <w:hyperlink r:id="rId1137">
        <w:r>
          <w:rPr>
            <w:color w:val="0000FF"/>
            <w:u w:val="single" w:color="0000FF"/>
          </w:rPr>
          <w:t>https://doi.org/10.1136/BMJR</w:t>
        </w:r>
        <w:r>
          <w:rPr>
            <w:color w:val="0000FF"/>
            <w:u w:val="single" w:color="0000FF"/>
          </w:rPr>
          <w:t>ESP</w:t>
        </w:r>
      </w:hyperlink>
      <w:hyperlink r:id="rId1138">
        <w:r>
          <w:rPr>
            <w:color w:val="0000FF"/>
            <w:u w:val="single" w:color="0000FF"/>
          </w:rPr>
          <w:t>-</w:t>
        </w:r>
      </w:hyperlink>
      <w:hyperlink r:id="rId1139">
        <w:r>
          <w:rPr>
            <w:color w:val="0000FF"/>
            <w:u w:val="single" w:color="0000FF"/>
          </w:rPr>
          <w:t>2022</w:t>
        </w:r>
      </w:hyperlink>
      <w:hyperlink r:id="rId1140">
        <w:r>
          <w:rPr>
            <w:color w:val="0000FF"/>
            <w:u w:val="single" w:color="0000FF"/>
          </w:rPr>
          <w:t>-</w:t>
        </w:r>
      </w:hyperlink>
      <w:hyperlink r:id="rId1141">
        <w:r>
          <w:rPr>
            <w:color w:val="0000FF"/>
            <w:u w:val="single" w:color="0000FF"/>
          </w:rPr>
          <w:t>001502</w:t>
        </w:r>
      </w:hyperlink>
      <w:hyperlink r:id="rId114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5"/>
        <w:ind w:right="841" w:hanging="689"/>
      </w:pPr>
      <w:r>
        <w:t xml:space="preserve">Craig, S., Powell, C. V. E., Nixon, G. M., Oakley, E., Hort, J., Armstrong, D. S., Ranganathan, S., Kochar, A., Wilson, C., George, S., Phillips, N., Furyk, J., Lawton, B., </w:t>
      </w:r>
    </w:p>
    <w:p w:rsidR="00F15F71" w:rsidRDefault="00F974CD">
      <w:pPr>
        <w:ind w:left="651" w:right="841"/>
      </w:pPr>
      <w:r>
        <w:t>Borland, M. L., O’Brien, S., Neutze, J., Lithgow, A., Mitchell, C., Watkins, N., …</w:t>
      </w:r>
      <w:r>
        <w:t xml:space="preserve"> Babl, F. E. (2022). Treatment patterns and frequency of key outcomes in acute severe asthma in children: A Paediatric Research in Emergency Departments International Collaborative (PREDICT) multicentre cohort study. BMJ Open Respiratory Research, 9(1), e0</w:t>
      </w:r>
      <w:r>
        <w:t xml:space="preserve">01137. </w:t>
      </w:r>
      <w:hyperlink r:id="rId1143">
        <w:r>
          <w:rPr>
            <w:color w:val="0000FF"/>
            <w:u w:val="single" w:color="0000FF"/>
          </w:rPr>
          <w:t>https://doi.org/10.1136/BMJRESP</w:t>
        </w:r>
      </w:hyperlink>
      <w:hyperlink r:id="rId1144">
        <w:r>
          <w:rPr>
            <w:color w:val="0000FF"/>
            <w:u w:val="single" w:color="0000FF"/>
          </w:rPr>
          <w:t>-</w:t>
        </w:r>
      </w:hyperlink>
      <w:hyperlink r:id="rId1145">
        <w:r>
          <w:rPr>
            <w:color w:val="0000FF"/>
            <w:u w:val="single" w:color="0000FF"/>
          </w:rPr>
          <w:t>2021</w:t>
        </w:r>
      </w:hyperlink>
      <w:hyperlink r:id="rId1146">
        <w:r>
          <w:rPr>
            <w:color w:val="0000FF"/>
            <w:u w:val="single" w:color="0000FF"/>
          </w:rPr>
          <w:t>-</w:t>
        </w:r>
      </w:hyperlink>
      <w:hyperlink r:id="rId1147">
        <w:r>
          <w:rPr>
            <w:color w:val="0000FF"/>
            <w:u w:val="single" w:color="0000FF"/>
          </w:rPr>
          <w:t>001137</w:t>
        </w:r>
      </w:hyperlink>
      <w:hyperlink r:id="rId114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Koldeweij, C., Appelbaum, N., Gonzalvez, C. R., Nijman, J., Nijman, R., Sinha, R.,</w:t>
      </w:r>
      <w:r>
        <w:t xml:space="preserve"> Maconochie, I., &amp; Clarke, J. (2022). Mind the gap: Mapping variation between national and local clinical practice guidelines for acute paediatric asthma from the United </w:t>
      </w:r>
    </w:p>
    <w:p w:rsidR="00F15F71" w:rsidRDefault="00F974CD">
      <w:pPr>
        <w:spacing w:after="32"/>
        <w:ind w:left="651" w:right="841"/>
      </w:pPr>
      <w:r>
        <w:t xml:space="preserve">Kingdom </w:t>
      </w:r>
      <w:r>
        <w:tab/>
        <w:t xml:space="preserve">and </w:t>
      </w:r>
      <w:r>
        <w:tab/>
        <w:t xml:space="preserve">the </w:t>
      </w:r>
      <w:r>
        <w:tab/>
        <w:t xml:space="preserve">Netherlands. </w:t>
      </w:r>
      <w:r>
        <w:tab/>
        <w:t xml:space="preserve">PLOS </w:t>
      </w:r>
      <w:r>
        <w:tab/>
        <w:t xml:space="preserve">ONE, </w:t>
      </w:r>
      <w:r>
        <w:tab/>
        <w:t xml:space="preserve">17(5), </w:t>
      </w:r>
      <w:r>
        <w:tab/>
        <w:t xml:space="preserve">e0267445. </w:t>
      </w:r>
      <w:hyperlink r:id="rId1149">
        <w:r>
          <w:rPr>
            <w:color w:val="0000FF"/>
            <w:u w:val="single" w:color="0000FF"/>
          </w:rPr>
          <w:t>https</w:t>
        </w:r>
      </w:hyperlink>
      <w:hyperlink r:id="rId1150">
        <w:r>
          <w:rPr>
            <w:color w:val="0000FF"/>
            <w:u w:val="single" w:color="0000FF"/>
          </w:rPr>
          <w:t>://</w:t>
        </w:r>
      </w:hyperlink>
      <w:hyperlink r:id="rId1151">
        <w:r>
          <w:rPr>
            <w:color w:val="0000FF"/>
            <w:u w:val="single" w:color="0000FF"/>
          </w:rPr>
          <w:t>doi</w:t>
        </w:r>
      </w:hyperlink>
      <w:hyperlink r:id="rId1152">
        <w:r>
          <w:rPr>
            <w:color w:val="0000FF"/>
            <w:u w:val="single" w:color="0000FF"/>
          </w:rPr>
          <w:t>.</w:t>
        </w:r>
      </w:hyperlink>
      <w:hyperlink r:id="rId1153">
        <w:r>
          <w:rPr>
            <w:color w:val="0000FF"/>
            <w:u w:val="single" w:color="0000FF"/>
          </w:rPr>
          <w:t>org</w:t>
        </w:r>
      </w:hyperlink>
      <w:hyperlink r:id="rId1154">
        <w:r>
          <w:rPr>
            <w:color w:val="0000FF"/>
            <w:u w:val="single" w:color="0000FF"/>
          </w:rPr>
          <w:t>/10.1371/</w:t>
        </w:r>
      </w:hyperlink>
      <w:hyperlink r:id="rId1155">
        <w:r>
          <w:rPr>
            <w:color w:val="0000FF"/>
            <w:u w:val="single" w:color="0000FF"/>
          </w:rPr>
          <w:t>JOURNAL</w:t>
        </w:r>
      </w:hyperlink>
      <w:hyperlink r:id="rId1156">
        <w:r>
          <w:rPr>
            <w:color w:val="0000FF"/>
            <w:u w:val="single" w:color="0000FF"/>
          </w:rPr>
          <w:t>.</w:t>
        </w:r>
      </w:hyperlink>
      <w:hyperlink r:id="rId1157">
        <w:r>
          <w:rPr>
            <w:color w:val="0000FF"/>
            <w:u w:val="single" w:color="0000FF"/>
          </w:rPr>
          <w:t>PONE</w:t>
        </w:r>
      </w:hyperlink>
      <w:hyperlink r:id="rId1158">
        <w:r>
          <w:rPr>
            <w:color w:val="0000FF"/>
            <w:u w:val="single" w:color="0000FF"/>
          </w:rPr>
          <w:t>.0267445</w:t>
        </w:r>
      </w:hyperlink>
      <w:hyperlink r:id="rId115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8"/>
        <w:ind w:right="841" w:hanging="689"/>
      </w:pPr>
      <w:r>
        <w:t xml:space="preserve">Шайтор В.М. Скорая и неотложная медицинская помощь детям на догоспитальном этапе: краткое руководство для врачей. – СПб.: ИнформМед, 2013. – С. 120-125.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Ito, K., Lim, S., Caramori, G., Cosio, B., Chung, K. F., Adcock, I. M., &amp; Barnes, P. J. (2002). A mole</w:t>
      </w:r>
      <w:r>
        <w:t xml:space="preserve">cular mechanism of action of theophylline: Induction of histone deacetylase activity to decrease inflammatory gene expression. Proceedings of the National Academy of Sciences of the United States of America, 99(13), 8921–8926. </w:t>
      </w:r>
      <w:hyperlink r:id="rId1160">
        <w:r>
          <w:rPr>
            <w:color w:val="0000FF"/>
            <w:u w:val="single" w:color="0000FF"/>
          </w:rPr>
          <w:t>https://doi.org/10.1073/PNAS.132556899</w:t>
        </w:r>
      </w:hyperlink>
      <w:hyperlink r:id="rId116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Cosio, B. G., Iglesias, A., Rios, A., Noguera, A., Sala, E., Ito, K., Barnes, P. J., &amp; Agusti, A. (2009). Low-dose theophylline e</w:t>
      </w:r>
      <w:r>
        <w:t xml:space="preserve">nhances the anti-inflammatory effects of steroids during exacerbations of COPD. Thorax, 64(5), 424–429. </w:t>
      </w:r>
      <w:hyperlink r:id="rId1162">
        <w:r>
          <w:rPr>
            <w:color w:val="0000FF"/>
            <w:u w:val="single" w:color="0000FF"/>
          </w:rPr>
          <w:t>https://doi.org/10.1136/THX.2008.103432</w:t>
        </w:r>
      </w:hyperlink>
      <w:hyperlink r:id="rId116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03"/>
        <w:ind w:right="841" w:hanging="689"/>
      </w:pPr>
      <w:r>
        <w:t>To, Y., Ito, K., Kizawa, Y., Failla, M., Ito, M., Kusama, T., Elliott, W. M., Hogg, J. C., Adcock, I. M., &amp; Barnes, P. J. (2010). Targeting phosphoinositide-3-kinase-delta with theophylline reverses corticosteroid insensitivity in chronic obstructiv</w:t>
      </w:r>
      <w:r>
        <w:t xml:space="preserve">e pulmonary disease. American Journal of Respiratory and Critical Care Medicine, 182(7), 897–904.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1164">
        <w:r>
          <w:rPr>
            <w:color w:val="0000FF"/>
            <w:u w:val="single" w:color="0000FF"/>
          </w:rPr>
          <w:t>https://doi.org/10.1164/RCCM.200906</w:t>
        </w:r>
      </w:hyperlink>
      <w:hyperlink r:id="rId1165">
        <w:r>
          <w:rPr>
            <w:color w:val="0000FF"/>
            <w:u w:val="single" w:color="0000FF"/>
          </w:rPr>
          <w:t>-</w:t>
        </w:r>
      </w:hyperlink>
      <w:hyperlink r:id="rId1166">
        <w:r>
          <w:rPr>
            <w:color w:val="0000FF"/>
            <w:u w:val="single" w:color="0000FF"/>
          </w:rPr>
          <w:t>0937OC</w:t>
        </w:r>
      </w:hyperlink>
      <w:hyperlink r:id="rId116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Mitra, A. A., Bassler, D., Watts, K., Lasserson, T. J., &amp; Ducharme, F. M. (2005). Intravenous aminophylline for acute sev</w:t>
      </w:r>
      <w:r>
        <w:t xml:space="preserve">ere asthma in children over two years receiving inhaled bronchodilators. Cochrane Database of Systematic Reviews, 2005(2). </w:t>
      </w:r>
      <w:hyperlink r:id="rId1168">
        <w:r>
          <w:rPr>
            <w:color w:val="0000FF"/>
            <w:u w:val="single" w:color="0000FF"/>
          </w:rPr>
          <w:t>https://doi.org/10.1002/14651858.cd001276.pub2</w:t>
        </w:r>
      </w:hyperlink>
      <w:hyperlink r:id="rId116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Rahmania M, Olivianto E. Intravenous aminophylline treatment for severe asthma exacerbation in a toddler: an evidence-based case report. Pediatrics Sciences Journal 2022, V.3(2), 30–36. </w:t>
      </w:r>
    </w:p>
    <w:p w:rsidR="00F15F71" w:rsidRDefault="00F974CD">
      <w:pPr>
        <w:numPr>
          <w:ilvl w:val="0"/>
          <w:numId w:val="31"/>
        </w:numPr>
        <w:spacing w:after="112" w:line="259" w:lineRule="auto"/>
        <w:ind w:right="841" w:hanging="689"/>
      </w:pPr>
      <w:r>
        <w:t>Papanicolaou, A., Wang</w:t>
      </w:r>
      <w:r>
        <w:t xml:space="preserve">, H., Satzke, C., Vlahos, R., Wilson, N., &amp; Bozinovski, S. (2020). </w:t>
      </w:r>
    </w:p>
    <w:p w:rsidR="00F15F71" w:rsidRDefault="00F974CD">
      <w:pPr>
        <w:spacing w:after="114" w:line="259" w:lineRule="auto"/>
        <w:ind w:left="10" w:right="845"/>
        <w:jc w:val="right"/>
      </w:pPr>
      <w:r>
        <w:t xml:space="preserve">Novel Therapies for Pneumonia-Associated Severe Asthma Phenotypes. Trends in </w:t>
      </w:r>
    </w:p>
    <w:p w:rsidR="00F15F71" w:rsidRDefault="00F974CD">
      <w:pPr>
        <w:spacing w:after="30" w:line="362" w:lineRule="auto"/>
        <w:ind w:left="641" w:right="50"/>
        <w:jc w:val="left"/>
      </w:pPr>
      <w:r>
        <w:t xml:space="preserve">Molecular </w:t>
      </w:r>
      <w:r>
        <w:tab/>
        <w:t xml:space="preserve">Medicine, </w:t>
      </w:r>
      <w:r>
        <w:tab/>
        <w:t xml:space="preserve">26(11), </w:t>
      </w:r>
      <w:r>
        <w:tab/>
        <w:t xml:space="preserve">1047–1058. </w:t>
      </w:r>
      <w:hyperlink r:id="rId1170">
        <w:r>
          <w:rPr>
            <w:color w:val="0000FF"/>
            <w:u w:val="single" w:color="0000FF"/>
          </w:rPr>
          <w:t>https://doi.org/10.1016/J.MOLMED.2020.07.006</w:t>
        </w:r>
      </w:hyperlink>
      <w:hyperlink r:id="rId117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Eid, N. S., O’Hagan, A., Bickel, S., Morton, R., Jacobson, S., &amp; Myers, J. A. (2016). Anti-inflammatory dosing of theophylline in the treatment of</w:t>
      </w:r>
      <w:r>
        <w:t xml:space="preserve"> status asthmaticus in children. Journal of Asthma and Allergy, 9, 183–189. </w:t>
      </w:r>
      <w:hyperlink r:id="rId1172">
        <w:r>
          <w:rPr>
            <w:color w:val="0000FF"/>
            <w:u w:val="single" w:color="0000FF"/>
          </w:rPr>
          <w:t>https://doi.org/10.2147/JAA.S113747</w:t>
        </w:r>
      </w:hyperlink>
      <w:hyperlink r:id="rId117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Perrin, K., Wijesinghe, M., Healy</w:t>
      </w:r>
      <w:r>
        <w:t xml:space="preserve">, B., Wadsworth, K., Bowditch, R., Bibby, S., Baker, T., Weatherall, M., &amp; Beasley, R. (2011). Randomised controlled trial of high concentration versus titrated oxygen therapy in severe exacerbations of asthma. Thorax, 66(11), 937– 941. </w:t>
      </w:r>
      <w:hyperlink r:id="rId1174">
        <w:r>
          <w:rPr>
            <w:color w:val="0000FF"/>
            <w:u w:val="single" w:color="0000FF"/>
          </w:rPr>
          <w:t>https://doi.org/10.1136/THX.2010.155259</w:t>
        </w:r>
      </w:hyperlink>
      <w:hyperlink r:id="rId117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Chien, J. W., Ciufo, R., Novak, R., Skowronski, M., Nelson, J. A., Coreno, A., &amp; McFadden, E. R. (2000). Uncontrolle</w:t>
      </w:r>
      <w:r>
        <w:t xml:space="preserve">d oxygen administration and respiratory failure in acute asthma. Chest, 117(3), 728–733. </w:t>
      </w:r>
      <w:hyperlink r:id="rId1176">
        <w:r>
          <w:rPr>
            <w:color w:val="0000FF"/>
            <w:u w:val="single" w:color="0000FF"/>
          </w:rPr>
          <w:t>https://doi.org/10.1378/CHEST.117.3.728</w:t>
        </w:r>
      </w:hyperlink>
      <w:hyperlink r:id="rId117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Rodrigo, G. J., Verde, M. R., Peregalli, V., &amp; Rodrigo, C. (2003). Effects of short-term 28% and 100% oxygen on PaCO2 and peak expiratory flow rate in acute asthma: a randomized trial. Chest, 124(4), 1312–1317. https://doi.org/10.1378/CHEST.124.4.1312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Gup</w:t>
      </w:r>
      <w:r>
        <w:t xml:space="preserve">ta D.A. (2010). A prospective randomized controlled trial on the efficacy of noninvasive ventilation in severe acute asthma. Respir Care, 55, 536–543.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Agarwal, R., Reddy, C., Aggarwal, A. N., &amp; Gupta, D. (2006). Is there a role for noninvasive ventilation</w:t>
      </w:r>
      <w:r>
        <w:t xml:space="preserve"> in acute respiratory distress syndrome? A meta-analysis. Respiratory Medicine, 100(12), 2235–2238. </w:t>
      </w:r>
      <w:hyperlink r:id="rId1178">
        <w:r>
          <w:rPr>
            <w:color w:val="0000FF"/>
            <w:u w:val="single" w:color="0000FF"/>
          </w:rPr>
          <w:t>https://doi.org/10.1016/j.rmed.2006.03.018</w:t>
        </w:r>
      </w:hyperlink>
      <w:hyperlink r:id="rId117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Авдеев С.Н. Респираторная поддержка при астматическом статусе. Клинические рекомендации. Бронхиальная астма у взрослых / Под ред. А.Г. Чучалина. М.: Атмосфера, 2002: 130-155.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Kuyper, L. M., Paré, P. D., Hogg, J. C., Lambert, R. K., Ionescu, D.</w:t>
      </w:r>
      <w:r>
        <w:t xml:space="preserve">, Woods, R., &amp; Bai, T. R. (2003). Characterization of airway plugging in fatal asthma. American Journal of Medicine, 115(1), 6–11. </w:t>
      </w:r>
      <w:hyperlink r:id="rId1180">
        <w:r>
          <w:rPr>
            <w:color w:val="0000FF"/>
            <w:u w:val="single" w:color="0000FF"/>
          </w:rPr>
          <w:t>https://doi.org/10.1016/S0002</w:t>
        </w:r>
      </w:hyperlink>
      <w:hyperlink r:id="rId1181">
        <w:r>
          <w:rPr>
            <w:color w:val="0000FF"/>
            <w:u w:val="single" w:color="0000FF"/>
          </w:rPr>
          <w:t>-</w:t>
        </w:r>
      </w:hyperlink>
      <w:hyperlink r:id="rId1182">
        <w:r>
          <w:rPr>
            <w:color w:val="0000FF"/>
            <w:u w:val="single" w:color="0000FF"/>
          </w:rPr>
          <w:t>9343(03)00241</w:t>
        </w:r>
      </w:hyperlink>
      <w:hyperlink r:id="rId1183">
        <w:r>
          <w:rPr>
            <w:color w:val="0000FF"/>
            <w:u w:val="single" w:color="0000FF"/>
          </w:rPr>
          <w:t>-</w:t>
        </w:r>
      </w:hyperlink>
      <w:hyperlink r:id="rId1184">
        <w:r>
          <w:rPr>
            <w:color w:val="0000FF"/>
            <w:u w:val="single" w:color="0000FF"/>
          </w:rPr>
          <w:t>9</w:t>
        </w:r>
      </w:hyperlink>
      <w:hyperlink r:id="rId118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Inwald, D., Roland, M., Kuitert, L., McKenzie, S. A., &amp; Petros, A. (2001). Oxygen treatment for acute severe asthma. British Medical Journal, 323(7304), 98–100. </w:t>
      </w:r>
      <w:hyperlink r:id="rId1186">
        <w:r>
          <w:rPr>
            <w:color w:val="0000FF"/>
            <w:u w:val="single" w:color="0000FF"/>
          </w:rPr>
          <w:t>https://doi.org/10.1136/BMJ.323.7304.98</w:t>
        </w:r>
      </w:hyperlink>
      <w:hyperlink r:id="rId118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POLLART, S. M., COMPTON, R. M., &amp; ELWARD, K. S. (2011). Management of Acute Asthma Exacerbations. American Family Physician, 84(1), 40–4</w:t>
      </w:r>
      <w:r>
        <w:t xml:space="preserve">7. </w:t>
      </w:r>
    </w:p>
    <w:p w:rsidR="00F15F71" w:rsidRDefault="00F974CD">
      <w:pPr>
        <w:spacing w:after="144" w:line="259" w:lineRule="auto"/>
        <w:ind w:left="641" w:right="50"/>
        <w:jc w:val="left"/>
      </w:pPr>
      <w:hyperlink r:id="rId1188">
        <w:r>
          <w:rPr>
            <w:color w:val="0000FF"/>
            <w:u w:val="single" w:color="0000FF"/>
          </w:rPr>
          <w:t>https://www.aafp.org/pubs/afp/issues/2011/0701/p40.html</w:t>
        </w:r>
      </w:hyperlink>
      <w:hyperlink r:id="rId118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Siemieniuk, R. A. C., Chu, D. K., Kim, L. H. </w:t>
      </w:r>
      <w:r>
        <w:t xml:space="preserve">Y., Güell-Rous, M. R., Alhazzani, W., Soccal, P. M., Karanicolas, P. J., Farhoumand, P. D., Siemieniuk, J. L. K., Satia, I., Irusen, </w:t>
      </w:r>
    </w:p>
    <w:p w:rsidR="00F15F71" w:rsidRDefault="00F974CD">
      <w:pPr>
        <w:ind w:left="651" w:right="841"/>
      </w:pPr>
      <w:r>
        <w:t>E. M., Refaat, M. M., Stephen Mikita, J., Smith, M., Cohen, D. N., Vandvik, P. O., Agoritsas, T., Lytvyn, L., &amp; Guyatt, G.</w:t>
      </w:r>
      <w:r>
        <w:t xml:space="preserve"> H. (2018). Oxygen therapy for acutely ill medical patients: a clinical practice guideline. BMJ (Clinical Research Ed.), 363. </w:t>
      </w:r>
      <w:hyperlink r:id="rId1190">
        <w:r>
          <w:rPr>
            <w:color w:val="0000FF"/>
            <w:u w:val="single" w:color="0000FF"/>
          </w:rPr>
          <w:t>https://doi.org/10.1136/BMJ.K4169</w:t>
        </w:r>
      </w:hyperlink>
      <w:hyperlink r:id="rId119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Patel, B., Khine, H., Shah, A., Sung, D., Medar, S., &amp; Singer, L. (2019). Randomized clinical trial of high concentration versus titrated oxygen use in pediatric asthma. Pediatric Pulmonology, 54(7), 970–976. </w:t>
      </w:r>
      <w:hyperlink r:id="rId1192">
        <w:r>
          <w:rPr>
            <w:color w:val="0000FF"/>
            <w:u w:val="single" w:color="0000FF"/>
          </w:rPr>
          <w:t>https://doi.org/10.1002/PPUL.24329</w:t>
        </w:r>
      </w:hyperlink>
      <w:hyperlink r:id="rId119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Carroll, C. L., Smith, S. R., Collins, M. S., Bhandari, A., Schramm, C. M., &amp; Zucker, A. R. (2007). Endotracheal intubation and pediatric status ast</w:t>
      </w:r>
      <w:r>
        <w:t xml:space="preserve">hmaticus: site of original care affects treatment. Pediatric Critical Care Medicine : A Journal of the Society of Critical </w:t>
      </w:r>
    </w:p>
    <w:p w:rsidR="00F15F71" w:rsidRDefault="00F974CD">
      <w:pPr>
        <w:ind w:left="651" w:right="841"/>
      </w:pPr>
      <w:r>
        <w:t xml:space="preserve">Care Medicine and the World Federation of Pediatric Intensive and Critical Care Societies, 8(2), 91–95. </w:t>
      </w:r>
      <w:hyperlink r:id="rId1194">
        <w:r>
          <w:rPr>
            <w:color w:val="0000FF"/>
            <w:u w:val="single" w:color="0000FF"/>
          </w:rPr>
          <w:t>https://doi.org/10.1097/01.PCC.0000257115.02573.FC</w:t>
        </w:r>
      </w:hyperlink>
      <w:hyperlink r:id="rId119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Zimmerman, J. L., Dellinger, R. P., Shah, A. N., &amp; Taylor, R. W. (</w:t>
      </w:r>
      <w:r>
        <w:t xml:space="preserve">1993). Endotracheal intubation and mechanical ventilation in severe asthma. Critical Care Medicine, 21(11), 1727–1730. </w:t>
      </w:r>
      <w:hyperlink r:id="rId1196">
        <w:r>
          <w:rPr>
            <w:color w:val="0000FF"/>
            <w:u w:val="single" w:color="0000FF"/>
          </w:rPr>
          <w:t>https://doi.org/10.1097/00003246</w:t>
        </w:r>
      </w:hyperlink>
      <w:hyperlink r:id="rId1197">
        <w:r>
          <w:rPr>
            <w:color w:val="0000FF"/>
            <w:u w:val="single" w:color="0000FF"/>
          </w:rPr>
          <w:t>-</w:t>
        </w:r>
      </w:hyperlink>
      <w:hyperlink r:id="rId1198">
        <w:r>
          <w:rPr>
            <w:color w:val="0000FF"/>
            <w:u w:val="single" w:color="0000FF"/>
          </w:rPr>
          <w:t>199311000</w:t>
        </w:r>
      </w:hyperlink>
      <w:hyperlink r:id="rId1199">
        <w:r>
          <w:rPr>
            <w:color w:val="0000FF"/>
            <w:u w:val="single" w:color="0000FF"/>
          </w:rPr>
          <w:t>-</w:t>
        </w:r>
      </w:hyperlink>
      <w:hyperlink r:id="rId1200">
        <w:r>
          <w:rPr>
            <w:color w:val="0000FF"/>
            <w:u w:val="single" w:color="0000FF"/>
          </w:rPr>
          <w:t>00023</w:t>
        </w:r>
      </w:hyperlink>
      <w:hyperlink r:id="rId120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Kilburn, S. A., Lasserson, T. J., &amp; McKean, M. C. (2003). Pet allergen control measures for allergic asthma in children and adults. The Cochrane Database of Systematic Reviews,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2001(1). </w:t>
      </w:r>
      <w:hyperlink r:id="rId1202">
        <w:r>
          <w:rPr>
            <w:color w:val="0000FF"/>
            <w:u w:val="single" w:color="0000FF"/>
          </w:rPr>
          <w:t>https://doi.org/10.1002/14651858.CD002989</w:t>
        </w:r>
      </w:hyperlink>
      <w:hyperlink r:id="rId120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Zuiani, </w:t>
      </w:r>
      <w:r>
        <w:t xml:space="preserve">C., &amp; Custovic, A. (2020). Update on House Dust Mite Allergen Avoidance Measures for Asthma. Current Allergy and Asthma Reports, 20(9). </w:t>
      </w:r>
      <w:hyperlink r:id="rId1204">
        <w:r>
          <w:rPr>
            <w:color w:val="0000FF"/>
            <w:u w:val="single" w:color="0000FF"/>
          </w:rPr>
          <w:t>https://doi.org/10.1007/S11882</w:t>
        </w:r>
      </w:hyperlink>
      <w:hyperlink r:id="rId1205">
        <w:r>
          <w:rPr>
            <w:color w:val="0000FF"/>
            <w:u w:val="single" w:color="0000FF"/>
          </w:rPr>
          <w:t>-</w:t>
        </w:r>
      </w:hyperlink>
      <w:hyperlink r:id="rId1206">
        <w:r>
          <w:rPr>
            <w:color w:val="0000FF"/>
            <w:u w:val="single" w:color="0000FF"/>
          </w:rPr>
          <w:t>020</w:t>
        </w:r>
      </w:hyperlink>
      <w:hyperlink r:id="rId1207">
        <w:r>
          <w:rPr>
            <w:color w:val="0000FF"/>
            <w:u w:val="single" w:color="0000FF"/>
          </w:rPr>
          <w:t>-</w:t>
        </w:r>
      </w:hyperlink>
      <w:hyperlink r:id="rId1208">
        <w:r>
          <w:rPr>
            <w:color w:val="0000FF"/>
            <w:u w:val="single" w:color="0000FF"/>
          </w:rPr>
          <w:t>00948</w:t>
        </w:r>
      </w:hyperlink>
      <w:hyperlink r:id="rId1209">
        <w:r>
          <w:rPr>
            <w:color w:val="0000FF"/>
            <w:u w:val="single" w:color="0000FF"/>
          </w:rPr>
          <w:t>-</w:t>
        </w:r>
      </w:hyperlink>
      <w:hyperlink r:id="rId1210">
        <w:r>
          <w:rPr>
            <w:color w:val="0000FF"/>
            <w:u w:val="single" w:color="0000FF"/>
          </w:rPr>
          <w:t>Y</w:t>
        </w:r>
      </w:hyperlink>
      <w:hyperlink r:id="rId121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Marks, G. B. (1998). House dust mite exposure as a risk factor for asthma: Benefits of avoid</w:t>
      </w:r>
      <w:r>
        <w:t xml:space="preserve">ance. Allergy: European Journal of Allergy and Clinical Immunology, Supplement, 53(48), 108–114. </w:t>
      </w:r>
      <w:hyperlink r:id="rId1212">
        <w:r>
          <w:rPr>
            <w:color w:val="0000FF"/>
            <w:u w:val="single" w:color="0000FF"/>
          </w:rPr>
          <w:t>https://doi.org/10.1111/j.1398</w:t>
        </w:r>
      </w:hyperlink>
      <w:hyperlink r:id="rId1213">
        <w:r>
          <w:rPr>
            <w:color w:val="0000FF"/>
            <w:u w:val="single" w:color="0000FF"/>
          </w:rPr>
          <w:t>-</w:t>
        </w:r>
      </w:hyperlink>
      <w:hyperlink r:id="rId1214">
        <w:r>
          <w:rPr>
            <w:color w:val="0000FF"/>
            <w:u w:val="single" w:color="0000FF"/>
          </w:rPr>
          <w:t>9995.1998.tb05010.x</w:t>
        </w:r>
      </w:hyperlink>
      <w:hyperlink r:id="rId121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Custovic, A., Murray, C. S., &amp; Simpson, A. (2019). Dust-</w:t>
      </w:r>
      <w:r>
        <w:t>mite inducing asthma: what advice can be given to patients? Expert Review of Respiratory Medicine, 13(10), 929–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936. </w:t>
      </w:r>
      <w:hyperlink r:id="rId1216">
        <w:r>
          <w:rPr>
            <w:color w:val="0000FF"/>
            <w:u w:val="single" w:color="0000FF"/>
          </w:rPr>
          <w:t>https://doi.org/10.1080/17476348.2019.1651647</w:t>
        </w:r>
      </w:hyperlink>
      <w:hyperlink r:id="rId121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44" w:line="357" w:lineRule="auto"/>
        <w:ind w:right="841" w:hanging="689"/>
      </w:pPr>
      <w:r>
        <w:t xml:space="preserve">Custovic, A., de Moira, A. P., Murray, C. S., &amp; Simpson, A. (2023). Environmental influences on childhood asthma: Allergens. Pediatric Allergy and Immunology, 34(2). </w:t>
      </w:r>
      <w:hyperlink r:id="rId1218">
        <w:r>
          <w:rPr>
            <w:color w:val="0000FF"/>
            <w:u w:val="single" w:color="0000FF"/>
          </w:rPr>
          <w:t>https</w:t>
        </w:r>
      </w:hyperlink>
      <w:hyperlink r:id="rId1219">
        <w:r>
          <w:rPr>
            <w:color w:val="0000FF"/>
            <w:u w:val="single" w:color="0000FF"/>
          </w:rPr>
          <w:t>://</w:t>
        </w:r>
      </w:hyperlink>
      <w:hyperlink r:id="rId1220">
        <w:r>
          <w:rPr>
            <w:color w:val="0000FF"/>
            <w:u w:val="single" w:color="0000FF"/>
          </w:rPr>
          <w:t>doi</w:t>
        </w:r>
      </w:hyperlink>
      <w:hyperlink r:id="rId1221">
        <w:r>
          <w:rPr>
            <w:color w:val="0000FF"/>
            <w:u w:val="single" w:color="0000FF"/>
          </w:rPr>
          <w:t>.</w:t>
        </w:r>
      </w:hyperlink>
      <w:hyperlink r:id="rId1222">
        <w:r>
          <w:rPr>
            <w:color w:val="0000FF"/>
            <w:u w:val="single" w:color="0000FF"/>
          </w:rPr>
          <w:t>org</w:t>
        </w:r>
      </w:hyperlink>
      <w:hyperlink r:id="rId1223">
        <w:r>
          <w:rPr>
            <w:color w:val="0000FF"/>
            <w:u w:val="single" w:color="0000FF"/>
          </w:rPr>
          <w:t>/10.1111/</w:t>
        </w:r>
      </w:hyperlink>
      <w:hyperlink r:id="rId1224">
        <w:r>
          <w:rPr>
            <w:color w:val="0000FF"/>
            <w:u w:val="single" w:color="0000FF"/>
          </w:rPr>
          <w:t>pai</w:t>
        </w:r>
      </w:hyperlink>
      <w:hyperlink r:id="rId1225">
        <w:r>
          <w:rPr>
            <w:color w:val="0000FF"/>
            <w:u w:val="single" w:color="0000FF"/>
          </w:rPr>
          <w:t>.13915</w:t>
        </w:r>
      </w:hyperlink>
      <w:hyperlink r:id="rId122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Российская ассоциация аллергологов и клинических имм</w:t>
      </w:r>
      <w:r>
        <w:t xml:space="preserve">унологов. Федеральные методические рекомендации. Аллерген-специфическая иммунотерапия. 2013. 14с. </w:t>
      </w:r>
      <w:hyperlink r:id="rId1227">
        <w:r>
          <w:rPr>
            <w:color w:val="0000FF"/>
            <w:u w:val="single" w:color="0000FF"/>
          </w:rPr>
          <w:t>https</w:t>
        </w:r>
      </w:hyperlink>
      <w:hyperlink r:id="rId1228">
        <w:r>
          <w:rPr>
            <w:color w:val="0000FF"/>
            <w:u w:val="single" w:color="0000FF"/>
          </w:rPr>
          <w:t>://</w:t>
        </w:r>
      </w:hyperlink>
      <w:hyperlink r:id="rId1229">
        <w:r>
          <w:rPr>
            <w:color w:val="0000FF"/>
            <w:u w:val="single" w:color="0000FF"/>
          </w:rPr>
          <w:t>raaci</w:t>
        </w:r>
      </w:hyperlink>
      <w:hyperlink r:id="rId1230">
        <w:r>
          <w:rPr>
            <w:color w:val="0000FF"/>
            <w:u w:val="single" w:color="0000FF"/>
          </w:rPr>
          <w:t>.</w:t>
        </w:r>
      </w:hyperlink>
      <w:hyperlink r:id="rId1231">
        <w:r>
          <w:rPr>
            <w:color w:val="0000FF"/>
            <w:u w:val="single" w:color="0000FF"/>
          </w:rPr>
          <w:t>ru</w:t>
        </w:r>
      </w:hyperlink>
      <w:hyperlink r:id="rId1232">
        <w:r>
          <w:rPr>
            <w:color w:val="0000FF"/>
            <w:u w:val="single" w:color="0000FF"/>
          </w:rPr>
          <w:t>/</w:t>
        </w:r>
      </w:hyperlink>
      <w:hyperlink r:id="rId1233">
        <w:r>
          <w:rPr>
            <w:color w:val="0000FF"/>
            <w:u w:val="single" w:color="0000FF"/>
          </w:rPr>
          <w:t>education</w:t>
        </w:r>
      </w:hyperlink>
      <w:hyperlink r:id="rId1234">
        <w:r>
          <w:rPr>
            <w:color w:val="0000FF"/>
            <w:u w:val="single" w:color="0000FF"/>
          </w:rPr>
          <w:t>/</w:t>
        </w:r>
      </w:hyperlink>
      <w:hyperlink r:id="rId1235">
        <w:r>
          <w:rPr>
            <w:color w:val="0000FF"/>
            <w:u w:val="single" w:color="0000FF"/>
          </w:rPr>
          <w:t>clinic</w:t>
        </w:r>
      </w:hyperlink>
      <w:hyperlink r:id="rId1236">
        <w:r>
          <w:rPr>
            <w:color w:val="0000FF"/>
            <w:u w:val="single" w:color="0000FF"/>
          </w:rPr>
          <w:t>_</w:t>
        </w:r>
      </w:hyperlink>
      <w:hyperlink r:id="rId1237">
        <w:r>
          <w:rPr>
            <w:color w:val="0000FF"/>
            <w:u w:val="single" w:color="0000FF"/>
          </w:rPr>
          <w:t>recomendations</w:t>
        </w:r>
      </w:hyperlink>
      <w:hyperlink r:id="rId1238">
        <w:r>
          <w:rPr>
            <w:color w:val="0000FF"/>
            <w:u w:val="single" w:color="0000FF"/>
          </w:rPr>
          <w:t>/103.</w:t>
        </w:r>
      </w:hyperlink>
      <w:hyperlink r:id="rId1239">
        <w:r>
          <w:rPr>
            <w:color w:val="0000FF"/>
            <w:u w:val="single" w:color="0000FF"/>
          </w:rPr>
          <w:t>html</w:t>
        </w:r>
      </w:hyperlink>
      <w:hyperlink r:id="rId124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Zuberbier, T., B</w:t>
      </w:r>
      <w:r>
        <w:t>achert, C., Bousquet, P. J., Passalacqua, G., Walter Canonica, G., Merk, H., Worm, M., Wahn, U., &amp; Bousquet, J. (2010). GA</w:t>
      </w:r>
      <w:r>
        <w:rPr>
          <w:vertAlign w:val="superscript"/>
        </w:rPr>
        <w:t>2</w:t>
      </w:r>
      <w:r>
        <w:t xml:space="preserve"> LEN/EAACI pocket guide for allergen-specific immunotherapy for allergic rhinitis and asthma. Allergy, 65(12), 1525–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1530. </w:t>
      </w:r>
      <w:hyperlink r:id="rId1241">
        <w:r>
          <w:rPr>
            <w:color w:val="0000FF"/>
            <w:u w:val="single" w:color="0000FF"/>
          </w:rPr>
          <w:t>https://doi.org/10.1111/J.1398</w:t>
        </w:r>
      </w:hyperlink>
      <w:hyperlink r:id="rId1242">
        <w:r>
          <w:rPr>
            <w:color w:val="0000FF"/>
            <w:u w:val="single" w:color="0000FF"/>
          </w:rPr>
          <w:t>-</w:t>
        </w:r>
      </w:hyperlink>
      <w:hyperlink r:id="rId1243">
        <w:r>
          <w:rPr>
            <w:color w:val="0000FF"/>
            <w:u w:val="single" w:color="0000FF"/>
          </w:rPr>
          <w:t>9995.2010.02474.X</w:t>
        </w:r>
      </w:hyperlink>
      <w:hyperlink r:id="rId124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Abramson, M. J., Puy, R. M., &amp; Weiner, J. M. (2010). Injection allergen immunotherapy for asthma. The Cochrane Database of Systematic Reviews, 8. </w:t>
      </w:r>
      <w:hyperlink r:id="rId1245">
        <w:r>
          <w:rPr>
            <w:color w:val="0000FF"/>
            <w:u w:val="single" w:color="0000FF"/>
          </w:rPr>
          <w:t>https://doi.org/10.1002/14651858.CD001186.PUB2</w:t>
        </w:r>
      </w:hyperlink>
      <w:hyperlink r:id="rId124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Zheng, C., Xu, H., Huang, S., &amp; Chen, Z. (2023). Efficacy and safety of subcutaneous immunotherapy in asthmatic children allergic </w:t>
      </w:r>
      <w:r>
        <w:t xml:space="preserve">to house dust mite: a meta-analysis and systematic review. Frontiers in Pediatrics, 11, 1137478. </w:t>
      </w:r>
      <w:hyperlink r:id="rId1247">
        <w:r>
          <w:rPr>
            <w:color w:val="0000FF"/>
            <w:u w:val="single" w:color="0000FF"/>
          </w:rPr>
          <w:t>https://doi.org/10.3389/fped.2023.1137478</w:t>
        </w:r>
      </w:hyperlink>
      <w:hyperlink r:id="rId124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38" w:line="259" w:lineRule="auto"/>
        <w:ind w:right="841" w:hanging="689"/>
      </w:pPr>
      <w:r>
        <w:t xml:space="preserve">Canonica, G. W., Cox, L., Pawankar, R., Baena-Cagnani, C. E., Blaiss, M., Bonini, S., </w:t>
      </w:r>
    </w:p>
    <w:p w:rsidR="00F15F71" w:rsidRDefault="00F974CD">
      <w:pPr>
        <w:ind w:left="651" w:right="841"/>
      </w:pPr>
      <w:r>
        <w:t xml:space="preserve">Bousquet, J., Calderón, M., Compalati, E., Durham, S. R., Van Wijk, R. G., LarenasLinnemann, D., Nelson, H., Passalacqua, G., Pfaar, O., Rosário, N., Ryan, D., </w:t>
      </w:r>
    </w:p>
    <w:p w:rsidR="00F15F71" w:rsidRDefault="00F974CD">
      <w:pPr>
        <w:ind w:left="651" w:right="841"/>
      </w:pPr>
      <w:r>
        <w:t>Ro</w:t>
      </w:r>
      <w:r>
        <w:t xml:space="preserve">senwasser, L., Schmid-Grendelmeier, P., … Yusuf, O. (2014). Sublingual immunotherapy: World Allergy Organization position paper 2013 update. The World Allergy Organization Journal, 7(1). </w:t>
      </w:r>
      <w:hyperlink r:id="rId1249">
        <w:r>
          <w:rPr>
            <w:color w:val="0000FF"/>
            <w:u w:val="single" w:color="0000FF"/>
          </w:rPr>
          <w:t>https://doi.</w:t>
        </w:r>
        <w:r>
          <w:rPr>
            <w:color w:val="0000FF"/>
            <w:u w:val="single" w:color="0000FF"/>
          </w:rPr>
          <w:t>org/10.1186/1939</w:t>
        </w:r>
      </w:hyperlink>
      <w:hyperlink r:id="rId1250">
        <w:r>
          <w:rPr>
            <w:color w:val="0000FF"/>
            <w:u w:val="single" w:color="0000FF"/>
          </w:rPr>
          <w:t>-</w:t>
        </w:r>
      </w:hyperlink>
      <w:hyperlink r:id="rId1251">
        <w:r>
          <w:rPr>
            <w:color w:val="0000FF"/>
            <w:u w:val="single" w:color="0000FF"/>
          </w:rPr>
          <w:t>4551</w:t>
        </w:r>
      </w:hyperlink>
      <w:hyperlink r:id="rId1252">
        <w:r>
          <w:rPr>
            <w:color w:val="0000FF"/>
            <w:u w:val="single" w:color="0000FF"/>
          </w:rPr>
          <w:t>-</w:t>
        </w:r>
      </w:hyperlink>
      <w:hyperlink r:id="rId1253">
        <w:r>
          <w:rPr>
            <w:color w:val="0000FF"/>
            <w:u w:val="single" w:color="0000FF"/>
          </w:rPr>
          <w:t>7</w:t>
        </w:r>
      </w:hyperlink>
      <w:hyperlink r:id="rId1254">
        <w:r>
          <w:rPr>
            <w:color w:val="0000FF"/>
            <w:u w:val="single" w:color="0000FF"/>
          </w:rPr>
          <w:t>-</w:t>
        </w:r>
      </w:hyperlink>
      <w:hyperlink r:id="rId1255">
        <w:r>
          <w:rPr>
            <w:color w:val="0000FF"/>
            <w:u w:val="single" w:color="0000FF"/>
          </w:rPr>
          <w:t>6</w:t>
        </w:r>
      </w:hyperlink>
      <w:hyperlink r:id="rId125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Hoshino, M., Akitsu, K., Ohtawa, J., &amp; Kubota, K. (2024). Long-</w:t>
      </w:r>
      <w:r>
        <w:t xml:space="preserve">term efficacy of house dust mite sublingual immunotherapy on clinical and pulmonary function in patients with asthma and allergic rhinitis. The Journal of Allergy and Clinical Immunology. Global, 3(2), 100206. </w:t>
      </w:r>
      <w:hyperlink r:id="rId1257">
        <w:r>
          <w:rPr>
            <w:color w:val="0000FF"/>
            <w:u w:val="single" w:color="0000FF"/>
          </w:rPr>
          <w:t>https://doi.org/10.1016/J.JACIG.2024.100206</w:t>
        </w:r>
      </w:hyperlink>
      <w:hyperlink r:id="rId125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Agache, I., Lau, S., Akdis, C. A., Smolinska, S., Bonini, M., Cavkaytar, O., Flood, B., Gajdanowicz, P., Izuhara, K., Kalayci, O., </w:t>
      </w:r>
      <w:r>
        <w:t xml:space="preserve">Mosges, R., Palomares, O., Papadopoulos, N. </w:t>
      </w:r>
    </w:p>
    <w:p w:rsidR="00F15F71" w:rsidRDefault="00F974CD">
      <w:pPr>
        <w:spacing w:after="150" w:line="259" w:lineRule="auto"/>
        <w:ind w:left="651" w:right="841"/>
      </w:pPr>
      <w:r>
        <w:t xml:space="preserve">G., Sokolowska, M., Angier, E., Fernandez-Rivas, M., Pajno, G., Pfaar, O., Roberts, G. </w:t>
      </w:r>
    </w:p>
    <w:p w:rsidR="00F15F71" w:rsidRDefault="00F974CD">
      <w:pPr>
        <w:ind w:left="651" w:right="841"/>
      </w:pPr>
      <w:r>
        <w:t xml:space="preserve">C., … Jutel, M. (2019). EAACI Guidelines on Allergen Immunotherapy: House dust mitedriven allergic asthma. Allergy, 74(5), </w:t>
      </w:r>
      <w:r>
        <w:t xml:space="preserve">855–873. </w:t>
      </w:r>
      <w:hyperlink r:id="rId1259">
        <w:r>
          <w:rPr>
            <w:color w:val="0000FF"/>
            <w:u w:val="single" w:color="0000FF"/>
          </w:rPr>
          <w:t>https://doi.org/10.1111/ALL.13749</w:t>
        </w:r>
      </w:hyperlink>
      <w:hyperlink r:id="rId126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Fortescue, R., Kew, K. M., &amp; Leung, M. S. T. (2020). Sublingual immunotherapy for asthma. Cochrane Databas</w:t>
      </w:r>
      <w:r>
        <w:t xml:space="preserve">e of Systematic Reviews, 2020(9). </w:t>
      </w:r>
      <w:hyperlink r:id="rId1261">
        <w:r>
          <w:rPr>
            <w:color w:val="0000FF"/>
            <w:u w:val="single" w:color="0000FF"/>
          </w:rPr>
          <w:t>https://doi.org/10.1002/14651858.CD011293.pub3</w:t>
        </w:r>
      </w:hyperlink>
      <w:hyperlink r:id="rId126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Virchow, J. C., Backer, V., Kuna, P., Prieto, L., Nolte, H., Villesen, H. H., Ljørring, C., Riis, B., &amp; De Blay, F. (2016). Efficacy of a house dust mite sublingual allergen immunotherapy tablet in adults with allergic asthma: A randomized clinical trial. </w:t>
      </w:r>
      <w:r>
        <w:t xml:space="preserve">JAMA - </w:t>
      </w:r>
    </w:p>
    <w:p w:rsidR="00F15F71" w:rsidRDefault="00F974CD">
      <w:pPr>
        <w:ind w:left="651" w:right="841"/>
      </w:pPr>
      <w:r>
        <w:t xml:space="preserve">Journal </w:t>
      </w:r>
      <w:r>
        <w:tab/>
        <w:t xml:space="preserve">of </w:t>
      </w:r>
      <w:r>
        <w:tab/>
        <w:t xml:space="preserve">the </w:t>
      </w:r>
      <w:r>
        <w:tab/>
        <w:t xml:space="preserve">American </w:t>
      </w:r>
      <w:r>
        <w:tab/>
        <w:t xml:space="preserve">Medical </w:t>
      </w:r>
      <w:r>
        <w:tab/>
        <w:t xml:space="preserve">Association, </w:t>
      </w:r>
      <w:r>
        <w:tab/>
        <w:t xml:space="preserve">315(16), </w:t>
      </w:r>
      <w:r>
        <w:tab/>
        <w:t xml:space="preserve">1715–1725. </w:t>
      </w:r>
      <w:hyperlink r:id="rId1263">
        <w:r>
          <w:rPr>
            <w:color w:val="0000FF"/>
            <w:u w:val="single" w:color="0000FF"/>
          </w:rPr>
          <w:t>https://doi.org/10.1001/jama.2016.3964</w:t>
        </w:r>
      </w:hyperlink>
      <w:hyperlink r:id="rId126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6"/>
        <w:ind w:right="841" w:hanging="689"/>
      </w:pPr>
      <w:r>
        <w:t>Nakagome, K., &amp; Naga</w:t>
      </w:r>
      <w:r>
        <w:t xml:space="preserve">ta, M. (2021). Allergen Immunotherapy in Asthma. Pathogens (Basel, Switzerland), 10(11). </w:t>
      </w:r>
      <w:hyperlink r:id="rId1265">
        <w:r>
          <w:rPr>
            <w:color w:val="0000FF"/>
            <w:u w:val="single" w:color="0000FF"/>
          </w:rPr>
          <w:t>https://doi.org/10.3390/pathogens10111406</w:t>
        </w:r>
      </w:hyperlink>
      <w:hyperlink r:id="rId126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Vi</w:t>
      </w:r>
      <w:r>
        <w:t>rchow, J. C., Backer, V., Kuna, P., Prieto, L., Nolte, H., Villesen, H. H., Ljørring, C., Riis, B., &amp; De Blay, F. (2016). Efficacy of a house dust mite sublingual allergen immunotherapy tablet in adults with allergic asthma: A randomized clinical trial. JA</w:t>
      </w:r>
      <w:r>
        <w:t xml:space="preserve">MA - </w:t>
      </w:r>
    </w:p>
    <w:p w:rsidR="00F15F71" w:rsidRDefault="00F974CD">
      <w:pPr>
        <w:ind w:left="651" w:right="841"/>
      </w:pPr>
      <w:r>
        <w:t xml:space="preserve">Journal </w:t>
      </w:r>
      <w:r>
        <w:tab/>
        <w:t xml:space="preserve">of </w:t>
      </w:r>
      <w:r>
        <w:tab/>
        <w:t xml:space="preserve">the </w:t>
      </w:r>
      <w:r>
        <w:tab/>
        <w:t xml:space="preserve">American </w:t>
      </w:r>
      <w:r>
        <w:tab/>
        <w:t xml:space="preserve">Medical </w:t>
      </w:r>
      <w:r>
        <w:tab/>
        <w:t xml:space="preserve">Association, </w:t>
      </w:r>
      <w:r>
        <w:tab/>
        <w:t xml:space="preserve">315(16), </w:t>
      </w:r>
      <w:r>
        <w:tab/>
        <w:t xml:space="preserve">1715–1725. </w:t>
      </w:r>
      <w:hyperlink r:id="rId1267">
        <w:r>
          <w:rPr>
            <w:color w:val="0000FF"/>
            <w:u w:val="single" w:color="0000FF"/>
          </w:rPr>
          <w:t>https://doi.org/10.1001/jama.2016.3964</w:t>
        </w:r>
      </w:hyperlink>
      <w:hyperlink r:id="rId126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Tanaka, A., Tohda, Y.,</w:t>
      </w:r>
      <w:r>
        <w:t xml:space="preserve"> Okamiya, K., Azuma, R., Terada, I., &amp; Adachi, M. (2020). Efficacy and Safety of HDM SLIT Tablet in Japanese Adults with Allergic Asthma. The Journal of Allergy and Clinical Immunology. In Practice, 8(2), 710-720.e14. </w:t>
      </w:r>
      <w:hyperlink r:id="rId1269">
        <w:r>
          <w:rPr>
            <w:color w:val="0000FF"/>
            <w:u w:val="single" w:color="0000FF"/>
          </w:rPr>
          <w:t>https://doi.org/10.1016/J.JAIP.2019.09.002</w:t>
        </w:r>
      </w:hyperlink>
      <w:hyperlink r:id="rId127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Nishi, K., Yoshimura, C., Morita, K., Ishikawa, R., Toyokura, E., Nagasaki, T., Matsumoto, H., &amp; Nishizaka, Y. (2023). Effecti</w:t>
      </w:r>
      <w:r>
        <w:t xml:space="preserve">veness of bronchial thermoplasty in patients with asthma exhibiting overweight/obesity and low quality of life. The World </w:t>
      </w:r>
    </w:p>
    <w:p w:rsidR="00F15F71" w:rsidRDefault="00F974CD">
      <w:pPr>
        <w:ind w:left="651" w:right="841"/>
      </w:pPr>
      <w:r>
        <w:t xml:space="preserve">Allergy </w:t>
      </w:r>
      <w:r>
        <w:tab/>
        <w:t xml:space="preserve">Organization </w:t>
      </w:r>
      <w:r>
        <w:tab/>
        <w:t xml:space="preserve">Journal, </w:t>
      </w:r>
      <w:r>
        <w:tab/>
        <w:t xml:space="preserve">16(3), </w:t>
      </w:r>
      <w:r>
        <w:tab/>
        <w:t xml:space="preserve">100756. </w:t>
      </w:r>
      <w:hyperlink r:id="rId1271">
        <w:r>
          <w:rPr>
            <w:color w:val="0000FF"/>
            <w:u w:val="single" w:color="0000FF"/>
          </w:rPr>
          <w:t>https://doi.org/10.1016/j.waojou.2023.100756</w:t>
        </w:r>
      </w:hyperlink>
      <w:hyperlink r:id="rId127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Madsen, H., Henriksen, D. P., Backer, V., Siersted, H. C., Bjerring, N., &amp; Ulrik, C. S. (2021). Efficacy of bronchial thermoplasty in patients wit</w:t>
      </w:r>
      <w:r>
        <w:t xml:space="preserve">h severe asthma. Journal of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Asthma, 58(2), 216–222. </w:t>
      </w:r>
      <w:hyperlink r:id="rId1273">
        <w:r>
          <w:rPr>
            <w:color w:val="0000FF"/>
            <w:u w:val="single" w:color="0000FF"/>
          </w:rPr>
          <w:t>https://doi.org/10.1080/02770903.2019.1678636</w:t>
        </w:r>
      </w:hyperlink>
      <w:hyperlink r:id="rId127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Bonta, P. I., Chanez, P., </w:t>
      </w:r>
      <w:r>
        <w:t xml:space="preserve">Annema, J. T., Shah, P. L., &amp; Niven, R. (2018). Bronchial Thermoplasty in Severe Asthma: Best Practice Recommendations from an Expert Panel. Respiration, 95(5), 289–300. </w:t>
      </w:r>
      <w:hyperlink r:id="rId1275">
        <w:r>
          <w:rPr>
            <w:color w:val="0000FF"/>
            <w:u w:val="single" w:color="0000FF"/>
          </w:rPr>
          <w:t>https://doi.org/10.1159/0</w:t>
        </w:r>
      </w:hyperlink>
      <w:hyperlink r:id="rId1276">
        <w:r>
          <w:rPr>
            <w:color w:val="0000FF"/>
            <w:u w:val="single" w:color="0000FF"/>
          </w:rPr>
          <w:t>00488291</w:t>
        </w:r>
      </w:hyperlink>
      <w:hyperlink r:id="rId127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Burn, J., Sims, A. J., Patrick, H., Heaney, L. G., &amp; Niven, R. M. (2019). Efficacy and safety of bronchial thermoplasty in clinical practice: a pros</w:t>
      </w:r>
      <w:r>
        <w:t xml:space="preserve">pective, longitudinal, cohort study using evidence from the UK Severe Asthma Registry. BMJ Open, 9(6). </w:t>
      </w:r>
      <w:hyperlink r:id="rId1278">
        <w:r>
          <w:rPr>
            <w:color w:val="0000FF"/>
            <w:u w:val="single" w:color="0000FF"/>
          </w:rPr>
          <w:t>https://doi.org/10.1136/BMJOPEN</w:t>
        </w:r>
      </w:hyperlink>
      <w:hyperlink r:id="rId1279">
        <w:r>
          <w:rPr>
            <w:color w:val="0000FF"/>
            <w:u w:val="single" w:color="0000FF"/>
          </w:rPr>
          <w:t>-</w:t>
        </w:r>
      </w:hyperlink>
      <w:hyperlink r:id="rId1280">
        <w:r>
          <w:rPr>
            <w:color w:val="0000FF"/>
            <w:u w:val="single" w:color="0000FF"/>
          </w:rPr>
          <w:t>2018</w:t>
        </w:r>
      </w:hyperlink>
      <w:hyperlink r:id="rId1281">
        <w:r>
          <w:rPr>
            <w:color w:val="0000FF"/>
            <w:u w:val="single" w:color="0000FF"/>
          </w:rPr>
          <w:t>-</w:t>
        </w:r>
      </w:hyperlink>
      <w:hyperlink r:id="rId1282">
        <w:r>
          <w:rPr>
            <w:color w:val="0000FF"/>
            <w:u w:val="single" w:color="0000FF"/>
          </w:rPr>
          <w:t>026742</w:t>
        </w:r>
      </w:hyperlink>
      <w:hyperlink r:id="rId128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4"/>
        <w:ind w:right="841" w:hanging="689"/>
      </w:pPr>
      <w:r>
        <w:t xml:space="preserve">Madan, K., Mittal, S., Suri, T. M., Jain, A., Mohan, A., Hadda, V., Tiwari, P., Guleria, R., Talwar, D., Chaudhri, S., Singh, V., Swarnakar, R., Bharti, S. J., Garg, R., Gupta, N., </w:t>
      </w:r>
    </w:p>
    <w:p w:rsidR="00F15F71" w:rsidRDefault="00F974CD">
      <w:pPr>
        <w:ind w:left="651" w:right="841"/>
      </w:pPr>
      <w:r>
        <w:t>Kumar, V., Agarwal, R., Aggarwal, A. N., Ayub, I. I., … Venk</w:t>
      </w:r>
      <w:r>
        <w:t xml:space="preserve">atnarayan, K. (2020). Bronchial thermoplasty for severe asthma: A position statement of the Indian chest society. Lung India : Official Organ of Indian Chest Society, 37(1), 86–96. </w:t>
      </w:r>
      <w:hyperlink r:id="rId1284">
        <w:r>
          <w:rPr>
            <w:color w:val="0000FF"/>
            <w:u w:val="single" w:color="0000FF"/>
          </w:rPr>
          <w:t>https</w:t>
        </w:r>
        <w:r>
          <w:rPr>
            <w:color w:val="0000FF"/>
            <w:u w:val="single" w:color="0000FF"/>
          </w:rPr>
          <w:t>://doi.org/10.4103/LUNGINDIA.LUNGINDIA_418_19</w:t>
        </w:r>
      </w:hyperlink>
      <w:hyperlink r:id="rId128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Kuklina, G. M., Sivokozov, I. V., Makaryants, N. N., &amp; Shmelev, E. I. (2020). Successful Use of Bronchial Thermoplastics in a Female Patien</w:t>
      </w:r>
      <w:r>
        <w:t xml:space="preserve">t with Severe Bronchial Asthma. Doctor.Ru, 19(11), 38–41. </w:t>
      </w:r>
      <w:hyperlink r:id="rId1286">
        <w:r>
          <w:rPr>
            <w:color w:val="0000FF"/>
            <w:u w:val="single" w:color="0000FF"/>
          </w:rPr>
          <w:t>https://doi.org/10.31550/1727</w:t>
        </w:r>
      </w:hyperlink>
      <w:hyperlink r:id="rId1287">
        <w:r>
          <w:rPr>
            <w:color w:val="0000FF"/>
            <w:u w:val="single" w:color="0000FF"/>
          </w:rPr>
          <w:t>-</w:t>
        </w:r>
      </w:hyperlink>
      <w:hyperlink r:id="rId1288">
        <w:r>
          <w:rPr>
            <w:color w:val="0000FF"/>
            <w:u w:val="single" w:color="0000FF"/>
          </w:rPr>
          <w:t>2378</w:t>
        </w:r>
      </w:hyperlink>
      <w:hyperlink r:id="rId1289">
        <w:r>
          <w:rPr>
            <w:color w:val="0000FF"/>
            <w:u w:val="single" w:color="0000FF"/>
          </w:rPr>
          <w:t>-</w:t>
        </w:r>
      </w:hyperlink>
      <w:hyperlink r:id="rId1290">
        <w:r>
          <w:rPr>
            <w:color w:val="0000FF"/>
            <w:u w:val="single" w:color="0000FF"/>
          </w:rPr>
          <w:t>2020</w:t>
        </w:r>
      </w:hyperlink>
      <w:hyperlink r:id="rId1291">
        <w:r>
          <w:rPr>
            <w:color w:val="0000FF"/>
            <w:u w:val="single" w:color="0000FF"/>
          </w:rPr>
          <w:t>-</w:t>
        </w:r>
      </w:hyperlink>
      <w:hyperlink r:id="rId1292">
        <w:r>
          <w:rPr>
            <w:color w:val="0000FF"/>
            <w:u w:val="single" w:color="0000FF"/>
          </w:rPr>
          <w:t>19</w:t>
        </w:r>
      </w:hyperlink>
      <w:hyperlink r:id="rId1293">
        <w:r>
          <w:rPr>
            <w:color w:val="0000FF"/>
            <w:u w:val="single" w:color="0000FF"/>
          </w:rPr>
          <w:t>-</w:t>
        </w:r>
      </w:hyperlink>
      <w:hyperlink r:id="rId1294">
        <w:r>
          <w:rPr>
            <w:color w:val="0000FF"/>
            <w:u w:val="single" w:color="0000FF"/>
          </w:rPr>
          <w:t>11</w:t>
        </w:r>
      </w:hyperlink>
      <w:hyperlink r:id="rId1295">
        <w:r>
          <w:rPr>
            <w:color w:val="0000FF"/>
            <w:u w:val="single" w:color="0000FF"/>
          </w:rPr>
          <w:t>-</w:t>
        </w:r>
      </w:hyperlink>
      <w:hyperlink r:id="rId1296">
        <w:r>
          <w:rPr>
            <w:color w:val="0000FF"/>
            <w:u w:val="single" w:color="0000FF"/>
          </w:rPr>
          <w:t>38</w:t>
        </w:r>
      </w:hyperlink>
      <w:hyperlink r:id="rId1297">
        <w:r>
          <w:rPr>
            <w:color w:val="0000FF"/>
            <w:u w:val="single" w:color="0000FF"/>
          </w:rPr>
          <w:t>-</w:t>
        </w:r>
      </w:hyperlink>
      <w:hyperlink r:id="rId1298">
        <w:r>
          <w:rPr>
            <w:color w:val="0000FF"/>
            <w:u w:val="single" w:color="0000FF"/>
          </w:rPr>
          <w:t>41</w:t>
        </w:r>
      </w:hyperlink>
      <w:hyperlink r:id="rId129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Hondras, M. A., Linde, K., &amp; Jones, A. P. (2005). Manual therapy for asthma. Cochrane Database of Systematic Reviews,</w:t>
      </w:r>
      <w:r>
        <w:t xml:space="preserve"> 2. https://doi.org/10.1002/14651858.cd001002.pub2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Santino, T. A., Chaves, G. S. S., Freitas, D. A., Fregonezi, G. A. F., &amp; Mendonça, K. M. P. P. (2020). Breathing exercises for adults with asthma. Cochrane Database of Systematic Reviews, 2020(3). </w:t>
      </w:r>
      <w:hyperlink r:id="rId1300">
        <w:r>
          <w:rPr>
            <w:color w:val="0000FF"/>
            <w:u w:val="single" w:color="0000FF"/>
          </w:rPr>
          <w:t>https://doi.org/10.1002/14651858.CD001277.pub4</w:t>
        </w:r>
      </w:hyperlink>
      <w:hyperlink r:id="rId130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Thomas, M. (2003). Breathing exercises and asthma. Thorax, 58(8), 649–650. </w:t>
      </w:r>
      <w:hyperlink r:id="rId1302">
        <w:r>
          <w:rPr>
            <w:color w:val="0000FF"/>
            <w:u w:val="single" w:color="0000FF"/>
          </w:rPr>
          <w:t>https://doi.org/10.1136/thorax.58.8.649</w:t>
        </w:r>
      </w:hyperlink>
      <w:hyperlink r:id="rId130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Prem, V., Sahoo, R. C., &amp; Adhikari, P. (2013). Comparison of the effects of Buteyko and pranayama breathi</w:t>
      </w:r>
      <w:r>
        <w:t xml:space="preserve">ng techniques on quality of life in patients with asthma - A randomized controlled trial. Clinical Rehabilitation, 27(2), 133–141. </w:t>
      </w:r>
      <w:hyperlink r:id="rId1304">
        <w:r>
          <w:rPr>
            <w:color w:val="0000FF"/>
            <w:u w:val="single" w:color="0000FF"/>
          </w:rPr>
          <w:t>https://doi.org/10.1177/0269215512450521</w:t>
        </w:r>
      </w:hyperlink>
      <w:hyperlink r:id="rId130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Vagedes, K., Kuderer, S., Ehmann, R., Kohl, M., Wildhaber, J., Jörres, R. A., &amp; Vagedes, J. (2024). Effect of Buteyko breathing technique on clinical and functional parameters in adult patients with asthma: a randomized</w:t>
      </w:r>
      <w:r>
        <w:t xml:space="preserve">, controlled study. European Journal of Medical Research, 29(1), 42. </w:t>
      </w:r>
      <w:hyperlink r:id="rId1306">
        <w:r>
          <w:rPr>
            <w:color w:val="0000FF"/>
            <w:u w:val="single" w:color="0000FF"/>
          </w:rPr>
          <w:t>https://doi.org/10.1186/s40001</w:t>
        </w:r>
      </w:hyperlink>
      <w:hyperlink r:id="rId1307">
        <w:r>
          <w:rPr>
            <w:color w:val="0000FF"/>
            <w:u w:val="single" w:color="0000FF"/>
          </w:rPr>
          <w:t>-</w:t>
        </w:r>
      </w:hyperlink>
      <w:hyperlink r:id="rId1308">
        <w:r>
          <w:rPr>
            <w:color w:val="0000FF"/>
            <w:u w:val="single" w:color="0000FF"/>
          </w:rPr>
          <w:t>023</w:t>
        </w:r>
      </w:hyperlink>
      <w:hyperlink r:id="rId1309">
        <w:r>
          <w:rPr>
            <w:color w:val="0000FF"/>
            <w:u w:val="single" w:color="0000FF"/>
          </w:rPr>
          <w:t>-</w:t>
        </w:r>
      </w:hyperlink>
      <w:hyperlink r:id="rId1310">
        <w:r>
          <w:rPr>
            <w:color w:val="0000FF"/>
            <w:u w:val="single" w:color="0000FF"/>
          </w:rPr>
          <w:t>01634</w:t>
        </w:r>
      </w:hyperlink>
      <w:hyperlink r:id="rId1311">
        <w:r>
          <w:rPr>
            <w:color w:val="0000FF"/>
            <w:u w:val="single" w:color="0000FF"/>
          </w:rPr>
          <w:t>-</w:t>
        </w:r>
      </w:hyperlink>
      <w:hyperlink r:id="rId1312">
        <w:r>
          <w:rPr>
            <w:color w:val="0000FF"/>
            <w:u w:val="single" w:color="0000FF"/>
          </w:rPr>
          <w:t>1</w:t>
        </w:r>
      </w:hyperlink>
      <w:hyperlink r:id="rId131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Cooper, S., Oborne, J., Newton, S., Harrison, V., Coon, J. T., Lewis, S., &amp; Tattersfield, A. (2003). Effect of two breathing exerci</w:t>
      </w:r>
      <w:r>
        <w:t xml:space="preserve">ses (Buteyko and pranayama) in asthma: a randomised </w:t>
      </w:r>
      <w:r>
        <w:tab/>
        <w:t xml:space="preserve">controlled </w:t>
      </w:r>
      <w:r>
        <w:tab/>
        <w:t xml:space="preserve">trial. </w:t>
      </w:r>
      <w:r>
        <w:tab/>
        <w:t xml:space="preserve">Thorax, </w:t>
      </w:r>
      <w:r>
        <w:tab/>
        <w:t xml:space="preserve">58(8), </w:t>
      </w:r>
      <w:r>
        <w:tab/>
        <w:t xml:space="preserve">674–679. </w:t>
      </w:r>
      <w:hyperlink r:id="rId1314">
        <w:r>
          <w:rPr>
            <w:color w:val="0000FF"/>
            <w:u w:val="single" w:color="0000FF"/>
          </w:rPr>
          <w:t>https://doi.org/10.1136/THORAX.58.8.674</w:t>
        </w:r>
      </w:hyperlink>
      <w:hyperlink r:id="rId131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Agarwal, D., Gupta, P. P., &amp; Sood, S. (2017). Assessment for Efficacy of Additional Breathing Exercises Over Improvement in Health Impairment Due to Asthma Assessed using St. George’s Respiratory Questionnaire. International Journal of Yoga, 10(3), 145– </w:t>
      </w:r>
      <w:r>
        <w:t xml:space="preserve">151. </w:t>
      </w:r>
      <w:hyperlink r:id="rId1316">
        <w:r>
          <w:rPr>
            <w:color w:val="0000FF"/>
            <w:u w:val="single" w:color="0000FF"/>
          </w:rPr>
          <w:t>https://doi.org/10.4103/0973</w:t>
        </w:r>
      </w:hyperlink>
      <w:hyperlink r:id="rId1317">
        <w:r>
          <w:rPr>
            <w:color w:val="0000FF"/>
            <w:u w:val="single" w:color="0000FF"/>
          </w:rPr>
          <w:t>-</w:t>
        </w:r>
      </w:hyperlink>
      <w:hyperlink r:id="rId1318">
        <w:r>
          <w:rPr>
            <w:color w:val="0000FF"/>
            <w:u w:val="single" w:color="0000FF"/>
          </w:rPr>
          <w:t>6131.213472</w:t>
        </w:r>
      </w:hyperlink>
      <w:hyperlink r:id="rId131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Sankar, J., &amp; Das, R. R. (2018). Asthma – A Disease of How We Breathe: Role of Breathing Exercises and Pranayam. Indian Journal of Pediatrics, 85(10), 905–910. </w:t>
      </w:r>
    </w:p>
    <w:p w:rsidR="00F15F71" w:rsidRDefault="00F974CD">
      <w:pPr>
        <w:spacing w:after="112" w:line="259" w:lineRule="auto"/>
        <w:ind w:left="641" w:right="50"/>
        <w:jc w:val="left"/>
      </w:pPr>
      <w:hyperlink r:id="rId1320">
        <w:r>
          <w:rPr>
            <w:color w:val="0000FF"/>
            <w:u w:val="single" w:color="0000FF"/>
          </w:rPr>
          <w:t>htt</w:t>
        </w:r>
        <w:r>
          <w:rPr>
            <w:color w:val="0000FF"/>
            <w:u w:val="single" w:color="0000FF"/>
          </w:rPr>
          <w:t>ps://doi.org/10.1007/s12098</w:t>
        </w:r>
      </w:hyperlink>
      <w:hyperlink r:id="rId1321">
        <w:r>
          <w:rPr>
            <w:color w:val="0000FF"/>
            <w:u w:val="single" w:color="0000FF"/>
          </w:rPr>
          <w:t>-</w:t>
        </w:r>
      </w:hyperlink>
      <w:hyperlink r:id="rId1322">
        <w:r>
          <w:rPr>
            <w:color w:val="0000FF"/>
            <w:u w:val="single" w:color="0000FF"/>
          </w:rPr>
          <w:t>017</w:t>
        </w:r>
      </w:hyperlink>
      <w:hyperlink r:id="rId1323">
        <w:r>
          <w:rPr>
            <w:color w:val="0000FF"/>
            <w:u w:val="single" w:color="0000FF"/>
          </w:rPr>
          <w:t>-</w:t>
        </w:r>
      </w:hyperlink>
      <w:hyperlink r:id="rId1324">
        <w:r>
          <w:rPr>
            <w:color w:val="0000FF"/>
            <w:u w:val="single" w:color="0000FF"/>
          </w:rPr>
          <w:t>2519</w:t>
        </w:r>
      </w:hyperlink>
      <w:hyperlink r:id="rId1325">
        <w:r>
          <w:rPr>
            <w:color w:val="0000FF"/>
            <w:u w:val="single" w:color="0000FF"/>
          </w:rPr>
          <w:t>-</w:t>
        </w:r>
      </w:hyperlink>
      <w:hyperlink r:id="rId1326">
        <w:r>
          <w:rPr>
            <w:color w:val="0000FF"/>
            <w:u w:val="single" w:color="0000FF"/>
          </w:rPr>
          <w:t>6</w:t>
        </w:r>
      </w:hyperlink>
      <w:hyperlink r:id="rId132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9"/>
        <w:ind w:right="841" w:hanging="689"/>
      </w:pPr>
      <w:r>
        <w:t>Burgess, J., Ekanayake, B., Lowe, A., Dunt, D</w:t>
      </w:r>
      <w:r>
        <w:t xml:space="preserve">., Thien, F., &amp; Dharmage, S. C. (2011). Systematic review of the effectiveness of breathing retraining in asthma management. Expert Review of Respiratory Medicine, 5(6), 789–807. https://doi.org/10.1586/ers.11.69 </w:t>
      </w:r>
    </w:p>
    <w:p w:rsidR="00F15F71" w:rsidRDefault="00F974CD">
      <w:pPr>
        <w:numPr>
          <w:ilvl w:val="0"/>
          <w:numId w:val="31"/>
        </w:numPr>
        <w:spacing w:after="119" w:line="259" w:lineRule="auto"/>
        <w:ind w:right="841" w:hanging="689"/>
      </w:pPr>
      <w:r>
        <w:t>Игнатова Г.Л., Антонов В.Н. Бронхиальная а</w:t>
      </w:r>
      <w:r>
        <w:t xml:space="preserve">стма у беременных. РМЖ, 2015,  №20 ,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с.1229-1232. </w:t>
      </w:r>
      <w:hyperlink r:id="rId1328">
        <w:r>
          <w:rPr>
            <w:color w:val="0000FF"/>
            <w:u w:val="single" w:color="0000FF"/>
          </w:rPr>
          <w:t>https</w:t>
        </w:r>
      </w:hyperlink>
      <w:hyperlink r:id="rId1329">
        <w:r>
          <w:rPr>
            <w:color w:val="0000FF"/>
            <w:u w:val="single" w:color="0000FF"/>
          </w:rPr>
          <w:t>://</w:t>
        </w:r>
      </w:hyperlink>
      <w:hyperlink r:id="rId1330">
        <w:r>
          <w:rPr>
            <w:color w:val="0000FF"/>
            <w:u w:val="single" w:color="0000FF"/>
          </w:rPr>
          <w:t>cyberleninka</w:t>
        </w:r>
      </w:hyperlink>
      <w:hyperlink r:id="rId1331">
        <w:r>
          <w:rPr>
            <w:color w:val="0000FF"/>
            <w:u w:val="single" w:color="0000FF"/>
          </w:rPr>
          <w:t>.</w:t>
        </w:r>
      </w:hyperlink>
      <w:hyperlink r:id="rId1332">
        <w:r>
          <w:rPr>
            <w:color w:val="0000FF"/>
            <w:u w:val="single" w:color="0000FF"/>
          </w:rPr>
          <w:t>ru</w:t>
        </w:r>
      </w:hyperlink>
      <w:hyperlink r:id="rId1333">
        <w:r>
          <w:rPr>
            <w:color w:val="0000FF"/>
            <w:u w:val="single" w:color="0000FF"/>
          </w:rPr>
          <w:t>/</w:t>
        </w:r>
      </w:hyperlink>
      <w:hyperlink r:id="rId1334">
        <w:r>
          <w:rPr>
            <w:color w:val="0000FF"/>
            <w:u w:val="single" w:color="0000FF"/>
          </w:rPr>
          <w:t>article</w:t>
        </w:r>
      </w:hyperlink>
      <w:hyperlink r:id="rId1335">
        <w:r>
          <w:rPr>
            <w:color w:val="0000FF"/>
            <w:u w:val="single" w:color="0000FF"/>
          </w:rPr>
          <w:t>/</w:t>
        </w:r>
      </w:hyperlink>
      <w:hyperlink r:id="rId1336">
        <w:r>
          <w:rPr>
            <w:color w:val="0000FF"/>
            <w:u w:val="single" w:color="0000FF"/>
          </w:rPr>
          <w:t>n</w:t>
        </w:r>
      </w:hyperlink>
      <w:hyperlink r:id="rId1337">
        <w:r>
          <w:rPr>
            <w:color w:val="0000FF"/>
            <w:u w:val="single" w:color="0000FF"/>
          </w:rPr>
          <w:t>/</w:t>
        </w:r>
      </w:hyperlink>
      <w:hyperlink r:id="rId1338">
        <w:r>
          <w:rPr>
            <w:color w:val="0000FF"/>
            <w:u w:val="single" w:color="0000FF"/>
          </w:rPr>
          <w:t>bronhialnaya</w:t>
        </w:r>
      </w:hyperlink>
      <w:hyperlink r:id="rId1339">
        <w:r>
          <w:rPr>
            <w:color w:val="0000FF"/>
            <w:u w:val="single" w:color="0000FF"/>
          </w:rPr>
          <w:t>-</w:t>
        </w:r>
      </w:hyperlink>
      <w:hyperlink r:id="rId1340">
        <w:r>
          <w:rPr>
            <w:color w:val="0000FF"/>
            <w:u w:val="single" w:color="0000FF"/>
          </w:rPr>
          <w:t>astma</w:t>
        </w:r>
      </w:hyperlink>
      <w:hyperlink r:id="rId1341">
        <w:r>
          <w:rPr>
            <w:color w:val="0000FF"/>
            <w:u w:val="single" w:color="0000FF"/>
          </w:rPr>
          <w:t>-</w:t>
        </w:r>
      </w:hyperlink>
      <w:hyperlink r:id="rId1342">
        <w:r>
          <w:rPr>
            <w:color w:val="0000FF"/>
            <w:u w:val="single" w:color="0000FF"/>
          </w:rPr>
          <w:t>i</w:t>
        </w:r>
      </w:hyperlink>
      <w:hyperlink r:id="rId1343">
        <w:r>
          <w:rPr>
            <w:color w:val="0000FF"/>
            <w:u w:val="single" w:color="0000FF"/>
          </w:rPr>
          <w:t>-</w:t>
        </w:r>
      </w:hyperlink>
      <w:hyperlink r:id="rId1344">
        <w:r>
          <w:rPr>
            <w:color w:val="0000FF"/>
            <w:u w:val="single" w:color="0000FF"/>
          </w:rPr>
          <w:t>beremennost</w:t>
        </w:r>
      </w:hyperlink>
      <w:hyperlink r:id="rId1345">
        <w:r>
          <w:rPr>
            <w:color w:val="0000FF"/>
            <w:u w:val="single" w:color="0000FF"/>
          </w:rPr>
          <w:t>-</w:t>
        </w:r>
      </w:hyperlink>
      <w:hyperlink r:id="rId1346">
        <w:r>
          <w:rPr>
            <w:color w:val="0000FF"/>
            <w:u w:val="single" w:color="0000FF"/>
          </w:rPr>
          <w:t>4</w:t>
        </w:r>
      </w:hyperlink>
      <w:hyperlink r:id="rId134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6" w:line="259" w:lineRule="auto"/>
        <w:ind w:right="841" w:hanging="689"/>
      </w:pPr>
      <w:r>
        <w:t xml:space="preserve">Masoli, M., Fabian, D., Holt, S., &amp; Beasley, R. (2004). The global burden of asthma: </w:t>
      </w:r>
    </w:p>
    <w:p w:rsidR="00F15F71" w:rsidRDefault="00F974CD">
      <w:pPr>
        <w:spacing w:after="113" w:line="259" w:lineRule="auto"/>
        <w:ind w:left="651" w:right="841"/>
      </w:pPr>
      <w:r>
        <w:t>executive summary of the GINA Dissemination Committee report. Allergy, 59(5), 469</w:t>
      </w:r>
      <w:r>
        <w:t>–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478. </w:t>
      </w:r>
      <w:hyperlink r:id="rId1348">
        <w:r>
          <w:rPr>
            <w:color w:val="0000FF"/>
            <w:u w:val="single" w:color="0000FF"/>
          </w:rPr>
          <w:t>https://doi.org/10.1111/J</w:t>
        </w:r>
      </w:hyperlink>
      <w:hyperlink r:id="rId1349">
        <w:r>
          <w:rPr>
            <w:color w:val="0000FF"/>
            <w:u w:val="single" w:color="0000FF"/>
          </w:rPr>
          <w:t>.1398</w:t>
        </w:r>
      </w:hyperlink>
      <w:hyperlink r:id="rId1350">
        <w:r>
          <w:rPr>
            <w:color w:val="0000FF"/>
            <w:u w:val="single" w:color="0000FF"/>
          </w:rPr>
          <w:t>-</w:t>
        </w:r>
      </w:hyperlink>
      <w:hyperlink r:id="rId1351">
        <w:r>
          <w:rPr>
            <w:color w:val="0000FF"/>
            <w:u w:val="single" w:color="0000FF"/>
          </w:rPr>
          <w:t>9995.2004.00526.X</w:t>
        </w:r>
      </w:hyperlink>
      <w:hyperlink r:id="rId135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Wang, H., Li, N., &amp; Huang, H. (2020). Asthma in Pregnancy: Pathophysiology, Diagnosis, Whole-Course Management, and</w:t>
      </w:r>
      <w:r>
        <w:t xml:space="preserve"> Medication Safety. Canadian Respiratory Journal, 2020. </w:t>
      </w:r>
      <w:hyperlink r:id="rId1353">
        <w:r>
          <w:rPr>
            <w:color w:val="0000FF"/>
            <w:u w:val="single" w:color="0000FF"/>
          </w:rPr>
          <w:t>https://doi.org/10.1155/2020/9046842</w:t>
        </w:r>
      </w:hyperlink>
      <w:hyperlink r:id="rId135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5"/>
        <w:ind w:right="841" w:hanging="689"/>
      </w:pPr>
      <w:r>
        <w:t xml:space="preserve">Alexander, S., Dodds, L., &amp; Armson, B. A. (1998). Perinatal outcomes in women with asthma during pregnancy. Obstetrics and Gynecology, 92(3), 435–440. </w:t>
      </w:r>
      <w:hyperlink r:id="rId1355">
        <w:r>
          <w:rPr>
            <w:color w:val="0000FF"/>
            <w:u w:val="single" w:color="0000FF"/>
          </w:rPr>
          <w:t>https</w:t>
        </w:r>
      </w:hyperlink>
      <w:hyperlink r:id="rId1356">
        <w:r>
          <w:rPr>
            <w:color w:val="0000FF"/>
            <w:u w:val="single" w:color="0000FF"/>
          </w:rPr>
          <w:t>://</w:t>
        </w:r>
      </w:hyperlink>
      <w:hyperlink r:id="rId1357">
        <w:r>
          <w:rPr>
            <w:color w:val="0000FF"/>
            <w:u w:val="single" w:color="0000FF"/>
          </w:rPr>
          <w:t>doi</w:t>
        </w:r>
      </w:hyperlink>
      <w:hyperlink r:id="rId1358">
        <w:r>
          <w:rPr>
            <w:color w:val="0000FF"/>
            <w:u w:val="single" w:color="0000FF"/>
          </w:rPr>
          <w:t>.</w:t>
        </w:r>
      </w:hyperlink>
      <w:hyperlink r:id="rId1359">
        <w:r>
          <w:rPr>
            <w:color w:val="0000FF"/>
            <w:u w:val="single" w:color="0000FF"/>
          </w:rPr>
          <w:t>org</w:t>
        </w:r>
      </w:hyperlink>
      <w:hyperlink r:id="rId1360">
        <w:r>
          <w:rPr>
            <w:color w:val="0000FF"/>
            <w:u w:val="single" w:color="0000FF"/>
          </w:rPr>
          <w:t>/10.1016/</w:t>
        </w:r>
      </w:hyperlink>
      <w:hyperlink r:id="rId1361">
        <w:r>
          <w:rPr>
            <w:color w:val="0000FF"/>
            <w:u w:val="single" w:color="0000FF"/>
          </w:rPr>
          <w:t>S</w:t>
        </w:r>
      </w:hyperlink>
      <w:hyperlink r:id="rId1362">
        <w:r>
          <w:rPr>
            <w:color w:val="0000FF"/>
            <w:u w:val="single" w:color="0000FF"/>
          </w:rPr>
          <w:t>0029</w:t>
        </w:r>
      </w:hyperlink>
      <w:hyperlink r:id="rId1363">
        <w:r>
          <w:rPr>
            <w:color w:val="0000FF"/>
            <w:u w:val="single" w:color="0000FF"/>
          </w:rPr>
          <w:t>-</w:t>
        </w:r>
      </w:hyperlink>
      <w:hyperlink r:id="rId1364">
        <w:r>
          <w:rPr>
            <w:color w:val="0000FF"/>
            <w:u w:val="single" w:color="0000FF"/>
          </w:rPr>
          <w:t>7844(98)00191</w:t>
        </w:r>
      </w:hyperlink>
      <w:hyperlink r:id="rId1365">
        <w:r>
          <w:rPr>
            <w:color w:val="0000FF"/>
            <w:u w:val="single" w:color="0000FF"/>
          </w:rPr>
          <w:t>-</w:t>
        </w:r>
      </w:hyperlink>
      <w:hyperlink r:id="rId1366">
        <w:r>
          <w:rPr>
            <w:color w:val="0000FF"/>
            <w:u w:val="single" w:color="0000FF"/>
          </w:rPr>
          <w:t>4</w:t>
        </w:r>
      </w:hyperlink>
      <w:hyperlink r:id="rId136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29"/>
        <w:ind w:right="841" w:hanging="689"/>
      </w:pPr>
      <w:r>
        <w:t xml:space="preserve">Андреева О.С. Особенности течения и лечения бронхиальной астмы в период беременности: Автореф. дис. … канд. мед. наук. СПб., 2006. 21 с. </w:t>
      </w:r>
    </w:p>
    <w:p w:rsidR="00F15F71" w:rsidRDefault="00F974CD">
      <w:pPr>
        <w:spacing w:after="2" w:line="356" w:lineRule="auto"/>
        <w:ind w:left="641" w:right="50"/>
        <w:jc w:val="left"/>
      </w:pPr>
      <w:hyperlink r:id="rId1368">
        <w:r>
          <w:rPr>
            <w:color w:val="0000FF"/>
            <w:u w:val="single" w:color="0000FF"/>
          </w:rPr>
          <w:t>https://dissercat.com/content/osobennosti</w:t>
        </w:r>
      </w:hyperlink>
      <w:hyperlink r:id="rId1369">
        <w:r>
          <w:rPr>
            <w:color w:val="0000FF"/>
            <w:u w:val="single" w:color="0000FF"/>
          </w:rPr>
          <w:t>-</w:t>
        </w:r>
      </w:hyperlink>
      <w:hyperlink r:id="rId1370">
        <w:r>
          <w:rPr>
            <w:color w:val="0000FF"/>
            <w:u w:val="single" w:color="0000FF"/>
          </w:rPr>
          <w:t>techeniya</w:t>
        </w:r>
      </w:hyperlink>
      <w:hyperlink r:id="rId1371">
        <w:r>
          <w:rPr>
            <w:color w:val="0000FF"/>
            <w:u w:val="single" w:color="0000FF"/>
          </w:rPr>
          <w:t>-</w:t>
        </w:r>
      </w:hyperlink>
      <w:hyperlink r:id="rId1372">
        <w:r>
          <w:rPr>
            <w:color w:val="0000FF"/>
            <w:u w:val="single" w:color="0000FF"/>
          </w:rPr>
          <w:t>i</w:t>
        </w:r>
      </w:hyperlink>
      <w:hyperlink r:id="rId1373">
        <w:r>
          <w:rPr>
            <w:color w:val="0000FF"/>
            <w:u w:val="single" w:color="0000FF"/>
          </w:rPr>
          <w:t>-</w:t>
        </w:r>
      </w:hyperlink>
      <w:hyperlink r:id="rId1374">
        <w:r>
          <w:rPr>
            <w:color w:val="0000FF"/>
            <w:u w:val="single" w:color="0000FF"/>
          </w:rPr>
          <w:t>lecheniya</w:t>
        </w:r>
      </w:hyperlink>
      <w:hyperlink r:id="rId1375">
        <w:r>
          <w:rPr>
            <w:color w:val="0000FF"/>
            <w:u w:val="single" w:color="0000FF"/>
          </w:rPr>
          <w:t>-</w:t>
        </w:r>
      </w:hyperlink>
      <w:hyperlink r:id="rId1376">
        <w:r>
          <w:rPr>
            <w:color w:val="0000FF"/>
            <w:u w:val="single" w:color="0000FF"/>
          </w:rPr>
          <w:t>bronkhialnoi</w:t>
        </w:r>
      </w:hyperlink>
      <w:hyperlink r:id="rId1377">
        <w:r>
          <w:rPr>
            <w:color w:val="0000FF"/>
            <w:u w:val="single" w:color="0000FF"/>
          </w:rPr>
          <w:t>-</w:t>
        </w:r>
      </w:hyperlink>
      <w:hyperlink r:id="rId1378">
        <w:r>
          <w:rPr>
            <w:color w:val="0000FF"/>
            <w:u w:val="single" w:color="0000FF"/>
          </w:rPr>
          <w:t>astmy</w:t>
        </w:r>
      </w:hyperlink>
      <w:hyperlink r:id="rId1379">
        <w:r>
          <w:rPr>
            <w:color w:val="0000FF"/>
            <w:u w:val="single" w:color="0000FF"/>
          </w:rPr>
          <w:t>-</w:t>
        </w:r>
      </w:hyperlink>
      <w:hyperlink r:id="rId1380">
        <w:r>
          <w:rPr>
            <w:color w:val="0000FF"/>
            <w:u w:val="single" w:color="0000FF"/>
          </w:rPr>
          <w:t>v</w:t>
        </w:r>
      </w:hyperlink>
      <w:hyperlink r:id="rId1381"/>
      <w:hyperlink r:id="rId1382">
        <w:r>
          <w:rPr>
            <w:color w:val="0000FF"/>
            <w:u w:val="single" w:color="0000FF"/>
          </w:rPr>
          <w:t>period</w:t>
        </w:r>
      </w:hyperlink>
      <w:hyperlink r:id="rId1383">
        <w:r>
          <w:rPr>
            <w:color w:val="0000FF"/>
            <w:u w:val="single" w:color="0000FF"/>
          </w:rPr>
          <w:t>-</w:t>
        </w:r>
      </w:hyperlink>
      <w:hyperlink r:id="rId1384">
        <w:r>
          <w:rPr>
            <w:color w:val="0000FF"/>
            <w:u w:val="single" w:color="0000FF"/>
          </w:rPr>
          <w:t>beremennosti</w:t>
        </w:r>
      </w:hyperlink>
      <w:hyperlink r:id="rId1385">
        <w:r>
          <w:rPr>
            <w:color w:val="0000FF"/>
            <w:u w:val="single" w:color="0000FF"/>
          </w:rPr>
          <w:t>-</w:t>
        </w:r>
      </w:hyperlink>
      <w:hyperlink r:id="rId1386">
        <w:r>
          <w:rPr>
            <w:color w:val="0000FF"/>
            <w:u w:val="single" w:color="0000FF"/>
          </w:rPr>
          <w:t>0</w:t>
        </w:r>
      </w:hyperlink>
      <w:hyperlink r:id="rId138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Vyawahare, A. P., Gaidhane, A., &amp; Wandile, B. (2023). Asthma in Pregnancy: A Critical Review of Impact, Management, and Outcomes. Cureus, 15(12), e50094. </w:t>
      </w:r>
      <w:hyperlink r:id="rId1388">
        <w:r>
          <w:rPr>
            <w:color w:val="0000FF"/>
            <w:u w:val="single" w:color="0000FF"/>
          </w:rPr>
          <w:t>https://doi.org/10.7759/cureu</w:t>
        </w:r>
        <w:r>
          <w:rPr>
            <w:color w:val="0000FF"/>
            <w:u w:val="single" w:color="0000FF"/>
          </w:rPr>
          <w:t>s.50094</w:t>
        </w:r>
      </w:hyperlink>
      <w:hyperlink r:id="rId138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6" w:line="259" w:lineRule="auto"/>
        <w:ind w:right="841" w:hanging="689"/>
      </w:pPr>
      <w:r>
        <w:t xml:space="preserve">Giles W., &amp; Murphy V. (2013). Asthma in pregnancy: a review. Obstetric Medicine, 6(2),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107–110. </w:t>
      </w:r>
      <w:hyperlink r:id="rId1390">
        <w:r>
          <w:rPr>
            <w:color w:val="0000FF"/>
            <w:u w:val="single" w:color="0000FF"/>
          </w:rPr>
          <w:t>https://doi.org/10.1258/OM.2012.120008</w:t>
        </w:r>
      </w:hyperlink>
      <w:hyperlink r:id="rId139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Rohrer, V., &amp; Schmidt-Trucksäss, A. (2014). [Impact of exercise, sport and rehabilitation therapy in asthma and COPD]. Therapeutische Umschau. Revue Therapeut</w:t>
      </w:r>
      <w:r>
        <w:t xml:space="preserve">ique, 71(5), 295–300. </w:t>
      </w:r>
      <w:hyperlink r:id="rId1392">
        <w:r>
          <w:rPr>
            <w:color w:val="0000FF"/>
            <w:u w:val="single" w:color="0000FF"/>
          </w:rPr>
          <w:t>https://doi.org/10.1024/0040</w:t>
        </w:r>
      </w:hyperlink>
      <w:hyperlink r:id="rId1393">
        <w:r>
          <w:rPr>
            <w:color w:val="0000FF"/>
            <w:u w:val="single" w:color="0000FF"/>
          </w:rPr>
          <w:t>-</w:t>
        </w:r>
      </w:hyperlink>
      <w:hyperlink r:id="rId1394">
        <w:r>
          <w:rPr>
            <w:color w:val="0000FF"/>
            <w:u w:val="single" w:color="0000FF"/>
          </w:rPr>
          <w:t>5930/A000516</w:t>
        </w:r>
      </w:hyperlink>
      <w:hyperlink r:id="rId139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Thomas, M. (2006). Allergic rhinitis: evidence for impact on asthma. BMC Pulmonary Medicine, 6 Suppl 1(Suppl 1). </w:t>
      </w:r>
      <w:hyperlink r:id="rId1396">
        <w:r>
          <w:rPr>
            <w:color w:val="0000FF"/>
            <w:u w:val="single" w:color="0000FF"/>
          </w:rPr>
          <w:t>https://doi.org/10.1186/1471</w:t>
        </w:r>
      </w:hyperlink>
      <w:hyperlink r:id="rId1397">
        <w:r>
          <w:rPr>
            <w:color w:val="0000FF"/>
            <w:u w:val="single" w:color="0000FF"/>
          </w:rPr>
          <w:t>-</w:t>
        </w:r>
      </w:hyperlink>
      <w:hyperlink r:id="rId1398">
        <w:r>
          <w:rPr>
            <w:color w:val="0000FF"/>
            <w:u w:val="single" w:color="0000FF"/>
          </w:rPr>
          <w:t>2466</w:t>
        </w:r>
      </w:hyperlink>
      <w:hyperlink r:id="rId1399">
        <w:r>
          <w:rPr>
            <w:color w:val="0000FF"/>
            <w:u w:val="single" w:color="0000FF"/>
          </w:rPr>
          <w:t>-</w:t>
        </w:r>
      </w:hyperlink>
      <w:hyperlink r:id="rId1400">
        <w:r>
          <w:rPr>
            <w:color w:val="0000FF"/>
            <w:u w:val="single" w:color="0000FF"/>
          </w:rPr>
          <w:t>6</w:t>
        </w:r>
      </w:hyperlink>
      <w:hyperlink r:id="rId1401">
        <w:r>
          <w:rPr>
            <w:color w:val="0000FF"/>
            <w:u w:val="single" w:color="0000FF"/>
          </w:rPr>
          <w:t>-</w:t>
        </w:r>
      </w:hyperlink>
      <w:hyperlink r:id="rId1402">
        <w:r>
          <w:rPr>
            <w:color w:val="0000FF"/>
            <w:u w:val="single" w:color="0000FF"/>
          </w:rPr>
          <w:t>S1</w:t>
        </w:r>
      </w:hyperlink>
      <w:hyperlink r:id="rId1403">
        <w:r>
          <w:rPr>
            <w:color w:val="0000FF"/>
            <w:u w:val="single" w:color="0000FF"/>
          </w:rPr>
          <w:t>-</w:t>
        </w:r>
      </w:hyperlink>
      <w:hyperlink r:id="rId1404">
        <w:r>
          <w:rPr>
            <w:color w:val="0000FF"/>
            <w:u w:val="single" w:color="0000FF"/>
          </w:rPr>
          <w:t>S4</w:t>
        </w:r>
      </w:hyperlink>
      <w:hyperlink r:id="rId140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Wise, S. K., Lin, S. Y., Toskala, E., Orlandi, R. R., Akdis, C. A., Alt, J. A., Azar, A., Baroody, F. M., Bachert, C., Canonica, G. W., Chacko, T., Cingi, C., Ciprandi, G., Corey, </w:t>
      </w:r>
    </w:p>
    <w:p w:rsidR="00F15F71" w:rsidRDefault="00F974CD">
      <w:pPr>
        <w:spacing w:after="113" w:line="259" w:lineRule="auto"/>
        <w:ind w:left="651" w:right="841"/>
      </w:pPr>
      <w:r>
        <w:t>J., Cox, L. S., Creticos</w:t>
      </w:r>
      <w:r>
        <w:t xml:space="preserve">, P. S., Custovic, A., Damask, C., DeConde, A., … Zacharek, M. </w:t>
      </w:r>
    </w:p>
    <w:p w:rsidR="00F15F71" w:rsidRDefault="00F974CD">
      <w:pPr>
        <w:spacing w:after="116" w:line="259" w:lineRule="auto"/>
        <w:ind w:left="651" w:right="841"/>
      </w:pPr>
      <w:r>
        <w:t xml:space="preserve">(2018). International Consensus Statement on Allergy and Rhinology: Allergic Rhinitis. </w:t>
      </w:r>
    </w:p>
    <w:p w:rsidR="00F15F71" w:rsidRDefault="00F974CD">
      <w:pPr>
        <w:ind w:left="651" w:right="841"/>
      </w:pPr>
      <w:r>
        <w:t xml:space="preserve">International </w:t>
      </w:r>
      <w:r>
        <w:tab/>
        <w:t xml:space="preserve">Forum </w:t>
      </w:r>
      <w:r>
        <w:tab/>
        <w:t xml:space="preserve">of </w:t>
      </w:r>
      <w:r>
        <w:tab/>
        <w:t xml:space="preserve">Allergy </w:t>
      </w:r>
      <w:r>
        <w:tab/>
        <w:t xml:space="preserve">&amp; </w:t>
      </w:r>
      <w:r>
        <w:tab/>
        <w:t xml:space="preserve">Rhinology, </w:t>
      </w:r>
      <w:r>
        <w:tab/>
        <w:t xml:space="preserve">8(2), </w:t>
      </w:r>
      <w:r>
        <w:tab/>
        <w:t xml:space="preserve">108–352. </w:t>
      </w:r>
      <w:hyperlink r:id="rId1406">
        <w:r>
          <w:rPr>
            <w:color w:val="0000FF"/>
            <w:u w:val="single" w:color="0000FF"/>
          </w:rPr>
          <w:t>https://doi.org/10.1002/ALR.22073</w:t>
        </w:r>
      </w:hyperlink>
      <w:hyperlink r:id="rId140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Vignola, A. M., Chanez, P., Godard, P., &amp; Bousquet, J. (1998). Relationships between rhinitis and asthma. Allergy, 53(9), 833–839. </w:t>
      </w:r>
      <w:hyperlink r:id="rId1408">
        <w:r>
          <w:rPr>
            <w:color w:val="0000FF"/>
            <w:u w:val="single" w:color="0000FF"/>
          </w:rPr>
          <w:t>https://doi.org/10.1111/J.1398</w:t>
        </w:r>
      </w:hyperlink>
      <w:hyperlink r:id="rId1409"/>
      <w:hyperlink r:id="rId1410">
        <w:r>
          <w:rPr>
            <w:color w:val="0000FF"/>
            <w:u w:val="single" w:color="0000FF"/>
          </w:rPr>
          <w:t>9995.1998.TB03988.X</w:t>
        </w:r>
      </w:hyperlink>
      <w:hyperlink r:id="rId141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Jacobsen, L., Niggemann, B., Dreborg, S., Ferdousi, H. A., Halken, S., Høst, A., Koivikko, A., Norberg, L. A., Valovirta, E., Wahn, U., &amp; Möller, C. (2007). Specific immunotherapy has long-term preventiv</w:t>
      </w:r>
      <w:r>
        <w:t xml:space="preserve">e effect of seasonal and perennial asthma: 10-year follow-up on the PAT study. Allergy, 62(8), 943–948. </w:t>
      </w:r>
      <w:hyperlink r:id="rId1412">
        <w:r>
          <w:rPr>
            <w:color w:val="0000FF"/>
            <w:u w:val="single" w:color="0000FF"/>
          </w:rPr>
          <w:t>https://doi.org/10.1111/J.1398</w:t>
        </w:r>
      </w:hyperlink>
      <w:hyperlink r:id="rId1413"/>
      <w:hyperlink r:id="rId1414">
        <w:r>
          <w:rPr>
            <w:color w:val="0000FF"/>
            <w:u w:val="single" w:color="0000FF"/>
          </w:rPr>
          <w:t>9995.2007.01451.X</w:t>
        </w:r>
      </w:hyperlink>
      <w:hyperlink r:id="rId141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Arshad, H., Lack, G., Durham, S. R., Penagos, M., Larenas-Linnemann, D., &amp; Halken, S. (</w:t>
      </w:r>
      <w:r>
        <w:t xml:space="preserve">2024). Prevention Is Better than Cure: Impact of Allergen Immunotherapy on the Progression of Airway Disease. The Journal of Allergy and Clinical Immunology. In Practice, 12(1). </w:t>
      </w:r>
      <w:hyperlink r:id="rId1416">
        <w:r>
          <w:rPr>
            <w:color w:val="0000FF"/>
            <w:u w:val="single" w:color="0000FF"/>
          </w:rPr>
          <w:t>https://doi.org/</w:t>
        </w:r>
        <w:r>
          <w:rPr>
            <w:color w:val="0000FF"/>
            <w:u w:val="single" w:color="0000FF"/>
          </w:rPr>
          <w:t>10.1016/J.JAIP.2023.10.013</w:t>
        </w:r>
      </w:hyperlink>
      <w:hyperlink r:id="rId141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3" w:line="259" w:lineRule="auto"/>
        <w:ind w:right="841" w:hanging="689"/>
      </w:pPr>
      <w:r>
        <w:t xml:space="preserve">Nilsson, L., Brockow, K., Alm, J., Cardona, V., Caubet, J. C., Gomes, E., Jenmalm, M. </w:t>
      </w:r>
    </w:p>
    <w:p w:rsidR="00F15F71" w:rsidRDefault="00F974CD">
      <w:pPr>
        <w:ind w:left="651" w:right="841"/>
      </w:pPr>
      <w:r>
        <w:t xml:space="preserve">C., Lau, S., Netterlid, E., Schwarze, J., Sheikh, A., </w:t>
      </w:r>
      <w:r>
        <w:t xml:space="preserve">Storsaeter, J., Skevaki, C., Terreehorst, I., &amp; Zanoni, G. (2017). Vaccination and allergy: EAACI position paper, practical aspects. </w:t>
      </w:r>
    </w:p>
    <w:p w:rsidR="00F15F71" w:rsidRDefault="00F974CD">
      <w:pPr>
        <w:ind w:left="651" w:right="841"/>
      </w:pPr>
      <w:r>
        <w:t>Pediatric Allergy and Immunology : Official Publication of the European Society of Pediatric Allergy and Immunology, 28(7)</w:t>
      </w:r>
      <w:r>
        <w:t xml:space="preserve">, 628–640. </w:t>
      </w:r>
      <w:hyperlink r:id="rId1418">
        <w:r>
          <w:rPr>
            <w:color w:val="0000FF"/>
            <w:u w:val="single" w:color="0000FF"/>
          </w:rPr>
          <w:t>https://doi.org/10.1111/PAI.12762</w:t>
        </w:r>
      </w:hyperlink>
      <w:hyperlink r:id="rId141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Gao, Y. dong, Xepapadaki, P., Cui, Y. wen, Stanic, B., Maurer, D. J., Bachert, C., Zhang, N., Finotto, S</w:t>
      </w:r>
      <w:r>
        <w:t>., Chalubinski, M., Lukkarinen, H., Passioti, M., Graser, A., Jartti, T., Kowalski, M., Ogulur, I., Shi, Z. wei, Akdis, M., Papadopoulos, N. G., &amp; Akdis, C. A. (2023). Effect of Haemophilus influenzae, Streptococcus pneumoniae and influenza vaccinations on</w:t>
      </w:r>
      <w:r>
        <w:t xml:space="preserve"> infections, immune response and asthma control in preschool children with asthma. Allergy, 78(6), 1473–1488. </w:t>
      </w:r>
      <w:hyperlink r:id="rId1420">
        <w:r>
          <w:rPr>
            <w:color w:val="0000FF"/>
            <w:u w:val="single" w:color="0000FF"/>
          </w:rPr>
          <w:t>https://doi.org/10.1111/ALL.15551</w:t>
        </w:r>
      </w:hyperlink>
      <w:hyperlink r:id="rId142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5"/>
        <w:ind w:right="841" w:hanging="689"/>
      </w:pPr>
      <w:r>
        <w:t xml:space="preserve">Zaidi, S. R., &amp; Blakey, J. D. (2019). Why are people with asthma susceptible to pneumonia? A review of factors related to upper airway bacteria. Respirology (Carlton, Vic.), 24(5), 423–430. </w:t>
      </w:r>
      <w:hyperlink r:id="rId1422">
        <w:r>
          <w:rPr>
            <w:color w:val="0000FF"/>
            <w:u w:val="single" w:color="0000FF"/>
          </w:rPr>
          <w:t>https</w:t>
        </w:r>
      </w:hyperlink>
      <w:hyperlink r:id="rId1423">
        <w:r>
          <w:rPr>
            <w:color w:val="0000FF"/>
            <w:u w:val="single" w:color="0000FF"/>
          </w:rPr>
          <w:t>://</w:t>
        </w:r>
      </w:hyperlink>
      <w:hyperlink r:id="rId1424">
        <w:r>
          <w:rPr>
            <w:color w:val="0000FF"/>
            <w:u w:val="single" w:color="0000FF"/>
          </w:rPr>
          <w:t>doi</w:t>
        </w:r>
      </w:hyperlink>
      <w:hyperlink r:id="rId1425">
        <w:r>
          <w:rPr>
            <w:color w:val="0000FF"/>
            <w:u w:val="single" w:color="0000FF"/>
          </w:rPr>
          <w:t>.</w:t>
        </w:r>
      </w:hyperlink>
      <w:hyperlink r:id="rId1426">
        <w:r>
          <w:rPr>
            <w:color w:val="0000FF"/>
            <w:u w:val="single" w:color="0000FF"/>
          </w:rPr>
          <w:t>org</w:t>
        </w:r>
      </w:hyperlink>
      <w:hyperlink r:id="rId1427">
        <w:r>
          <w:rPr>
            <w:color w:val="0000FF"/>
            <w:u w:val="single" w:color="0000FF"/>
          </w:rPr>
          <w:t>/10.1111/</w:t>
        </w:r>
      </w:hyperlink>
      <w:hyperlink r:id="rId1428">
        <w:r>
          <w:rPr>
            <w:color w:val="0000FF"/>
            <w:u w:val="single" w:color="0000FF"/>
          </w:rPr>
          <w:t>RESP</w:t>
        </w:r>
      </w:hyperlink>
      <w:hyperlink r:id="rId1429">
        <w:r>
          <w:rPr>
            <w:color w:val="0000FF"/>
            <w:u w:val="single" w:color="0000FF"/>
          </w:rPr>
          <w:t>.13528</w:t>
        </w:r>
      </w:hyperlink>
      <w:hyperlink r:id="rId143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66" w:line="259" w:lineRule="auto"/>
        <w:ind w:right="841" w:hanging="689"/>
      </w:pPr>
      <w:r>
        <w:t xml:space="preserve">Вакцинопрофилактика </w:t>
      </w:r>
      <w:r>
        <w:tab/>
        <w:t xml:space="preserve">пневмококковой </w:t>
      </w:r>
      <w:r>
        <w:tab/>
        <w:t xml:space="preserve">инфекции </w:t>
      </w:r>
      <w:r>
        <w:tab/>
        <w:t xml:space="preserve">у </w:t>
      </w:r>
      <w:r>
        <w:tab/>
        <w:t xml:space="preserve">детей </w:t>
      </w:r>
      <w:r>
        <w:tab/>
        <w:t xml:space="preserve">и </w:t>
      </w:r>
      <w:r>
        <w:tab/>
        <w:t xml:space="preserve">взрослых: </w:t>
      </w:r>
    </w:p>
    <w:p w:rsidR="00F15F71" w:rsidRDefault="00F974CD">
      <w:pPr>
        <w:ind w:left="651" w:right="841"/>
      </w:pPr>
      <w:r>
        <w:t>методические рекомендации / под ред. А.А. Баранова, Л.С. Намазовой-Барановой, Н.И. Брико; Союз педиатров России. Москва: ПедиатрЪ, 2023. 92 с.</w:t>
      </w:r>
      <w:hyperlink r:id="rId1431">
        <w:r>
          <w:t xml:space="preserve"> </w:t>
        </w:r>
      </w:hyperlink>
      <w:hyperlink r:id="rId1432">
        <w:r>
          <w:rPr>
            <w:color w:val="0000FF"/>
            <w:u w:val="single" w:color="0000FF"/>
          </w:rPr>
          <w:t>https://www.spr</w:t>
        </w:r>
      </w:hyperlink>
      <w:hyperlink r:id="rId1433"/>
      <w:hyperlink r:id="rId1434">
        <w:r>
          <w:rPr>
            <w:color w:val="0000FF"/>
            <w:u w:val="single" w:color="0000FF"/>
          </w:rPr>
          <w:t>journal.ru/757/</w:t>
        </w:r>
      </w:hyperlink>
      <w:hyperlink r:id="rId143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36"/>
        <w:ind w:right="841" w:hanging="689"/>
      </w:pPr>
      <w:r>
        <w:t>Pneumococcal vaccines WHO position paper--2012 - PubMed. (2012). Wk</w:t>
      </w:r>
      <w:r>
        <w:t xml:space="preserve">ly Epidemiol Rec. </w:t>
      </w:r>
      <w:hyperlink r:id="rId1436">
        <w:r>
          <w:rPr>
            <w:color w:val="0000FF"/>
            <w:u w:val="single" w:color="0000FF"/>
          </w:rPr>
          <w:t>https://pubmed.ncbi.nlm.nih.gov/24340399/</w:t>
        </w:r>
      </w:hyperlink>
      <w:hyperlink r:id="rId143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Чучалин А.Г., Биличенко Т.Н., Осипова Г.Л., Курбатова Е.А., Егорова Н.Б, Костинов М.П. Вакцинопрофилактика болезней органов дыхания в рамках первичной медико-санитарной помощи населению // Пульмонология 2015; 25(2). </w:t>
      </w:r>
    </w:p>
    <w:p w:rsidR="00F15F71" w:rsidRDefault="00F974CD">
      <w:pPr>
        <w:spacing w:after="115" w:line="259" w:lineRule="auto"/>
        <w:ind w:left="651" w:right="841"/>
      </w:pPr>
      <w:r>
        <w:t xml:space="preserve">Приложение. С. 4-19.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Capili, C. R., He</w:t>
      </w:r>
      <w:r>
        <w:t xml:space="preserve">ttinger, A., Rigelman-Hedberg, N., Fink, L., Boyce, T., Lahr, B., &amp; Juhn, Y. J. (2012). Increased risk of pertussis in patients with asthma. The Journal of Allergy and Clinical Immunology, 129(4), 957–963. </w:t>
      </w:r>
      <w:hyperlink r:id="rId1438">
        <w:r>
          <w:rPr>
            <w:color w:val="0000FF"/>
            <w:u w:val="single" w:color="0000FF"/>
          </w:rPr>
          <w:t>https://doi.org/10.1016/J.JACI.2011.11.020</w:t>
        </w:r>
      </w:hyperlink>
      <w:hyperlink r:id="rId1439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Buck, P. O., Meyers, J. L., Gordon, L. D., Parikh, R., Kurosky, S. K., &amp; Davis, K. L. (2017). Economic burden of diagnosed pertussis among</w:t>
      </w:r>
      <w:r>
        <w:t xml:space="preserve"> individuals with asthma or chronic obstructive pulmonary disease in the USA: an analysis of administrative claims. </w:t>
      </w:r>
    </w:p>
    <w:p w:rsidR="00F15F71" w:rsidRDefault="00F974CD">
      <w:pPr>
        <w:ind w:left="651" w:right="841"/>
      </w:pPr>
      <w:r>
        <w:t xml:space="preserve">Epidemiology </w:t>
      </w:r>
      <w:r>
        <w:tab/>
        <w:t xml:space="preserve">and </w:t>
      </w:r>
      <w:r>
        <w:tab/>
        <w:t xml:space="preserve">Infection, </w:t>
      </w:r>
      <w:r>
        <w:tab/>
        <w:t xml:space="preserve">145(10), </w:t>
      </w:r>
      <w:r>
        <w:tab/>
        <w:t xml:space="preserve">2109–2121. </w:t>
      </w:r>
      <w:hyperlink r:id="rId1440">
        <w:r>
          <w:rPr>
            <w:color w:val="0000FF"/>
            <w:u w:val="single" w:color="0000FF"/>
          </w:rPr>
          <w:t>https://doi.org/10.1017/S0</w:t>
        </w:r>
        <w:r>
          <w:rPr>
            <w:color w:val="0000FF"/>
            <w:u w:val="single" w:color="0000FF"/>
          </w:rPr>
          <w:t>950268817000887</w:t>
        </w:r>
      </w:hyperlink>
      <w:hyperlink r:id="rId1441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49" w:line="259" w:lineRule="auto"/>
        <w:ind w:right="841" w:hanging="689"/>
      </w:pPr>
      <w:r>
        <w:t xml:space="preserve">Harju, T. H., Leinonen, M., Nokso-Koivisto, J., Korhonen, T., Räty, R., He, Q., Hovi, T., </w:t>
      </w:r>
    </w:p>
    <w:p w:rsidR="00F15F71" w:rsidRDefault="00F974CD">
      <w:pPr>
        <w:ind w:left="651" w:right="841"/>
      </w:pPr>
      <w:r>
        <w:t>Mertsola, J., Bloigu, A., Rytilä, P., &amp; Saikku, P. (2006). Pathogenic bacteria and viru</w:t>
      </w:r>
      <w:r>
        <w:t xml:space="preserve">ses in induced sputum or pharyngeal secretions of adults with stable asthma. Thorax, 61(7), 579–584. </w:t>
      </w:r>
      <w:hyperlink r:id="rId1442">
        <w:r>
          <w:rPr>
            <w:color w:val="0000FF"/>
            <w:u w:val="single" w:color="0000FF"/>
          </w:rPr>
          <w:t>https://doi.org/10.1136/THX.2005.056291</w:t>
        </w:r>
      </w:hyperlink>
      <w:hyperlink r:id="rId144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Mbayei, S. A., Faulkner, A., Miner, C., Edge, K., Cruz, V., Peña, S. A., Kudish, K., Coleman, J., Pradhan, E., Thomas, S., Martin, S., &amp; Skoff, T. H. (2019). Severe Pertussis </w:t>
      </w:r>
    </w:p>
    <w:p w:rsidR="00F15F71" w:rsidRDefault="00F974CD">
      <w:pPr>
        <w:ind w:left="651" w:right="841"/>
      </w:pPr>
      <w:r>
        <w:t>Infections in the United States, 2011-2015. Clinical Infectious Diseases : A</w:t>
      </w:r>
      <w:r>
        <w:t xml:space="preserve">n Official Publication of the Infectious Diseases Society of America, 69(2), 218–226. </w:t>
      </w:r>
      <w:hyperlink r:id="rId1444">
        <w:r>
          <w:rPr>
            <w:color w:val="0000FF"/>
            <w:u w:val="single" w:color="0000FF"/>
          </w:rPr>
          <w:t>https://doi.org/10.1093/CID/CIY889</w:t>
        </w:r>
      </w:hyperlink>
      <w:hyperlink r:id="rId1445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Bateman, E. D., Bousquet, </w:t>
      </w:r>
      <w:r>
        <w:t xml:space="preserve">J., Keech, M. L., Busse, W. W., Clark, T. J. H., &amp; Pedersen, S. </w:t>
      </w:r>
    </w:p>
    <w:p w:rsidR="00F15F71" w:rsidRDefault="00F974CD">
      <w:pPr>
        <w:spacing w:after="114" w:line="259" w:lineRule="auto"/>
        <w:ind w:left="651" w:right="841"/>
      </w:pPr>
      <w:r>
        <w:t xml:space="preserve">E. (2007). The correlation between asthma control and health status: the GOAL study. </w:t>
      </w:r>
    </w:p>
    <w:p w:rsidR="00F15F71" w:rsidRDefault="00F974CD">
      <w:pPr>
        <w:ind w:left="651" w:right="841"/>
      </w:pPr>
      <w:r>
        <w:t xml:space="preserve">The </w:t>
      </w:r>
      <w:r>
        <w:tab/>
        <w:t xml:space="preserve">European </w:t>
      </w:r>
      <w:r>
        <w:tab/>
        <w:t xml:space="preserve">Respiratory </w:t>
      </w:r>
      <w:r>
        <w:tab/>
        <w:t xml:space="preserve">Journal, </w:t>
      </w:r>
      <w:r>
        <w:tab/>
        <w:t xml:space="preserve">29(1), </w:t>
      </w:r>
      <w:r>
        <w:tab/>
        <w:t xml:space="preserve">59–63. </w:t>
      </w:r>
      <w:hyperlink r:id="rId1446">
        <w:r>
          <w:rPr>
            <w:color w:val="0000FF"/>
            <w:u w:val="single" w:color="0000FF"/>
          </w:rPr>
          <w:t>https://doi.org/10.1183/09031936.00128505</w:t>
        </w:r>
      </w:hyperlink>
      <w:hyperlink r:id="rId1447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Sont, J. K. (1999). How do we monitor asthma control? Allergy, 54 Suppl 49(49), 68–73. </w:t>
      </w:r>
      <w:hyperlink r:id="rId1448">
        <w:r>
          <w:rPr>
            <w:color w:val="0000FF"/>
            <w:u w:val="single" w:color="0000FF"/>
          </w:rPr>
          <w:t>https://doi.org/10.1111/J.13</w:t>
        </w:r>
      </w:hyperlink>
      <w:hyperlink r:id="rId1449">
        <w:r>
          <w:rPr>
            <w:color w:val="0000FF"/>
            <w:u w:val="single" w:color="0000FF"/>
          </w:rPr>
          <w:t>98</w:t>
        </w:r>
      </w:hyperlink>
      <w:hyperlink r:id="rId1450">
        <w:r>
          <w:rPr>
            <w:color w:val="0000FF"/>
            <w:u w:val="single" w:color="0000FF"/>
          </w:rPr>
          <w:t>-</w:t>
        </w:r>
      </w:hyperlink>
      <w:hyperlink r:id="rId1451">
        <w:r>
          <w:rPr>
            <w:color w:val="0000FF"/>
            <w:u w:val="single" w:color="0000FF"/>
          </w:rPr>
          <w:t>9995.1999.TB04391.X</w:t>
        </w:r>
      </w:hyperlink>
      <w:hyperlink r:id="rId145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Schatz, M., Rachelefsky, G., &amp; Krishnan, J. A. (2009). Follow-up after acute asthma episodes: what improves future o</w:t>
      </w:r>
      <w:r>
        <w:t xml:space="preserve">utcomes? Proceedings of the American Thoracic Society, 6(4), 386–393. </w:t>
      </w:r>
      <w:hyperlink r:id="rId1453">
        <w:r>
          <w:rPr>
            <w:color w:val="0000FF"/>
            <w:u w:val="single" w:color="0000FF"/>
          </w:rPr>
          <w:t>https://doi.org/10.1513/PATS.P09ST6</w:t>
        </w:r>
      </w:hyperlink>
      <w:hyperlink r:id="rId145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Ducharme, F. M., &amp; Bhogal, S. K. (2008). The role of written action plans in childhood asthma. Current Opinion in Allergy and Clinical Immunology, 8(2), 177–188. </w:t>
      </w:r>
      <w:hyperlink r:id="rId1455">
        <w:r>
          <w:rPr>
            <w:color w:val="0000FF"/>
            <w:u w:val="single" w:color="0000FF"/>
          </w:rPr>
          <w:t>https://doi.org/10.1097/ACI.0B</w:t>
        </w:r>
        <w:r>
          <w:rPr>
            <w:color w:val="0000FF"/>
            <w:u w:val="single" w:color="0000FF"/>
          </w:rPr>
          <w:t>013E3282F7CD58</w:t>
        </w:r>
      </w:hyperlink>
      <w:hyperlink r:id="rId145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Gibson, P. G., &amp; Powell, H. (2004). Written action plans for asthma: an evidence-based review of the key components. Thorax, 59(2), 94–99. </w:t>
      </w:r>
      <w:hyperlink r:id="rId1457">
        <w:r>
          <w:rPr>
            <w:color w:val="0000FF"/>
            <w:u w:val="single" w:color="0000FF"/>
          </w:rPr>
          <w:t>https://doi.org/10.1136/THORAX.2003.011858</w:t>
        </w:r>
      </w:hyperlink>
      <w:hyperlink r:id="rId145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Al-Awaisheh, R. I., Alsayed, A. R., &amp; Basheti, I. A. (2023). Assessing the Pharmacist’s Role in Counseling Asthmatic Adults U</w:t>
      </w:r>
      <w:r>
        <w:t xml:space="preserve">sing the Correct Inhaler Technique and Its Effect on Asthma Control, Adherence, and Quality of Life. Patient Preference and Adherence, 17, 961–972. </w:t>
      </w:r>
      <w:hyperlink r:id="rId1459">
        <w:r>
          <w:rPr>
            <w:color w:val="0000FF"/>
            <w:u w:val="single" w:color="0000FF"/>
          </w:rPr>
          <w:t>https://doi.org/10.2147/PPA.S395258</w:t>
        </w:r>
      </w:hyperlink>
      <w:hyperlink r:id="rId146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Melani, A. S., Bonavia, M., Cilenti, V., Cinti, C., Lodi, M., Martucci, P., Serra, M., Scichilone, N., Sestini, P., Aliani, M., &amp; Neri, M. (2011). Inhaler mishandling remains common in real life and is associated with</w:t>
      </w:r>
      <w:r>
        <w:t xml:space="preserve"> reduced disease control. Respiratory Medicine, 105(6), 930–938. </w:t>
      </w:r>
      <w:hyperlink r:id="rId1461">
        <w:r>
          <w:rPr>
            <w:color w:val="0000FF"/>
            <w:u w:val="single" w:color="0000FF"/>
          </w:rPr>
          <w:t>https://doi.org/10.1016/J.RMED.2011.01.005</w:t>
        </w:r>
      </w:hyperlink>
      <w:hyperlink r:id="rId1462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Rodrigues Pacheco, D., </w:t>
      </w:r>
      <w:r>
        <w:t xml:space="preserve">Vieira, C., Freitas, I., Santos, J., Salgado, J., &amp; Lopes, P. (2023). Optimization of Inhalation Technique Knowledge in the Pharmacies of Matosinhos Municipality, Portugal: An Intervention Project. Cureus, 15(12), e50655. </w:t>
      </w:r>
      <w:hyperlink r:id="rId1463">
        <w:r>
          <w:rPr>
            <w:color w:val="0000FF"/>
            <w:u w:val="single" w:color="0000FF"/>
          </w:rPr>
          <w:t>https://doi.org/10.7759/cureus.50655</w:t>
        </w:r>
      </w:hyperlink>
      <w:hyperlink r:id="rId1464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Alotaibi, M. M., Hughes, L., &amp; Ford, W. R. (2023). Assessing Inhaler Techniques of Asthma Patients Using Aerosol Inhalation Monitors (AIM): </w:t>
      </w:r>
      <w:r>
        <w:t xml:space="preserve">A Cross-Sectional Study. Healthcare (Basel, Switzerland), 11(8). </w:t>
      </w:r>
      <w:hyperlink r:id="rId1465">
        <w:r>
          <w:rPr>
            <w:color w:val="0000FF"/>
            <w:u w:val="single" w:color="0000FF"/>
          </w:rPr>
          <w:t>https://doi.org/10.3390/healthcare11081125</w:t>
        </w:r>
      </w:hyperlink>
      <w:hyperlink r:id="rId146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Basheti, I. A., Reddel,</w:t>
      </w:r>
      <w:r>
        <w:t xml:space="preserve"> H. K., Armour, C. L., &amp; Bosnic-Anticevich, S. Z. (2007). Improved asthma outcomes with a simple inhaler technique intervention by community pharmacists. The Journal of Allergy and Clinical Immunology, 119(6), 1537–1538. </w:t>
      </w:r>
      <w:hyperlink r:id="rId1467">
        <w:r>
          <w:rPr>
            <w:color w:val="0000FF"/>
            <w:u w:val="single" w:color="0000FF"/>
          </w:rPr>
          <w:t>https://doi.org/10.1016/J.JACI.2007.02.037</w:t>
        </w:r>
      </w:hyperlink>
      <w:hyperlink r:id="rId146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Loke, Y. K., Blanco, P., Thavarajah, M., &amp; Wilson, A. M. (2015). Impact of Inhaled </w:t>
      </w:r>
    </w:p>
    <w:p w:rsidR="00F15F71" w:rsidRDefault="00F974CD">
      <w:pPr>
        <w:spacing w:after="114" w:line="259" w:lineRule="auto"/>
        <w:ind w:left="10" w:right="845"/>
        <w:jc w:val="right"/>
      </w:pPr>
      <w:r>
        <w:t>Corticosteroids on Growth in Children w</w:t>
      </w:r>
      <w:r>
        <w:t>ith Asthma: Systematic Review and Meta-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Analysis. PloS One, 10(7). </w:t>
      </w:r>
      <w:hyperlink r:id="rId1469">
        <w:r>
          <w:rPr>
            <w:color w:val="0000FF"/>
            <w:u w:val="single" w:color="0000FF"/>
          </w:rPr>
          <w:t>https://doi.org/10.1371/JOURNAL.PONE.0133428</w:t>
        </w:r>
      </w:hyperlink>
      <w:hyperlink r:id="rId147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Brown, P. H., B</w:t>
      </w:r>
      <w:r>
        <w:t xml:space="preserve">lundell, G., Greening, A. P., &amp; Crompton, G. K. (1991). Hypothalamopituitary-adrenal axis suppression in asthmatics inhaling high dose corticosteroids. Respiratory Medicine, 85(6), 501–510. </w:t>
      </w:r>
      <w:hyperlink r:id="rId1471">
        <w:r>
          <w:rPr>
            <w:color w:val="0000FF"/>
            <w:u w:val="single" w:color="0000FF"/>
          </w:rPr>
          <w:t>https://doi.org/10.1016/S0954</w:t>
        </w:r>
      </w:hyperlink>
      <w:hyperlink r:id="rId1472">
        <w:r>
          <w:rPr>
            <w:color w:val="0000FF"/>
            <w:u w:val="single" w:color="0000FF"/>
          </w:rPr>
          <w:t>-</w:t>
        </w:r>
      </w:hyperlink>
      <w:hyperlink r:id="rId1473">
        <w:r>
          <w:rPr>
            <w:color w:val="0000FF"/>
            <w:u w:val="single" w:color="0000FF"/>
          </w:rPr>
          <w:t>6111(06)80268</w:t>
        </w:r>
      </w:hyperlink>
      <w:hyperlink r:id="rId1474">
        <w:r>
          <w:rPr>
            <w:color w:val="0000FF"/>
            <w:u w:val="single" w:color="0000FF"/>
          </w:rPr>
          <w:t>-</w:t>
        </w:r>
      </w:hyperlink>
      <w:hyperlink r:id="rId1475">
        <w:r>
          <w:rPr>
            <w:color w:val="0000FF"/>
            <w:u w:val="single" w:color="0000FF"/>
          </w:rPr>
          <w:t>4</w:t>
        </w:r>
      </w:hyperlink>
      <w:hyperlink r:id="rId1476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Hagan, J. B., Samant, S. A., Volcheck, G. W., Li, J. T., Hagan, C. R., Erwin, P. J., &amp; Rank, M. A. (2014). The risk of asthma exacerbation a</w:t>
      </w:r>
      <w:r>
        <w:t xml:space="preserve">fter reducing inhaled corticosteroids: a systematic review and meta-analysis of randomized controlled trials. </w:t>
      </w:r>
    </w:p>
    <w:p w:rsidR="00F15F71" w:rsidRDefault="00F974CD">
      <w:pPr>
        <w:spacing w:after="112" w:line="259" w:lineRule="auto"/>
        <w:ind w:left="641" w:right="50"/>
        <w:jc w:val="left"/>
      </w:pPr>
      <w:r>
        <w:t xml:space="preserve">Allergy, 69(4), 510–516. </w:t>
      </w:r>
      <w:hyperlink r:id="rId1477">
        <w:r>
          <w:rPr>
            <w:color w:val="0000FF"/>
            <w:u w:val="single" w:color="0000FF"/>
          </w:rPr>
          <w:t>https://doi.org/10.1111/ALL.12368</w:t>
        </w:r>
      </w:hyperlink>
      <w:hyperlink r:id="rId1478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3" w:line="259" w:lineRule="auto"/>
        <w:ind w:right="841" w:hanging="689"/>
      </w:pPr>
      <w:r>
        <w:t xml:space="preserve">Hallstrand TS, Leuppi JD, Joos G, Hall GL, Carlsen K-H, Kaminsky DA, Coates AL, </w:t>
      </w:r>
    </w:p>
    <w:p w:rsidR="00F15F71" w:rsidRDefault="00F974CD">
      <w:pPr>
        <w:ind w:left="651" w:right="841"/>
      </w:pPr>
      <w:r>
        <w:t xml:space="preserve">Cockcroft DW, Culver BH, Diamant Z, Gauvreau GM, Horvath I, de Jongh FHC, Laube BL, Sterk PJ, Wanger J. </w:t>
      </w:r>
      <w:r>
        <w:t xml:space="preserve">The American Thoracic Society (ATS)/European Respiratory </w:t>
      </w:r>
    </w:p>
    <w:p w:rsidR="00F15F71" w:rsidRDefault="00F974CD">
      <w:pPr>
        <w:spacing w:after="115" w:line="259" w:lineRule="auto"/>
        <w:ind w:left="651" w:right="841"/>
      </w:pPr>
      <w:r>
        <w:t xml:space="preserve">Society (ERS) Bronchoprovocation Testing Task Force European Respiratory Journal </w:t>
      </w:r>
    </w:p>
    <w:p w:rsidR="00F15F71" w:rsidRDefault="00F974CD">
      <w:pPr>
        <w:spacing w:after="112" w:line="259" w:lineRule="auto"/>
        <w:ind w:left="651" w:right="841"/>
      </w:pPr>
      <w:r>
        <w:t xml:space="preserve">2018 52: 1801033; DOI: 10.1183/13993003.01033-2018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Quanjer PH, Stanojevic S, Cole TJ, et al. Multi-ethnic reference</w:t>
      </w:r>
      <w:r>
        <w:t xml:space="preserve"> values for spirometry for the 3-95-yr age range: the global lung function 2012 equations. Eur Respir J 2012; 40: 1324-1343.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Aaron SD, Vandemheen KL, FitzGerald JM, et al. Reevaluation of diagnosis in adults with physician-diagnosed asthma. JAMA 2017; 317</w:t>
      </w:r>
      <w:r>
        <w:t xml:space="preserve">: 269-279. </w:t>
      </w:r>
    </w:p>
    <w:p w:rsidR="00F15F71" w:rsidRDefault="00F974CD">
      <w:pPr>
        <w:numPr>
          <w:ilvl w:val="0"/>
          <w:numId w:val="31"/>
        </w:numPr>
        <w:spacing w:after="34"/>
        <w:ind w:right="841" w:hanging="689"/>
      </w:pPr>
      <w:r>
        <w:t xml:space="preserve">Терехова Е.П., Себекина О.В., Ненашева Н.М., Терехов Д.В. Правильный выбор ингаляционного устройства как фактор повышения приверженности назначенной терапии у пациента с бронхиальной астмой. Практическая аллергология. 2021. № 2, с.54–65.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Ненаш</w:t>
      </w:r>
      <w:r>
        <w:t xml:space="preserve">ева Н.М. Бронхиальная астма. Современный взгляд на проблему. М.: ГЭОТАРМедиа, 2018. 303 с.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Schatz, M., Sorkness, C. A., Li, J. T., Marcus, P., Murray, J. J., Nathan, R. A., Kosinski, M., Pendergraft, T. B., &amp; Jhingran, P. (2006). Asthma Control Test: reli</w:t>
      </w:r>
      <w:r>
        <w:t xml:space="preserve">ability, validity, and responsiveness in patients not previously followed by asthma specialists. The Journal of Allergy and Clinical Immunology, 117(3), 549–556. </w:t>
      </w:r>
      <w:hyperlink r:id="rId1479">
        <w:r>
          <w:rPr>
            <w:color w:val="0000FF"/>
            <w:u w:val="single" w:color="0000FF"/>
          </w:rPr>
          <w:t>https://doi.org/10.1016/J.JACI.2</w:t>
        </w:r>
        <w:r>
          <w:rPr>
            <w:color w:val="0000FF"/>
            <w:u w:val="single" w:color="0000FF"/>
          </w:rPr>
          <w:t>006.01.011</w:t>
        </w:r>
      </w:hyperlink>
      <w:hyperlink r:id="rId1480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spacing w:after="115" w:line="259" w:lineRule="auto"/>
        <w:ind w:right="841" w:hanging="689"/>
      </w:pPr>
      <w:r>
        <w:t xml:space="preserve">(PDF) Validity of the Asthma Control Test completed at home. (2008). Am J Manag Care. </w:t>
      </w:r>
    </w:p>
    <w:p w:rsidR="00F15F71" w:rsidRDefault="00F974CD">
      <w:pPr>
        <w:spacing w:after="2" w:line="356" w:lineRule="auto"/>
        <w:ind w:left="641" w:right="50"/>
        <w:jc w:val="left"/>
      </w:pPr>
      <w:hyperlink r:id="rId1481">
        <w:r>
          <w:rPr>
            <w:color w:val="0000FF"/>
            <w:u w:val="single" w:color="0000FF"/>
          </w:rPr>
          <w:t xml:space="preserve">https://www.researchgate.net/publication/5778277_Validity_of_the_Asthma_Control_Tes </w:t>
        </w:r>
      </w:hyperlink>
      <w:hyperlink r:id="rId1482">
        <w:r>
          <w:rPr>
            <w:color w:val="0000FF"/>
            <w:u w:val="single" w:color="0000FF"/>
          </w:rPr>
          <w:t>t_completed_at_home</w:t>
        </w:r>
      </w:hyperlink>
      <w:hyperlink r:id="rId1483">
        <w:r>
          <w:t xml:space="preserve"> </w:t>
        </w:r>
      </w:hyperlink>
    </w:p>
    <w:p w:rsidR="00F15F71" w:rsidRDefault="00F974CD">
      <w:pPr>
        <w:numPr>
          <w:ilvl w:val="0"/>
          <w:numId w:val="31"/>
        </w:numPr>
        <w:ind w:right="841" w:hanging="689"/>
      </w:pPr>
      <w:r>
        <w:t>Andrew H. Liu, Robert Zeiger et al. Development and cross-sectional validation of the Childhood Asthma Control Test. J. Allergy Clin.Imm</w:t>
      </w:r>
      <w:r>
        <w:t xml:space="preserve">unol. 2007. Vol. 119. P. 817–825.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Juniper E.F., O’Byrne P.M., Guyatt G.H. et al. Development and validation of a questionnaire to measure asthma control. Eur. Respir. J. 1999. Vol. 14. P. 902–907.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Chipps B, Zeiger RS, Murphy K, Mellon M, Schatz M, Kosins</w:t>
      </w:r>
      <w:r>
        <w:t xml:space="preserve">ki M, Lampl K, Ramachandran S. Longitudinal validation of the Test for Respiratory and Asthma Control in Kids in pediatric practices. Pediatrics. 2011. Vol. 127(3). P. 737-747.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>Haselkorn T, Fish JE, Zeiger RS, et al. Consistently very poorly controlled as</w:t>
      </w:r>
      <w:r>
        <w:t>thma, as defined by the impairment domain of the Expert Panel Report 3 guidelines, increases risk for future severe asthma exacerbations in The Epidemiology and Natural History of Asthma: Outcomes and Treatment Regimens (TENOR) study. J Allergy Clin Immuno</w:t>
      </w:r>
      <w:r>
        <w:t xml:space="preserve">l 2009. Vol. 124. P. 895-902. e891-894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Murray CS, Poletti G, Kebadze T, et al. Study of modifiable risk factors for asthma exacerbations: virus infection and allergen exposure increase the risk of asthma hospital admissions in children. Thorax 2006. Vol. </w:t>
      </w:r>
      <w:r>
        <w:t xml:space="preserve">61. P. 376-382. </w:t>
      </w:r>
    </w:p>
    <w:p w:rsidR="00F15F71" w:rsidRDefault="00F974CD">
      <w:pPr>
        <w:numPr>
          <w:ilvl w:val="0"/>
          <w:numId w:val="31"/>
        </w:numPr>
        <w:ind w:right="841" w:hanging="689"/>
      </w:pPr>
      <w:r>
        <w:t xml:space="preserve">Mazenq J, Dubus JC, Gaudart J, et al. City housing atmospheric pollutant impact on emergency visit for asthma: A classification and regression tree approach. Respir Med 2017. Vol. 132. P. 1-8. </w:t>
      </w:r>
      <w:r>
        <w:br w:type="page"/>
      </w:r>
    </w:p>
    <w:p w:rsidR="00F15F71" w:rsidRDefault="00F974CD">
      <w:pPr>
        <w:pStyle w:val="Heading1"/>
        <w:spacing w:after="152"/>
        <w:ind w:left="543" w:right="0"/>
        <w:jc w:val="left"/>
      </w:pPr>
      <w:bookmarkStart w:id="41" w:name="_Toc275198"/>
      <w:r>
        <w:t>Приложение А1. Состав рабочей группы по разр</w:t>
      </w:r>
      <w:r>
        <w:t xml:space="preserve">аботке и пересмотру </w:t>
      </w:r>
      <w:bookmarkEnd w:id="41"/>
    </w:p>
    <w:p w:rsidR="00F15F71" w:rsidRDefault="00F974CD">
      <w:pPr>
        <w:pStyle w:val="Heading1"/>
        <w:ind w:right="852"/>
      </w:pPr>
      <w:bookmarkStart w:id="42" w:name="_Toc275199"/>
      <w:r>
        <w:t>клинических рекомендаций</w:t>
      </w:r>
      <w:r>
        <w:rPr>
          <w:sz w:val="24"/>
        </w:rPr>
        <w:t xml:space="preserve"> </w:t>
      </w:r>
      <w:bookmarkEnd w:id="42"/>
    </w:p>
    <w:p w:rsidR="00F15F71" w:rsidRDefault="00F974CD">
      <w:pPr>
        <w:numPr>
          <w:ilvl w:val="0"/>
          <w:numId w:val="32"/>
        </w:numPr>
        <w:spacing w:after="34"/>
        <w:ind w:right="841" w:hanging="360"/>
      </w:pPr>
      <w:r>
        <w:t xml:space="preserve">Авдеев Сергей Николаевич, </w:t>
      </w:r>
      <w:r>
        <w:t>главный внештатный специалист пульмонолог Минздрава России, заведующий клиническим отделом ФГУ «НИИ Пульмонологии» ФМБА России, директор клиники пульмонологии и респираторной медицины ФГАОУ ВО Первого МГМУ им. И.М. Сеченова, заведующий кафедрой пульмонолог</w:t>
      </w:r>
      <w:r>
        <w:t xml:space="preserve">ии ФГАОУ ВО Первый МГМУ им. И.М. Сеченова Минздрава России (Сеченовский Университет), академик РАН, профессор, д.м.н. </w:t>
      </w:r>
    </w:p>
    <w:p w:rsidR="00F15F71" w:rsidRDefault="00F974CD">
      <w:pPr>
        <w:numPr>
          <w:ilvl w:val="0"/>
          <w:numId w:val="32"/>
        </w:numPr>
        <w:spacing w:after="33"/>
        <w:ind w:right="841" w:hanging="360"/>
      </w:pPr>
      <w:r>
        <w:t>Айсанов Заурбек Рамазанович, профессор кафедры пульмонологии Факультета Дополнительного Профессионального Образования ФГАОУ ВО РНИМУ им Н</w:t>
      </w:r>
      <w:r>
        <w:t xml:space="preserve">. И. Пирогова, профессор, д.м.н., член Российского респираторного общества </w:t>
      </w:r>
    </w:p>
    <w:p w:rsidR="00F15F71" w:rsidRDefault="00F974CD">
      <w:pPr>
        <w:numPr>
          <w:ilvl w:val="0"/>
          <w:numId w:val="32"/>
        </w:numPr>
        <w:spacing w:after="31"/>
        <w:ind w:right="841" w:hanging="360"/>
      </w:pPr>
      <w:r>
        <w:t xml:space="preserve">Архипов Владимир Владимирович, профессор кафедры клинической фармакологии и терапии ФГБОУ ДПО РМАНПО Минздрава России, д.м.н., член Российского респираторного общества </w:t>
      </w:r>
    </w:p>
    <w:p w:rsidR="00F15F71" w:rsidRDefault="00F974CD">
      <w:pPr>
        <w:numPr>
          <w:ilvl w:val="0"/>
          <w:numId w:val="32"/>
        </w:numPr>
        <w:spacing w:after="38"/>
        <w:ind w:right="841" w:hanging="360"/>
      </w:pPr>
      <w:r>
        <w:t>Астафьева Н</w:t>
      </w:r>
      <w:r>
        <w:t>аталья Григорьевна, главный внештатный специалист аллергологиммунолог Саратовской области, заведующая кафедрой клинической иммунологии и аллергологии ФГБОУ ВО Саратовский ГМУ им. В.И. Разумовского МЗ РФ, профессор, д.м.н., член Российской Ассоциации Аллерг</w:t>
      </w:r>
      <w:r>
        <w:t xml:space="preserve">ологов и Клинических Иммунологов </w:t>
      </w:r>
    </w:p>
    <w:p w:rsidR="00F15F71" w:rsidRDefault="00F974CD">
      <w:pPr>
        <w:numPr>
          <w:ilvl w:val="0"/>
          <w:numId w:val="32"/>
        </w:numPr>
        <w:spacing w:after="34"/>
        <w:ind w:right="841" w:hanging="360"/>
      </w:pPr>
      <w:r>
        <w:t>Баранов Александр Александрович, главный внештатный специалист педиатр Минздрава России, советник руководителя НИИ педиатрии и охраны здоровья детей НКЦ №2 ФГБНУ «РНЦХ им. акад. Б.В. Петровского», профессор кафедры педиатр</w:t>
      </w:r>
      <w:r>
        <w:t xml:space="preserve">ии и детской ревматологии ФГАОУ ВО Первый МГМУ им. И.М. Сеченова Минздрава России (Сеченовский Университет), академик РАН, профессор, д.м.н., почетный президент Союза педиатров России,  </w:t>
      </w:r>
    </w:p>
    <w:p w:rsidR="00F15F71" w:rsidRDefault="00F974CD">
      <w:pPr>
        <w:numPr>
          <w:ilvl w:val="0"/>
          <w:numId w:val="32"/>
        </w:numPr>
        <w:spacing w:after="31"/>
        <w:ind w:right="841" w:hanging="360"/>
      </w:pPr>
      <w:r>
        <w:t>Белевский Андрей Станиславович, главный внештатный специалист пульмон</w:t>
      </w:r>
      <w:r>
        <w:t xml:space="preserve">олог Департамента здравоохранения Москвы, заведующий кафедрой пульмонологии Факультета Дополнительного Профессионального Образования ФГАОУ ВО РНИМУ им. Н. И. Пирогова Минздрава России, профессор, д.м.н., президент Российского респираторного общества </w:t>
      </w:r>
    </w:p>
    <w:p w:rsidR="00F15F71" w:rsidRDefault="00F974CD">
      <w:pPr>
        <w:numPr>
          <w:ilvl w:val="0"/>
          <w:numId w:val="32"/>
        </w:numPr>
        <w:spacing w:after="33"/>
        <w:ind w:right="841" w:hanging="360"/>
      </w:pPr>
      <w:r>
        <w:t>Васил</w:t>
      </w:r>
      <w:r>
        <w:t xml:space="preserve">ьева Ольга Сергеевна, заведующая лабораторией экологозависимых и профессиональных легочных заболеваний ФГБУ «Научно-исследовательский институт пульмонологии» ФМБА России, д.м.н., член Российского респираторного общества </w:t>
      </w:r>
    </w:p>
    <w:p w:rsidR="00F15F71" w:rsidRDefault="00F974CD">
      <w:pPr>
        <w:numPr>
          <w:ilvl w:val="0"/>
          <w:numId w:val="32"/>
        </w:numPr>
        <w:spacing w:after="34"/>
        <w:ind w:right="841" w:hanging="360"/>
      </w:pPr>
      <w:r>
        <w:t>Вишнева Елена Александровна, профес</w:t>
      </w:r>
      <w:r>
        <w:t xml:space="preserve">сор РАН, пресс-секретарь Союза педиатров России, заместитель руководителя по науке НИИ педиатрии и охраны здоровья детей НКЦ №2 ФГБНУ «РНЦХ им. акад. Б.В. Петровского», профессор кафедры факультетской педиатрии педиатрического факультета ФГАОУ ВО РНИМУ им </w:t>
      </w:r>
      <w:r>
        <w:t xml:space="preserve">Н. И. Пирогова Минздрава России, д.м.н., член Российской Ассоциации Аллергологов и Клинических Иммунологов. </w:t>
      </w:r>
    </w:p>
    <w:p w:rsidR="00F15F71" w:rsidRDefault="00F974CD">
      <w:pPr>
        <w:numPr>
          <w:ilvl w:val="0"/>
          <w:numId w:val="32"/>
        </w:numPr>
        <w:spacing w:after="32"/>
        <w:ind w:right="841" w:hanging="360"/>
      </w:pPr>
      <w:r>
        <w:t>Геппе Наталия Анатольевна, заведующая кафедрой детских болезней лечебного факультета ФГАОУ ВО Первый МГМУ им. И.М. Сеченова Минздрава России (Сечен</w:t>
      </w:r>
      <w:r>
        <w:t xml:space="preserve">овский Университет), профессор, д.м.н. </w:t>
      </w:r>
    </w:p>
    <w:p w:rsidR="00F15F71" w:rsidRDefault="00F974CD">
      <w:pPr>
        <w:numPr>
          <w:ilvl w:val="0"/>
          <w:numId w:val="32"/>
        </w:numPr>
        <w:spacing w:after="31"/>
        <w:ind w:right="841" w:hanging="360"/>
      </w:pPr>
      <w:r>
        <w:t>Демко Ирина Владимировна, главный внештатный специалист пульмонолог Сибирского Федерального округа, главный внештатный специалист аллергологиммунолог Сибирского Федерального округа, заведующая кафедрой внутренних бол</w:t>
      </w:r>
      <w:r>
        <w:t>езней № 2 с курсом ПО ГБОУ ВО «Красноярский государственный медицинский университет им. профессора В. Ф. Войно-Ясенецкого» МЗ РФ, профессор, д.м.н., член Российской Ассоциации Аллергологов и Клинических Иммунологов, член Российского респираторного общества</w:t>
      </w:r>
      <w:r>
        <w:t xml:space="preserve"> </w:t>
      </w:r>
    </w:p>
    <w:p w:rsidR="00F15F71" w:rsidRDefault="00F974CD">
      <w:pPr>
        <w:numPr>
          <w:ilvl w:val="0"/>
          <w:numId w:val="32"/>
        </w:numPr>
        <w:spacing w:after="32"/>
        <w:ind w:right="841" w:hanging="360"/>
      </w:pPr>
      <w:r>
        <w:t xml:space="preserve">Емельянов Александр Викторович, заведующий кафедрой ФГБОУ ВО СЗГМУ им. И.И. Мечникова МЗ РФ, д.м.н., профессор, член Российского респираторного общества </w:t>
      </w:r>
    </w:p>
    <w:p w:rsidR="00F15F71" w:rsidRDefault="00F974CD">
      <w:pPr>
        <w:numPr>
          <w:ilvl w:val="0"/>
          <w:numId w:val="32"/>
        </w:numPr>
        <w:spacing w:after="34"/>
        <w:ind w:right="841" w:hanging="360"/>
      </w:pPr>
      <w:r>
        <w:t>Игнатова Галина Львовна, главный внештатный специалист пульмонолог Уральского Федерального округа, з</w:t>
      </w:r>
      <w:r>
        <w:t xml:space="preserve">аведующая кафедрой терапии института дополнительного профессионального образования ГБОУ ВПО «Южно-Уральский государственный медицинский университет» Минздрава России, профессор, д.м.н. </w:t>
      </w:r>
    </w:p>
    <w:p w:rsidR="00F15F71" w:rsidRDefault="00F974CD">
      <w:pPr>
        <w:numPr>
          <w:ilvl w:val="0"/>
          <w:numId w:val="32"/>
        </w:numPr>
        <w:spacing w:after="35"/>
        <w:ind w:right="841" w:hanging="360"/>
      </w:pPr>
      <w:r>
        <w:t xml:space="preserve">Ильина Наталья Ивановна, заместитель директора по клинической работе </w:t>
      </w:r>
      <w:r>
        <w:t xml:space="preserve">– главный врач ФГБУ «ГНЦ «Институт иммунологии» ФМБА России, профессор, д.м.н., вице-президент Российской Ассоциации Аллергологов и Клинических Иммунологов </w:t>
      </w:r>
    </w:p>
    <w:p w:rsidR="00F15F71" w:rsidRDefault="00F974CD">
      <w:pPr>
        <w:numPr>
          <w:ilvl w:val="0"/>
          <w:numId w:val="32"/>
        </w:numPr>
        <w:spacing w:after="34"/>
        <w:ind w:right="841" w:hanging="360"/>
      </w:pPr>
      <w:r>
        <w:t>Княжеская Надежда Павловна, доцент кафедры пульмонологии ФГАОУ ВО РНИМУ им. Н. И. Пирогова Минздрав</w:t>
      </w:r>
      <w:r>
        <w:t xml:space="preserve">а России, доцент, к.м.н., член Российского респираторного общества </w:t>
      </w:r>
    </w:p>
    <w:p w:rsidR="00F15F71" w:rsidRDefault="00F974CD">
      <w:pPr>
        <w:numPr>
          <w:ilvl w:val="0"/>
          <w:numId w:val="32"/>
        </w:numPr>
        <w:ind w:right="841" w:hanging="360"/>
      </w:pPr>
      <w:r>
        <w:t>Курбачева Оксана Михайловна, главный внештатный специалист аллергологиммунолог Центрального Федерального округа; профессор кафедры клинической аллергологии и иммунологии лечебного факульте</w:t>
      </w:r>
      <w:r>
        <w:t>та Московского государственного медико-стоматологического университета им. А.И. Евдокимова, заведующая отделением бронхиальной астмы ФГБУ «ГНЦ «Институт иммунологии» ФМБА России, профессор, д.м.н., член Президиума Российской Ассоциации Аллергологов и Клини</w:t>
      </w:r>
      <w:r>
        <w:t xml:space="preserve">ческих Иммунологов </w:t>
      </w:r>
    </w:p>
    <w:p w:rsidR="00F15F71" w:rsidRDefault="00F974CD">
      <w:pPr>
        <w:numPr>
          <w:ilvl w:val="0"/>
          <w:numId w:val="32"/>
        </w:numPr>
        <w:spacing w:after="36"/>
        <w:ind w:right="841" w:hanging="360"/>
      </w:pPr>
      <w:r>
        <w:t>Лещенко Игорь Викторович, профессор кафедры инфекционных болезней, фтизиатрии и пульмонологии Федерального государственного бюджетного образовательного учреждения высшего образования «Уральский государственный медицинский университет» М</w:t>
      </w:r>
      <w:r>
        <w:t xml:space="preserve">инистерства здравоохранения Российской </w:t>
      </w:r>
    </w:p>
    <w:p w:rsidR="00F15F71" w:rsidRDefault="00F974CD">
      <w:pPr>
        <w:spacing w:after="161" w:line="259" w:lineRule="auto"/>
        <w:ind w:left="730" w:right="841"/>
      </w:pPr>
      <w:r>
        <w:t xml:space="preserve">Федерации, д.м.н. </w:t>
      </w:r>
    </w:p>
    <w:p w:rsidR="00F15F71" w:rsidRDefault="00F974CD">
      <w:pPr>
        <w:numPr>
          <w:ilvl w:val="0"/>
          <w:numId w:val="32"/>
        </w:numPr>
        <w:spacing w:after="35"/>
        <w:ind w:right="841" w:hanging="360"/>
      </w:pPr>
      <w:r>
        <w:t xml:space="preserve">Малахов Александр Борисович, главный внештатный детский специалист пульмонолог Департамента здравоохранения Москвы, профессор кафедры детских болезней лечебного факультета ФГАОУ ВО Первый МГМУ им. </w:t>
      </w:r>
      <w:r>
        <w:t xml:space="preserve">И.М. Сеченова Минздрава России (Сеченовский Университет), д.м.н. </w:t>
      </w:r>
    </w:p>
    <w:p w:rsidR="00F15F71" w:rsidRDefault="00F974CD">
      <w:pPr>
        <w:numPr>
          <w:ilvl w:val="0"/>
          <w:numId w:val="32"/>
        </w:numPr>
        <w:spacing w:after="36"/>
        <w:ind w:right="841" w:hanging="360"/>
      </w:pPr>
      <w:r>
        <w:t xml:space="preserve">Мещерякова Наталия Николаевна, ведущий научный сотрудник лаборатории реабилитации ФГУ «НИИ Пульмонологии» ФМБА России, к.м.н., член Российского респираторного общества </w:t>
      </w:r>
    </w:p>
    <w:p w:rsidR="00F15F71" w:rsidRDefault="00F974CD">
      <w:pPr>
        <w:numPr>
          <w:ilvl w:val="0"/>
          <w:numId w:val="32"/>
        </w:numPr>
        <w:spacing w:after="30"/>
        <w:ind w:right="841" w:hanging="360"/>
      </w:pPr>
      <w:r>
        <w:t>Намазова-Баранова Лей</w:t>
      </w:r>
      <w:r>
        <w:t>ла Сеймуровна, главный внештатный детский специалист по профилактической медицине Минздрава России, руководитель НИИ педиатрии и охраны здоровья детей НКЦ №2 ФГБНУ «РНЦХ им. акад. Б.В. Петровского», заведующая кафедрой факультетской педиатрии педиатрическо</w:t>
      </w:r>
      <w:r>
        <w:t xml:space="preserve">го факультета ФГБОУ ВО «РНИМУ им. Н.И. Пирогова» Минздрава России, академик РАН профессор, д.м.н., президент Союза педиатров России, член Российской Ассоциации Аллергологов и Клинических Иммунологов </w:t>
      </w:r>
    </w:p>
    <w:p w:rsidR="00F15F71" w:rsidRDefault="00F974CD">
      <w:pPr>
        <w:numPr>
          <w:ilvl w:val="0"/>
          <w:numId w:val="32"/>
        </w:numPr>
        <w:spacing w:after="31"/>
        <w:ind w:right="841" w:hanging="360"/>
      </w:pPr>
      <w:r>
        <w:t>Ненашева Наталия Михайловна, заведующая кафедрой аллерго</w:t>
      </w:r>
      <w:r>
        <w:t xml:space="preserve">логии и иммунологии ФГБОУ ДПО РМАНПО Минздрава России, профессор, д.м.н., член Президиума Российской Ассоциации Аллергологов и Клинических Иммунологов, член Российского Респираторного общества </w:t>
      </w:r>
    </w:p>
    <w:p w:rsidR="00F15F71" w:rsidRDefault="00F974CD">
      <w:pPr>
        <w:numPr>
          <w:ilvl w:val="0"/>
          <w:numId w:val="32"/>
        </w:numPr>
        <w:spacing w:after="30"/>
        <w:ind w:right="841" w:hanging="360"/>
      </w:pPr>
      <w:r>
        <w:t>Новик Геннадий Айзикович, главный внештатный аллерголог-иммуно</w:t>
      </w:r>
      <w:r>
        <w:t>лог СевероЗападного Федерального округа, заведующий кафедрой детских болезней им. профессора И. М. Воронцова ФП и ДПО ФГБОУ ВО «Санкт-Петербургский государственный педиатрический медицинский университет» МЗ РФ, профессор, д.м.н., заместитель председателя и</w:t>
      </w:r>
      <w:r>
        <w:t xml:space="preserve">сполкома Союза педиатров России, член </w:t>
      </w:r>
    </w:p>
    <w:p w:rsidR="00F15F71" w:rsidRDefault="00F974CD">
      <w:pPr>
        <w:spacing w:line="259" w:lineRule="auto"/>
        <w:ind w:left="730" w:right="841"/>
      </w:pPr>
      <w:r>
        <w:t xml:space="preserve">Российской Ассоциации Аллергологов и Клинических Иммунологов </w:t>
      </w:r>
    </w:p>
    <w:p w:rsidR="00F15F71" w:rsidRDefault="00F974CD">
      <w:pPr>
        <w:numPr>
          <w:ilvl w:val="0"/>
          <w:numId w:val="32"/>
        </w:numPr>
        <w:spacing w:after="30"/>
        <w:ind w:right="841" w:hanging="360"/>
      </w:pPr>
      <w:r>
        <w:t xml:space="preserve">Павлова Ксения Сергеевна, ведущий научный сотрудник отделения бронхиальной астмы ФГБУ «ГНЦ Институт иммунологии» ФМБА России, к.м.н., член </w:t>
      </w:r>
    </w:p>
    <w:p w:rsidR="00F15F71" w:rsidRDefault="00F974CD">
      <w:pPr>
        <w:spacing w:after="163" w:line="259" w:lineRule="auto"/>
        <w:ind w:left="730" w:right="841"/>
      </w:pPr>
      <w:r>
        <w:t>Российской Ассо</w:t>
      </w:r>
      <w:r>
        <w:t xml:space="preserve">циации Аллергологов и Клинических Иммунологов </w:t>
      </w:r>
    </w:p>
    <w:p w:rsidR="00F15F71" w:rsidRDefault="00F974CD">
      <w:pPr>
        <w:numPr>
          <w:ilvl w:val="0"/>
          <w:numId w:val="32"/>
        </w:numPr>
        <w:spacing w:after="31"/>
        <w:ind w:right="841" w:hanging="360"/>
      </w:pPr>
      <w:r>
        <w:t>Пампура Александр Николаевич, главный внештатный детский специалист аллерголог-иммунолог Департамента здравоохранения Москвы, заведующий отделением аллергологии и клинической иммунологии обособленного структур</w:t>
      </w:r>
      <w:r>
        <w:t>ного подразделения научно-исследовательского клинического института педиатрии им. академика Ю.Е. Вельтищева ФГБОУ ВО «РНИМУ им. Н.И. Пирогова» Минздрава России, профессор, д.м.н., член Российской Ассоциации Аллергологов и Клинических Иммунологов, член Союз</w:t>
      </w:r>
      <w:r>
        <w:t xml:space="preserve">а педиатров России. </w:t>
      </w:r>
    </w:p>
    <w:p w:rsidR="00F15F71" w:rsidRDefault="00F974CD">
      <w:pPr>
        <w:numPr>
          <w:ilvl w:val="0"/>
          <w:numId w:val="32"/>
        </w:numPr>
        <w:spacing w:after="33"/>
        <w:ind w:right="841" w:hanging="360"/>
      </w:pPr>
      <w:r>
        <w:t xml:space="preserve">Селимзянова Лилия Робертовна, ведущий научный сотрудник НИИ педиатрии и охраны здоровья детей НКЦ №2 ФГБНУ «РНЦХ им. акад. Б.В. Петровского», </w:t>
      </w:r>
      <w:r>
        <w:t>доцент кафедры педиатрии и детской ревматологии ФГАОУ «Первый МГМУ им. И.М. Сеченова» Минздрава России (Сеченовский Университет), доцент кафедры факультетской педиатрии педиатрического факультета ФГБОУ ВО «РНИМУ им. Н.И. Пирогова» Минздрава России, член Со</w:t>
      </w:r>
      <w:r>
        <w:t xml:space="preserve">юза Педиатров России, к.м.н. </w:t>
      </w:r>
    </w:p>
    <w:p w:rsidR="00F15F71" w:rsidRDefault="00F974CD">
      <w:pPr>
        <w:numPr>
          <w:ilvl w:val="0"/>
          <w:numId w:val="32"/>
        </w:numPr>
        <w:spacing w:after="33"/>
        <w:ind w:right="841" w:hanging="360"/>
      </w:pPr>
      <w:r>
        <w:t xml:space="preserve">Фомина Дарья Сергеевна, главный внештатный специалист аллерголог-иммунолог Департамента здравоохранения Москвы, заведующая Центром аллергологии и иммунологии ФГБУЗ ГКБ №52 ДЗМ г. Москвы, доцент кафедры клинической иммунологии </w:t>
      </w:r>
      <w:r>
        <w:t xml:space="preserve">и аллергологии ФГАОУ «Первый МГМУ им. И.М. Сеченова» Минздрава России (Сеченовский Университет), к.м.н., член Российской Ассоциации Аллергологов и Клинических Иммунологов </w:t>
      </w:r>
    </w:p>
    <w:p w:rsidR="00F15F71" w:rsidRDefault="00F974CD">
      <w:pPr>
        <w:numPr>
          <w:ilvl w:val="0"/>
          <w:numId w:val="32"/>
        </w:numPr>
        <w:spacing w:after="35"/>
        <w:ind w:right="841" w:hanging="360"/>
      </w:pPr>
      <w:r>
        <w:t>Хаитов Муса Рахимович, главный внештатный специалист аллерголог-иммунолог ФМБА Росси</w:t>
      </w:r>
      <w:r>
        <w:t xml:space="preserve">и, директор ФГБУ «ГНЦ «Институт иммунологии» ФМБА России, заведующий кафедрой иммунологии МБФ ФГБОУ ВО «РНИМУ им. Н.И. Пирогова» Минздрава России, член-корр. РАН, профессор, д.м.н., Президент Российской Ассоциации Аллергологов и Клинических Иммунологов </w:t>
      </w:r>
    </w:p>
    <w:p w:rsidR="00F15F71" w:rsidRDefault="00F974CD">
      <w:pPr>
        <w:numPr>
          <w:ilvl w:val="0"/>
          <w:numId w:val="32"/>
        </w:numPr>
        <w:spacing w:after="35"/>
        <w:ind w:right="841" w:hanging="360"/>
      </w:pPr>
      <w:r>
        <w:t>Чу</w:t>
      </w:r>
      <w:r>
        <w:t xml:space="preserve">чалин Алекандр Григорьевич, заведующий кафедрой госпитальной терапии педиатрического факультета ФГБОУ ВО «РНИМУ им. Н.И. Пирогова» Минздрава России, академик РАН, профессор, д.м.н., Председатель Правления Российского респираторного общества </w:t>
      </w:r>
    </w:p>
    <w:p w:rsidR="00F15F71" w:rsidRDefault="00F974CD">
      <w:pPr>
        <w:numPr>
          <w:ilvl w:val="0"/>
          <w:numId w:val="32"/>
        </w:numPr>
        <w:ind w:right="841" w:hanging="360"/>
      </w:pPr>
      <w:r>
        <w:t>Шишиморов Иван</w:t>
      </w:r>
      <w:r>
        <w:t xml:space="preserve"> Николаевич, заведующий кафедрой педиатрии и неонатологии Института непрерывного медицинского и фармацевтического образования ФГБОУ ВО Волгоградский государственный медицинский университет Минздрава России, </w:t>
      </w:r>
    </w:p>
    <w:p w:rsidR="00F15F71" w:rsidRDefault="00F974CD">
      <w:pPr>
        <w:spacing w:after="31"/>
        <w:ind w:left="730" w:right="841"/>
      </w:pPr>
      <w:r>
        <w:t>д.м.н., Президент Волгоградского регионального о</w:t>
      </w:r>
      <w:r>
        <w:t xml:space="preserve">тделения Союза педиатров России </w:t>
      </w:r>
    </w:p>
    <w:p w:rsidR="00F15F71" w:rsidRDefault="00F974CD">
      <w:pPr>
        <w:numPr>
          <w:ilvl w:val="0"/>
          <w:numId w:val="32"/>
        </w:numPr>
        <w:spacing w:after="33"/>
        <w:ind w:right="841" w:hanging="360"/>
      </w:pPr>
      <w:r>
        <w:t>Эфендиева Камилла Евгеньевна, заместитель руководителя по образовательной и международной деятельности НИИ педиатрии и охраны здоровья детей НКЦ №2 ФГБНУ «РНЦХ им. акад. Б.В. Петровского», доцент кафедры факультетской педиа</w:t>
      </w:r>
      <w:r>
        <w:t xml:space="preserve">трии педиатрического факультета ФГБОУ ВО «РНИМУ им. Н.И. Пирогова» </w:t>
      </w:r>
    </w:p>
    <w:p w:rsidR="00F15F71" w:rsidRDefault="00F974CD">
      <w:pPr>
        <w:spacing w:after="163" w:line="259" w:lineRule="auto"/>
        <w:ind w:left="730" w:right="841"/>
      </w:pPr>
      <w:r>
        <w:t xml:space="preserve">Минздрава России, к.м.н., ответственный секретарь Союза педиатров России </w:t>
      </w:r>
    </w:p>
    <w:p w:rsidR="00F15F71" w:rsidRDefault="00F974CD">
      <w:pPr>
        <w:spacing w:line="270" w:lineRule="auto"/>
        <w:ind w:left="718" w:right="10"/>
      </w:pPr>
      <w:r>
        <w:rPr>
          <w:b/>
        </w:rPr>
        <w:t xml:space="preserve">Конфликта интересов нет. </w:t>
      </w:r>
      <w:r>
        <w:br w:type="page"/>
      </w:r>
    </w:p>
    <w:p w:rsidR="00F15F71" w:rsidRDefault="00F974CD">
      <w:pPr>
        <w:pStyle w:val="Heading1"/>
        <w:ind w:right="856"/>
      </w:pPr>
      <w:bookmarkStart w:id="43" w:name="_Toc275200"/>
      <w:r>
        <w:t xml:space="preserve">Приложение А2. Методология разработки клинических рекомендаций </w:t>
      </w:r>
      <w:bookmarkEnd w:id="43"/>
    </w:p>
    <w:p w:rsidR="00F15F71" w:rsidRDefault="00F974CD">
      <w:pPr>
        <w:spacing w:after="161" w:line="259" w:lineRule="auto"/>
        <w:ind w:left="703"/>
        <w:jc w:val="left"/>
      </w:pPr>
      <w:r>
        <w:rPr>
          <w:b/>
          <w:u w:val="single" w:color="000000"/>
        </w:rPr>
        <w:t>Целевая аудитория данны</w:t>
      </w:r>
      <w:r>
        <w:rPr>
          <w:b/>
          <w:u w:val="single" w:color="000000"/>
        </w:rPr>
        <w:t>х клинических рекомендаций:</w:t>
      </w:r>
      <w:r>
        <w:t xml:space="preserve"> </w:t>
      </w:r>
    </w:p>
    <w:p w:rsidR="00F15F71" w:rsidRDefault="00F974CD">
      <w:pPr>
        <w:numPr>
          <w:ilvl w:val="0"/>
          <w:numId w:val="33"/>
        </w:numPr>
        <w:spacing w:after="160" w:line="259" w:lineRule="auto"/>
        <w:ind w:right="841" w:hanging="360"/>
      </w:pPr>
      <w:r>
        <w:t xml:space="preserve">Врач-аллерголог-иммунолог </w:t>
      </w:r>
    </w:p>
    <w:p w:rsidR="00F15F71" w:rsidRDefault="00F974CD">
      <w:pPr>
        <w:numPr>
          <w:ilvl w:val="0"/>
          <w:numId w:val="33"/>
        </w:numPr>
        <w:spacing w:after="160" w:line="259" w:lineRule="auto"/>
        <w:ind w:right="841" w:hanging="360"/>
      </w:pPr>
      <w:r>
        <w:t xml:space="preserve">Врач-анестезиолог-реаниматолог </w:t>
      </w:r>
    </w:p>
    <w:p w:rsidR="00F15F71" w:rsidRDefault="00F974CD">
      <w:pPr>
        <w:numPr>
          <w:ilvl w:val="0"/>
          <w:numId w:val="33"/>
        </w:numPr>
        <w:spacing w:after="155" w:line="259" w:lineRule="auto"/>
        <w:ind w:right="841" w:hanging="360"/>
      </w:pPr>
      <w:r>
        <w:t xml:space="preserve">Врач общей практики (семейный врач); </w:t>
      </w:r>
    </w:p>
    <w:p w:rsidR="00F15F71" w:rsidRDefault="00F974CD">
      <w:pPr>
        <w:numPr>
          <w:ilvl w:val="0"/>
          <w:numId w:val="33"/>
        </w:numPr>
        <w:spacing w:after="159" w:line="259" w:lineRule="auto"/>
        <w:ind w:right="841" w:hanging="360"/>
      </w:pPr>
      <w:r>
        <w:t xml:space="preserve">Врач-педиатр; </w:t>
      </w:r>
    </w:p>
    <w:p w:rsidR="00F15F71" w:rsidRDefault="00F974CD">
      <w:pPr>
        <w:numPr>
          <w:ilvl w:val="0"/>
          <w:numId w:val="33"/>
        </w:numPr>
        <w:spacing w:after="160" w:line="259" w:lineRule="auto"/>
        <w:ind w:right="841" w:hanging="360"/>
      </w:pPr>
      <w:r>
        <w:t xml:space="preserve">Врач-педиатр городской (районный); </w:t>
      </w:r>
    </w:p>
    <w:p w:rsidR="00F15F71" w:rsidRDefault="00F974CD">
      <w:pPr>
        <w:numPr>
          <w:ilvl w:val="0"/>
          <w:numId w:val="33"/>
        </w:numPr>
        <w:spacing w:after="155" w:line="259" w:lineRule="auto"/>
        <w:ind w:right="841" w:hanging="360"/>
      </w:pPr>
      <w:r>
        <w:t xml:space="preserve">Врач-педиатр участковый; </w:t>
      </w:r>
    </w:p>
    <w:p w:rsidR="00F15F71" w:rsidRDefault="00F974CD">
      <w:pPr>
        <w:numPr>
          <w:ilvl w:val="0"/>
          <w:numId w:val="33"/>
        </w:numPr>
        <w:spacing w:after="156" w:line="259" w:lineRule="auto"/>
        <w:ind w:right="841" w:hanging="360"/>
      </w:pPr>
      <w:r>
        <w:t xml:space="preserve">Врач-пульмонолог; </w:t>
      </w:r>
    </w:p>
    <w:p w:rsidR="00F15F71" w:rsidRDefault="00F974CD">
      <w:pPr>
        <w:numPr>
          <w:ilvl w:val="0"/>
          <w:numId w:val="33"/>
        </w:numPr>
        <w:spacing w:after="158" w:line="259" w:lineRule="auto"/>
        <w:ind w:right="841" w:hanging="360"/>
      </w:pPr>
      <w:r>
        <w:t xml:space="preserve">Врач-терапевт; </w:t>
      </w:r>
    </w:p>
    <w:p w:rsidR="00F15F71" w:rsidRDefault="00F974CD">
      <w:pPr>
        <w:numPr>
          <w:ilvl w:val="0"/>
          <w:numId w:val="33"/>
        </w:numPr>
        <w:spacing w:after="158" w:line="259" w:lineRule="auto"/>
        <w:ind w:right="841" w:hanging="360"/>
      </w:pPr>
      <w:r>
        <w:t>Врач-</w:t>
      </w:r>
      <w:r>
        <w:t xml:space="preserve">терапевт подростковый; </w:t>
      </w:r>
    </w:p>
    <w:p w:rsidR="00F15F71" w:rsidRDefault="00F974CD">
      <w:pPr>
        <w:numPr>
          <w:ilvl w:val="0"/>
          <w:numId w:val="33"/>
        </w:numPr>
        <w:spacing w:after="158" w:line="259" w:lineRule="auto"/>
        <w:ind w:right="841" w:hanging="360"/>
      </w:pPr>
      <w:r>
        <w:t xml:space="preserve">Врач-терапевт участковый; </w:t>
      </w:r>
    </w:p>
    <w:p w:rsidR="00F15F71" w:rsidRDefault="00F974CD">
      <w:pPr>
        <w:numPr>
          <w:ilvl w:val="0"/>
          <w:numId w:val="33"/>
        </w:numPr>
        <w:spacing w:after="115" w:line="259" w:lineRule="auto"/>
        <w:ind w:right="841" w:hanging="360"/>
      </w:pPr>
      <w:r>
        <w:t xml:space="preserve">Врач функциональной диагностики </w:t>
      </w:r>
    </w:p>
    <w:p w:rsidR="00F15F71" w:rsidRDefault="00F974CD">
      <w:pPr>
        <w:spacing w:after="159" w:line="259" w:lineRule="auto"/>
        <w:ind w:left="1068" w:firstLine="0"/>
        <w:jc w:val="left"/>
      </w:pPr>
      <w:r>
        <w:t xml:space="preserve"> </w:t>
      </w:r>
    </w:p>
    <w:p w:rsidR="00F15F71" w:rsidRDefault="00F974CD">
      <w:pPr>
        <w:spacing w:after="161" w:line="259" w:lineRule="auto"/>
        <w:ind w:left="1078" w:right="841"/>
      </w:pPr>
      <w:r>
        <w:t xml:space="preserve">Методы, использованные для сбора/селекции доказательств: </w:t>
      </w:r>
    </w:p>
    <w:p w:rsidR="00F15F71" w:rsidRDefault="00F974CD">
      <w:pPr>
        <w:numPr>
          <w:ilvl w:val="1"/>
          <w:numId w:val="33"/>
        </w:numPr>
        <w:spacing w:after="166" w:line="259" w:lineRule="auto"/>
        <w:ind w:right="841" w:hanging="348"/>
      </w:pPr>
      <w:r>
        <w:t xml:space="preserve">поиск в электронных базах данных. </w:t>
      </w:r>
    </w:p>
    <w:p w:rsidR="00F15F71" w:rsidRDefault="00F974CD">
      <w:pPr>
        <w:spacing w:after="159" w:line="259" w:lineRule="auto"/>
        <w:ind w:left="1078" w:right="841"/>
      </w:pPr>
      <w:r>
        <w:t xml:space="preserve">Описание методов, использованных для сбора/селекции доказательств: </w:t>
      </w:r>
    </w:p>
    <w:p w:rsidR="00F15F71" w:rsidRDefault="00F974CD">
      <w:pPr>
        <w:numPr>
          <w:ilvl w:val="1"/>
          <w:numId w:val="33"/>
        </w:numPr>
        <w:ind w:right="841" w:hanging="348"/>
      </w:pPr>
      <w:r>
        <w:t xml:space="preserve">доказательной базой для рекомендаций являются публикации, вошедшие в Кокрановскую библиотеку, базы данных EMBASE и MEDLINE. Глубина поиска составляла 15 лет. </w:t>
      </w:r>
    </w:p>
    <w:p w:rsidR="00F15F71" w:rsidRDefault="00F974CD">
      <w:pPr>
        <w:spacing w:after="159" w:line="259" w:lineRule="auto"/>
        <w:ind w:left="1068" w:firstLine="0"/>
        <w:jc w:val="left"/>
      </w:pPr>
      <w:r>
        <w:t xml:space="preserve"> </w:t>
      </w:r>
    </w:p>
    <w:p w:rsidR="00F15F71" w:rsidRDefault="00F974CD">
      <w:pPr>
        <w:spacing w:line="259" w:lineRule="auto"/>
        <w:ind w:left="0" w:right="841" w:firstLine="708"/>
      </w:pPr>
      <w:r>
        <w:rPr>
          <w:b/>
        </w:rPr>
        <w:t>Таблица 1.</w:t>
      </w:r>
      <w:r>
        <w:t>Шкала оценки уровней достоверности доказательств (УДД)для методов диагностики (диагно</w:t>
      </w:r>
      <w:r>
        <w:t xml:space="preserve">стических вмешательств) </w:t>
      </w:r>
    </w:p>
    <w:tbl>
      <w:tblPr>
        <w:tblStyle w:val="TableGrid"/>
        <w:tblW w:w="9573" w:type="dxa"/>
        <w:tblInd w:w="-108" w:type="dxa"/>
        <w:tblCellMar>
          <w:top w:w="14" w:type="dxa"/>
          <w:left w:w="108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816"/>
        <w:gridCol w:w="8757"/>
      </w:tblGrid>
      <w:tr w:rsidR="00F15F71">
        <w:trPr>
          <w:trHeight w:val="329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46" w:firstLine="0"/>
              <w:jc w:val="left"/>
            </w:pPr>
            <w:r>
              <w:rPr>
                <w:b/>
              </w:rPr>
              <w:t xml:space="preserve">УДД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3" w:firstLine="0"/>
              <w:jc w:val="center"/>
            </w:pPr>
            <w:r>
              <w:rPr>
                <w:b/>
              </w:rPr>
              <w:t xml:space="preserve">Расшифровка </w:t>
            </w:r>
          </w:p>
        </w:tc>
      </w:tr>
      <w:tr w:rsidR="00F15F71">
        <w:trPr>
          <w:trHeight w:val="962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7" w:firstLine="0"/>
              <w:jc w:val="center"/>
            </w:pPr>
            <w:r>
              <w:t xml:space="preserve">1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9" w:firstLine="0"/>
            </w:pPr>
            <w:r>
              <w:t xml:space="preserve">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мета-анализа </w:t>
            </w:r>
          </w:p>
        </w:tc>
      </w:tr>
      <w:tr w:rsidR="00F15F71">
        <w:trPr>
          <w:trHeight w:val="1279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0" w:firstLine="0"/>
            </w:pPr>
            <w:r>
              <w:t xml:space="preserve">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дизайна, за исключением рандомизированных клинических исследований, с применением мета-анализа </w:t>
            </w:r>
          </w:p>
        </w:tc>
      </w:tr>
      <w:tr w:rsidR="00F15F71">
        <w:trPr>
          <w:trHeight w:val="1280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7" w:firstLine="0"/>
              <w:jc w:val="center"/>
            </w:pPr>
            <w:r>
              <w:t xml:space="preserve">3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2" w:firstLine="0"/>
            </w:pPr>
            <w:r>
              <w:t xml:space="preserve">Исследования без последовательного контроля референсным методом или исследования с референсным методом, не являющимся независимым от исследуемого метода или нерандомизированные сравнительные исследования, в том числе когортные исследования </w:t>
            </w:r>
          </w:p>
        </w:tc>
      </w:tr>
      <w:tr w:rsidR="00F15F71">
        <w:trPr>
          <w:trHeight w:val="326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7" w:firstLine="0"/>
              <w:jc w:val="center"/>
            </w:pPr>
            <w:r>
              <w:t xml:space="preserve">4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Несравнительные исследования, описание клинического случая </w:t>
            </w:r>
          </w:p>
        </w:tc>
      </w:tr>
      <w:tr w:rsidR="00F15F71">
        <w:trPr>
          <w:trHeight w:val="329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" w:firstLine="0"/>
              <w:jc w:val="center"/>
            </w:pPr>
            <w:r>
              <w:t xml:space="preserve">5 </w:t>
            </w:r>
          </w:p>
        </w:tc>
        <w:tc>
          <w:tcPr>
            <w:tcW w:w="8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Имеется лишь обоснование механизма действия или мнение экспертов </w:t>
            </w:r>
          </w:p>
        </w:tc>
      </w:tr>
    </w:tbl>
    <w:p w:rsidR="00F15F71" w:rsidRDefault="00F974CD">
      <w:pPr>
        <w:spacing w:after="162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line="259" w:lineRule="auto"/>
        <w:ind w:left="0" w:right="841" w:firstLine="708"/>
      </w:pPr>
      <w:r>
        <w:rPr>
          <w:b/>
        </w:rPr>
        <w:t>Таблица 2.</w:t>
      </w:r>
      <w:r>
        <w:t xml:space="preserve">Шкала оценки уровней достоверности доказательств (УДД)для методов профилактики, лечения и реабилитации (профилактических, лечебных, реабилитационных вмешательств) </w:t>
      </w:r>
    </w:p>
    <w:tbl>
      <w:tblPr>
        <w:tblStyle w:val="TableGrid"/>
        <w:tblW w:w="9714" w:type="dxa"/>
        <w:tblInd w:w="-108" w:type="dxa"/>
        <w:tblCellMar>
          <w:top w:w="14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722"/>
        <w:gridCol w:w="8992"/>
      </w:tblGrid>
      <w:tr w:rsidR="00F15F71">
        <w:trPr>
          <w:trHeight w:val="28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b/>
              </w:rPr>
              <w:t xml:space="preserve">УДД </w:t>
            </w:r>
          </w:p>
        </w:tc>
        <w:tc>
          <w:tcPr>
            <w:tcW w:w="8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</w:rPr>
              <w:t xml:space="preserve">Расшифровка  </w:t>
            </w:r>
          </w:p>
        </w:tc>
      </w:tr>
      <w:tr w:rsidR="00F15F71">
        <w:trPr>
          <w:trHeight w:val="28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2" w:firstLine="0"/>
              <w:jc w:val="center"/>
            </w:pPr>
            <w:r>
              <w:t xml:space="preserve">1 </w:t>
            </w:r>
          </w:p>
        </w:tc>
        <w:tc>
          <w:tcPr>
            <w:tcW w:w="8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Систематический обзор РКИ с применением мета-анализа </w:t>
            </w:r>
          </w:p>
        </w:tc>
      </w:tr>
      <w:tr w:rsidR="00F15F71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2" w:firstLine="0"/>
              <w:jc w:val="center"/>
            </w:pPr>
            <w:r>
              <w:t xml:space="preserve">2 </w:t>
            </w:r>
          </w:p>
        </w:tc>
        <w:tc>
          <w:tcPr>
            <w:tcW w:w="8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Отдельные РКИ и систематические обзоры исследований любого дизайна, за исключением РКИ, с применением мета-анализа </w:t>
            </w:r>
          </w:p>
        </w:tc>
      </w:tr>
      <w:tr w:rsidR="00F15F71">
        <w:trPr>
          <w:trHeight w:val="289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2" w:firstLine="0"/>
              <w:jc w:val="center"/>
            </w:pPr>
            <w:r>
              <w:t xml:space="preserve">3 </w:t>
            </w:r>
          </w:p>
        </w:tc>
        <w:tc>
          <w:tcPr>
            <w:tcW w:w="8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Нерандомизированные сравнительные исследования, в т.ч. когортные исследования </w:t>
            </w:r>
          </w:p>
        </w:tc>
      </w:tr>
      <w:tr w:rsidR="00F15F71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2" w:firstLine="0"/>
              <w:jc w:val="center"/>
            </w:pPr>
            <w:r>
              <w:t xml:space="preserve">4 </w:t>
            </w:r>
          </w:p>
        </w:tc>
        <w:tc>
          <w:tcPr>
            <w:tcW w:w="8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Несравнительные исследования, описание клинического случая или серии случаев, исследования «случай-контроль» </w:t>
            </w:r>
          </w:p>
        </w:tc>
      </w:tr>
      <w:tr w:rsidR="00F15F71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2" w:firstLine="0"/>
              <w:jc w:val="center"/>
            </w:pPr>
            <w:r>
              <w:t xml:space="preserve">5 </w:t>
            </w:r>
          </w:p>
        </w:tc>
        <w:tc>
          <w:tcPr>
            <w:tcW w:w="8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Имеется лишь обоснование механизма действия вмешательства (доклинические исследования) или мнение экспертов </w:t>
            </w:r>
          </w:p>
        </w:tc>
      </w:tr>
    </w:tbl>
    <w:p w:rsidR="00F15F71" w:rsidRDefault="00F974CD">
      <w:pPr>
        <w:spacing w:after="163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line="259" w:lineRule="auto"/>
        <w:ind w:left="0" w:right="841" w:firstLine="708"/>
      </w:pPr>
      <w:r>
        <w:rPr>
          <w:b/>
        </w:rPr>
        <w:t xml:space="preserve">Таблица 3. </w:t>
      </w:r>
      <w:r>
        <w:t>Шкала оценки уровне</w:t>
      </w:r>
      <w:r>
        <w:t xml:space="preserve">й убедительности рекомендаций(УУР) для методов профилактики, диагностики, лечения и реабилитации (профилактических, диагностических, лечебных, реабилитационных вмешательств) </w:t>
      </w:r>
    </w:p>
    <w:tbl>
      <w:tblPr>
        <w:tblStyle w:val="TableGrid"/>
        <w:tblW w:w="9573" w:type="dxa"/>
        <w:tblInd w:w="-108" w:type="dxa"/>
        <w:tblCellMar>
          <w:top w:w="14" w:type="dxa"/>
          <w:left w:w="108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1363"/>
        <w:gridCol w:w="8210"/>
      </w:tblGrid>
      <w:tr w:rsidR="00F15F71">
        <w:trPr>
          <w:trHeight w:val="286"/>
        </w:trPr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</w:rPr>
              <w:t xml:space="preserve">УУР </w:t>
            </w:r>
          </w:p>
        </w:tc>
        <w:tc>
          <w:tcPr>
            <w:tcW w:w="8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6" w:firstLine="0"/>
              <w:jc w:val="center"/>
            </w:pPr>
            <w:r>
              <w:rPr>
                <w:b/>
              </w:rPr>
              <w:t xml:space="preserve">Расшифровка </w:t>
            </w:r>
          </w:p>
        </w:tc>
      </w:tr>
      <w:tr w:rsidR="00F15F71">
        <w:trPr>
          <w:trHeight w:val="1114"/>
        </w:trPr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5" w:firstLine="0"/>
              <w:jc w:val="center"/>
            </w:pPr>
            <w:r>
              <w:t xml:space="preserve">A </w:t>
            </w:r>
          </w:p>
        </w:tc>
        <w:tc>
          <w:tcPr>
            <w:tcW w:w="8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3" w:line="258" w:lineRule="auto"/>
              <w:ind w:left="0" w:right="61" w:firstLine="0"/>
            </w:pPr>
            <w:r>
              <w:t xml:space="preserve">Сильная рекомендация (все рассматриваемые критерии эффективности (исходы) являются важными, все исследования имеют высокое или удовлетворительное методологическое качество, их выводы по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интересующим исходам являются согласованными)  </w:t>
            </w:r>
          </w:p>
        </w:tc>
      </w:tr>
      <w:tr w:rsidR="00F15F71">
        <w:trPr>
          <w:trHeight w:val="1114"/>
        </w:trPr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9" w:firstLine="0"/>
              <w:jc w:val="center"/>
            </w:pPr>
            <w:r>
              <w:t xml:space="preserve">B </w:t>
            </w:r>
          </w:p>
        </w:tc>
        <w:tc>
          <w:tcPr>
            <w:tcW w:w="8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0" w:firstLine="0"/>
            </w:pPr>
            <w:r>
              <w:t xml:space="preserve">Условная рекомендация (не все рассматриваемые критерии эффективности (исходы) являются важными, не все исследования имеют высокое или удовлетворительное методологическое качество и/или их выводы по интересующим исходам не являются согласованными)  </w:t>
            </w:r>
          </w:p>
        </w:tc>
      </w:tr>
      <w:tr w:rsidR="00F15F71">
        <w:trPr>
          <w:trHeight w:val="1116"/>
        </w:trPr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9" w:firstLine="0"/>
              <w:jc w:val="center"/>
            </w:pPr>
            <w:r>
              <w:t xml:space="preserve">C </w:t>
            </w:r>
          </w:p>
        </w:tc>
        <w:tc>
          <w:tcPr>
            <w:tcW w:w="8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0" w:firstLine="0"/>
            </w:pPr>
            <w:r>
              <w:t>Сла</w:t>
            </w:r>
            <w:r>
              <w:t>бая рекомендация (отсутствие доказательств надлежащего качества (все рассматриваемые критерии эффективности (исходы) являются неважными, все исследования имеют низкое методологическое качество и их выводы по интересующим исходам не являются согласованными)</w:t>
            </w:r>
            <w:r>
              <w:t xml:space="preserve">  </w:t>
            </w:r>
          </w:p>
        </w:tc>
      </w:tr>
    </w:tbl>
    <w:p w:rsidR="00F15F71" w:rsidRDefault="00F974CD">
      <w:pPr>
        <w:spacing w:after="127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04" w:line="270" w:lineRule="auto"/>
        <w:ind w:left="718" w:right="10"/>
      </w:pPr>
      <w:r>
        <w:rPr>
          <w:b/>
        </w:rPr>
        <w:t>Экономический анализ:</w:t>
      </w:r>
      <w:r>
        <w:rPr>
          <w:sz w:val="20"/>
        </w:rPr>
        <w:t xml:space="preserve"> </w:t>
      </w:r>
    </w:p>
    <w:p w:rsidR="00F15F71" w:rsidRDefault="00F974CD">
      <w:pPr>
        <w:ind w:left="0" w:right="841" w:firstLine="708"/>
      </w:pPr>
      <w:r>
        <w:t>Анализ стоимости не проводился и публикации по фармакоэкономике не анализировались.</w:t>
      </w:r>
      <w:r>
        <w:rPr>
          <w:sz w:val="20"/>
        </w:rPr>
        <w:t xml:space="preserve"> </w:t>
      </w:r>
    </w:p>
    <w:p w:rsidR="00F15F71" w:rsidRDefault="00F974CD">
      <w:pPr>
        <w:spacing w:after="171" w:line="270" w:lineRule="auto"/>
        <w:ind w:left="718" w:right="10"/>
      </w:pPr>
      <w:r>
        <w:rPr>
          <w:b/>
        </w:rPr>
        <w:t>Метод валидизации рекомендаций:</w:t>
      </w:r>
      <w:r>
        <w:rPr>
          <w:sz w:val="20"/>
        </w:rPr>
        <w:t xml:space="preserve"> </w:t>
      </w:r>
    </w:p>
    <w:p w:rsidR="00F15F71" w:rsidRDefault="00F974CD">
      <w:pPr>
        <w:numPr>
          <w:ilvl w:val="0"/>
          <w:numId w:val="34"/>
        </w:numPr>
        <w:spacing w:after="143" w:line="259" w:lineRule="auto"/>
        <w:ind w:right="841" w:hanging="972"/>
      </w:pPr>
      <w:r>
        <w:t>Внешняя экспертная оценка;</w:t>
      </w:r>
      <w:r>
        <w:rPr>
          <w:rFonts w:ascii="Segoe UI Symbol" w:eastAsia="Segoe UI Symbol" w:hAnsi="Segoe UI Symbol" w:cs="Segoe UI Symbol"/>
        </w:rPr>
        <w:t xml:space="preserve"> </w:t>
      </w:r>
    </w:p>
    <w:p w:rsidR="00F15F71" w:rsidRDefault="00F974CD">
      <w:pPr>
        <w:numPr>
          <w:ilvl w:val="0"/>
          <w:numId w:val="34"/>
        </w:numPr>
        <w:spacing w:after="76" w:line="259" w:lineRule="auto"/>
        <w:ind w:right="841" w:hanging="972"/>
      </w:pPr>
      <w:r>
        <w:t>Внутренняя экспертная оценка.</w:t>
      </w:r>
      <w:r>
        <w:rPr>
          <w:rFonts w:ascii="Segoe UI Symbol" w:eastAsia="Segoe UI Symbol" w:hAnsi="Segoe UI Symbol" w:cs="Segoe UI Symbol"/>
        </w:rPr>
        <w:t xml:space="preserve"> </w:t>
      </w:r>
    </w:p>
    <w:p w:rsidR="00F15F71" w:rsidRDefault="00F974CD">
      <w:pPr>
        <w:spacing w:after="61" w:line="270" w:lineRule="auto"/>
        <w:ind w:left="718" w:right="10"/>
      </w:pPr>
      <w:r>
        <w:rPr>
          <w:b/>
        </w:rPr>
        <w:t>Описание метода валидизации рекомендаций:</w:t>
      </w:r>
      <w:r>
        <w:rPr>
          <w:rFonts w:ascii="Segoe UI Symbol" w:eastAsia="Segoe UI Symbol" w:hAnsi="Segoe UI Symbol" w:cs="Segoe UI Symbol"/>
        </w:rPr>
        <w:t xml:space="preserve"> </w:t>
      </w:r>
    </w:p>
    <w:p w:rsidR="00F15F71" w:rsidRDefault="00F974CD">
      <w:pPr>
        <w:ind w:left="0" w:right="841" w:firstLine="708"/>
      </w:pPr>
      <w:r>
        <w:t>Настоящие рекомендации в предварительной версии были рецензированы независимыми экспертами, которых попросили прокомментировать прежде всего то, насколько интерпретация доказательств, лежащих в основе рекомендаций, доступна для понимания.</w:t>
      </w:r>
      <w:r>
        <w:rPr>
          <w:sz w:val="20"/>
        </w:rPr>
        <w:t xml:space="preserve"> </w:t>
      </w:r>
    </w:p>
    <w:p w:rsidR="00F15F71" w:rsidRDefault="00F974CD">
      <w:pPr>
        <w:ind w:left="0" w:right="841" w:firstLine="708"/>
      </w:pPr>
      <w:r>
        <w:t>Получены коммент</w:t>
      </w:r>
      <w:r>
        <w:t>арии со стороны врачей первичного звена и участковых терапевтов в отношении доходчивости изложения рекомендаций и их оценки важности рекомендаций как рабочего инструмента повседневной практики.</w:t>
      </w:r>
      <w:r>
        <w:rPr>
          <w:sz w:val="20"/>
        </w:rPr>
        <w:t xml:space="preserve"> </w:t>
      </w:r>
    </w:p>
    <w:p w:rsidR="00F15F71" w:rsidRDefault="00F974CD">
      <w:pPr>
        <w:ind w:left="0" w:right="841" w:firstLine="708"/>
      </w:pPr>
      <w:r>
        <w:t>Предварительная версия была также направлена рецензенту, не и</w:t>
      </w:r>
      <w:r>
        <w:t>меющему медицинского образования, для получения комментариев с точки зрения перспектив пациентов.</w:t>
      </w:r>
      <w:r>
        <w:rPr>
          <w:sz w:val="20"/>
        </w:rPr>
        <w:t xml:space="preserve"> </w:t>
      </w:r>
    </w:p>
    <w:p w:rsidR="00F15F71" w:rsidRDefault="00F974CD">
      <w:pPr>
        <w:ind w:left="0" w:right="841" w:firstLine="708"/>
      </w:pPr>
      <w:r>
        <w:t>Комментарии, полученные от экспертов, тщательно систематизировались и обсуждались председателем и членами рабочей группы. Каждый пункт обсуждался, и вносимые</w:t>
      </w:r>
      <w:r>
        <w:t xml:space="preserve"> в результате этого изменения в рекомендации регистрировались. Если же изменения не вносились, то регистрировались причины отказа от внесения изменений.</w:t>
      </w:r>
      <w:r>
        <w:rPr>
          <w:sz w:val="20"/>
        </w:rPr>
        <w:t xml:space="preserve"> </w:t>
      </w:r>
    </w:p>
    <w:p w:rsidR="00F15F71" w:rsidRDefault="00F974CD">
      <w:pPr>
        <w:spacing w:after="151" w:line="270" w:lineRule="auto"/>
        <w:ind w:left="718" w:right="10"/>
      </w:pPr>
      <w:r>
        <w:rPr>
          <w:b/>
        </w:rPr>
        <w:t>Консультация и экспертная оценка:</w:t>
      </w:r>
      <w:r>
        <w:rPr>
          <w:sz w:val="20"/>
        </w:rPr>
        <w:t xml:space="preserve"> </w:t>
      </w:r>
    </w:p>
    <w:p w:rsidR="00F15F71" w:rsidRDefault="00F974CD">
      <w:pPr>
        <w:ind w:left="0" w:right="841" w:firstLine="708"/>
      </w:pPr>
      <w:r>
        <w:t>Предварительная версия была выставлена для широкого обсуждения на с</w:t>
      </w:r>
      <w:r>
        <w:t>айтах РРО, РААКИ, СПР для того, чтобы все заинтересованные лица имели возможность принять участие в обсуждении и совершенствовании рекомендаций.</w:t>
      </w:r>
      <w:r>
        <w:rPr>
          <w:sz w:val="20"/>
        </w:rPr>
        <w:t xml:space="preserve"> </w:t>
      </w:r>
    </w:p>
    <w:p w:rsidR="00F15F71" w:rsidRDefault="00F974CD">
      <w:pPr>
        <w:ind w:left="0" w:right="841" w:firstLine="708"/>
      </w:pPr>
      <w:r>
        <w:t>Проект рекомендаций был рецензирован также независимыми экспертами, которых попросили прокомментировать, прежд</w:t>
      </w:r>
      <w:r>
        <w:t>е всего, доходчивость и точность интерпретации доказательной базы, лежащей в основе рекомендаций.</w:t>
      </w:r>
      <w:r>
        <w:rPr>
          <w:sz w:val="20"/>
        </w:rPr>
        <w:t xml:space="preserve"> </w:t>
      </w:r>
    </w:p>
    <w:p w:rsidR="00F15F71" w:rsidRDefault="00F974CD">
      <w:pPr>
        <w:spacing w:after="102" w:line="270" w:lineRule="auto"/>
        <w:ind w:left="718" w:right="10"/>
      </w:pPr>
      <w:r>
        <w:rPr>
          <w:b/>
        </w:rPr>
        <w:t>Рабочая группа:</w:t>
      </w:r>
      <w:r>
        <w:rPr>
          <w:sz w:val="20"/>
        </w:rPr>
        <w:t xml:space="preserve"> </w:t>
      </w:r>
    </w:p>
    <w:p w:rsidR="00F15F71" w:rsidRDefault="00F974CD">
      <w:pPr>
        <w:spacing w:after="38"/>
        <w:ind w:left="0" w:right="841" w:firstLine="708"/>
      </w:pPr>
      <w:r>
        <w:t>Для окончательной редакции и контроля качества рекомендации были повторно проанализированы членами рабочей группы, которые пришли к заключен</w:t>
      </w:r>
      <w:r>
        <w:t>ию, что все</w:t>
      </w:r>
      <w:r>
        <w:rPr>
          <w:sz w:val="20"/>
        </w:rPr>
        <w:t xml:space="preserve"> </w:t>
      </w:r>
      <w:r>
        <w:t>замечания и комментарии экспертов приняты во внимание, риск систематических ошибок при разработке рекомендаций сведен к минимуму.</w:t>
      </w:r>
      <w:r>
        <w:rPr>
          <w:sz w:val="20"/>
        </w:rPr>
        <w:t xml:space="preserve"> </w:t>
      </w:r>
    </w:p>
    <w:p w:rsidR="00F15F71" w:rsidRDefault="00F974CD">
      <w:pPr>
        <w:spacing w:after="104" w:line="270" w:lineRule="auto"/>
        <w:ind w:left="718" w:right="10"/>
      </w:pPr>
      <w:r>
        <w:rPr>
          <w:b/>
        </w:rPr>
        <w:t>Порядок обновления клинических рекомендаций.</w:t>
      </w:r>
      <w:r>
        <w:t xml:space="preserve"> </w:t>
      </w:r>
    </w:p>
    <w:p w:rsidR="00F15F71" w:rsidRDefault="00F974CD">
      <w:pPr>
        <w:ind w:left="0" w:right="841" w:firstLine="708"/>
      </w:pPr>
      <w:r>
        <w:t>Механизм обновления клинических рекомендаций предусматривает их сис</w:t>
      </w:r>
      <w:r>
        <w:t>тематическую актуализацию – не реже чем один раз в три года, а также при появлении новых данных с позиции доказательной медицины по вопросам диагностики, лечения, профилактики и реабилитации конкретных заболеваний, наличии обоснованных дополнений/замечаний</w:t>
      </w:r>
      <w:r>
        <w:t xml:space="preserve"> к ранее утверждённым КР, но не чаще 1 раза в 6 месяцев. </w:t>
      </w:r>
    </w:p>
    <w:p w:rsidR="00F15F71" w:rsidRDefault="00F974CD">
      <w:pPr>
        <w:pStyle w:val="Heading1"/>
        <w:spacing w:after="224" w:line="377" w:lineRule="auto"/>
        <w:ind w:right="97"/>
      </w:pPr>
      <w:bookmarkStart w:id="44" w:name="_Toc275201"/>
      <w:r>
        <w:t>Приложение А3. Справочные материалы, включая соответствие показаний к применению и противопоказаний, способов применения и доз лекарственных препаратов, инструкции по применению лекарственного препа</w:t>
      </w:r>
      <w:r>
        <w:t xml:space="preserve">рата </w:t>
      </w:r>
      <w:bookmarkEnd w:id="44"/>
    </w:p>
    <w:p w:rsidR="00F15F71" w:rsidRDefault="00F974CD">
      <w:pPr>
        <w:pStyle w:val="Heading4"/>
        <w:spacing w:line="402" w:lineRule="auto"/>
        <w:ind w:left="2422" w:right="10" w:hanging="1654"/>
      </w:pPr>
      <w:bookmarkStart w:id="45" w:name="_Toc275202"/>
      <w:r>
        <w:t xml:space="preserve">Приложение А3.1 Нормативные документы и ресурсы, на основании которых разработаны клинические рекомендации  </w:t>
      </w:r>
      <w:bookmarkEnd w:id="45"/>
    </w:p>
    <w:p w:rsidR="00F15F71" w:rsidRDefault="00F974CD">
      <w:pPr>
        <w:spacing w:after="161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numPr>
          <w:ilvl w:val="0"/>
          <w:numId w:val="35"/>
        </w:numPr>
        <w:spacing w:after="31"/>
        <w:ind w:right="841" w:firstLine="708"/>
      </w:pPr>
      <w:r>
        <w:t xml:space="preserve">Приказ Министерства здравоохранения РФ от 15 ноября 2012 г. № 916н «Об утверждении Порядка оказания медицинской помощи населению по профилю «пульмонология» </w:t>
      </w:r>
    </w:p>
    <w:p w:rsidR="00F15F71" w:rsidRDefault="00F974CD">
      <w:pPr>
        <w:numPr>
          <w:ilvl w:val="0"/>
          <w:numId w:val="35"/>
        </w:numPr>
        <w:spacing w:after="33"/>
        <w:ind w:right="841" w:firstLine="708"/>
      </w:pPr>
      <w:r>
        <w:t>Приказ Министерства здравоохранения Российской Федерации от 7 ноября 2012 г. № 606н «Об утверждении</w:t>
      </w:r>
      <w:r>
        <w:t xml:space="preserve"> Порядка оказания медицинской помощи населению по профилю «аллергология и иммунология» </w:t>
      </w:r>
    </w:p>
    <w:p w:rsidR="00F15F71" w:rsidRDefault="00F974CD">
      <w:pPr>
        <w:numPr>
          <w:ilvl w:val="0"/>
          <w:numId w:val="35"/>
        </w:numPr>
        <w:spacing w:after="30"/>
        <w:ind w:right="841" w:firstLine="708"/>
      </w:pPr>
      <w:r>
        <w:t xml:space="preserve">Приказ Министерства здравоохранения и социального развития РФ от 16 апреля 2012 г. № 366н "Об утверждении Порядка оказания педиатрической помощи" </w:t>
      </w:r>
    </w:p>
    <w:p w:rsidR="00F15F71" w:rsidRDefault="00F974CD">
      <w:pPr>
        <w:numPr>
          <w:ilvl w:val="0"/>
          <w:numId w:val="35"/>
        </w:numPr>
        <w:spacing w:after="34"/>
        <w:ind w:right="841" w:firstLine="708"/>
      </w:pPr>
      <w:r>
        <w:t xml:space="preserve">Федеральный закон от </w:t>
      </w:r>
      <w:r>
        <w:t xml:space="preserve">21 ноября 2011 г. № 323-ФЗ «Об основах охраны здоровья граждан в Российской Федерации» (Собрание законодательства Российской Федерации, 2011 г., № 48, ст. 6724) </w:t>
      </w:r>
    </w:p>
    <w:p w:rsidR="00F15F71" w:rsidRDefault="00F974CD">
      <w:pPr>
        <w:numPr>
          <w:ilvl w:val="0"/>
          <w:numId w:val="35"/>
        </w:numPr>
        <w:spacing w:after="32"/>
        <w:ind w:right="841" w:firstLine="708"/>
      </w:pPr>
      <w:r>
        <w:t xml:space="preserve">Международная классификация болезней, травм и состояний, влияющих на здоровье (МКБ – 10) </w:t>
      </w:r>
    </w:p>
    <w:p w:rsidR="00F15F71" w:rsidRDefault="00F974CD">
      <w:pPr>
        <w:numPr>
          <w:ilvl w:val="0"/>
          <w:numId w:val="35"/>
        </w:numPr>
        <w:spacing w:after="30"/>
        <w:ind w:right="841" w:firstLine="708"/>
      </w:pPr>
      <w:r>
        <w:t>Прик</w:t>
      </w:r>
      <w:r>
        <w:t xml:space="preserve">аз МЗ РФ от 20 декабря 2012г. № 1183н об утверждении номенклатуры должностей медицинских работников и фармацевтических работников  </w:t>
      </w:r>
    </w:p>
    <w:p w:rsidR="00F15F71" w:rsidRDefault="00F974CD">
      <w:pPr>
        <w:numPr>
          <w:ilvl w:val="0"/>
          <w:numId w:val="35"/>
        </w:numPr>
        <w:spacing w:after="30"/>
        <w:ind w:right="841" w:firstLine="708"/>
      </w:pPr>
      <w:r>
        <w:t>Приказ МЗ РФ от 23 июля 2010 г. № 541н. Единый квалификационный справочник должностей руководителей, специалистов и служащих</w:t>
      </w:r>
      <w:r>
        <w:t xml:space="preserve">, раздел Квалификационные характеристики должностей работников в сфере здравоохранения </w:t>
      </w:r>
    </w:p>
    <w:p w:rsidR="00F15F71" w:rsidRDefault="00F974CD">
      <w:pPr>
        <w:numPr>
          <w:ilvl w:val="0"/>
          <w:numId w:val="35"/>
        </w:numPr>
        <w:spacing w:after="32"/>
        <w:ind w:right="841" w:firstLine="708"/>
      </w:pPr>
      <w:r>
        <w:t>Федеральный закон от 25.12.2018 № 489 489-ФЗ «О внесении изменений в статью 40 Федерального закона "Об обязательном медицинском страховании в Российской Федерации" и Фе</w:t>
      </w:r>
      <w:r>
        <w:t xml:space="preserve">деральный закон "Об основах охраны здоровья граждан в Российской Федерации" по вопросам клинических рекомендаций» </w:t>
      </w:r>
    </w:p>
    <w:p w:rsidR="00F15F71" w:rsidRDefault="00F974CD">
      <w:pPr>
        <w:numPr>
          <w:ilvl w:val="0"/>
          <w:numId w:val="35"/>
        </w:numPr>
        <w:ind w:right="841" w:firstLine="708"/>
      </w:pPr>
      <w:r>
        <w:t xml:space="preserve">Приказ Минздрава России № 103н от 28.02.2019 г. «Об утверждении порядка и сроков разработки клинических рекомендаций, их пересмотра, типовой </w:t>
      </w:r>
      <w:r>
        <w:t xml:space="preserve">формы клинических рекомендаций и требований к их структуре, составу и научной обоснованности включаемой в клинические рекомендации информации» </w:t>
      </w:r>
    </w:p>
    <w:p w:rsidR="00F15F71" w:rsidRDefault="00F974CD">
      <w:pPr>
        <w:numPr>
          <w:ilvl w:val="0"/>
          <w:numId w:val="35"/>
        </w:numPr>
        <w:spacing w:after="31"/>
        <w:ind w:right="841" w:firstLine="708"/>
      </w:pPr>
      <w:r>
        <w:t xml:space="preserve">Приказ Минздрава России от 13.10.2017 N 804н "Об утверждении номенклатуры медицинских услуг" </w:t>
      </w:r>
    </w:p>
    <w:p w:rsidR="00F15F71" w:rsidRDefault="00F974CD">
      <w:pPr>
        <w:numPr>
          <w:ilvl w:val="0"/>
          <w:numId w:val="35"/>
        </w:numPr>
        <w:spacing w:after="30"/>
        <w:ind w:right="841" w:firstLine="708"/>
      </w:pPr>
      <w:r>
        <w:t>Приказ Министерств</w:t>
      </w:r>
      <w:r>
        <w:t>а труда и социальной защиты РФ от 27 августа 2019 г. n 585н "О классификациях и критериях, используемых при осуществлении медикосоциальной экспертизы граждан федеральными государственными учреждениями медикосоциальной экспертизы" (вступает в силу с 1 январ</w:t>
      </w:r>
      <w:r>
        <w:t xml:space="preserve">я 2020 года) </w:t>
      </w:r>
    </w:p>
    <w:p w:rsidR="00F15F71" w:rsidRDefault="00F974CD">
      <w:pPr>
        <w:numPr>
          <w:ilvl w:val="0"/>
          <w:numId w:val="35"/>
        </w:numPr>
        <w:spacing w:after="35"/>
        <w:ind w:right="841" w:firstLine="708"/>
      </w:pPr>
      <w:r>
        <w:t xml:space="preserve">Приказ Минздрава России (Министерство здравоохранения РФ) от 24 ноября 2021 г. №1094н  «Об утверждении Порядка назначения лекарственных препаратов, форм рецептурных бланков на лекарственные препараты, Порядка оформления указанных бланков, их </w:t>
      </w:r>
      <w:r>
        <w:t>учета и хранения, форм бланков рецептов, содержащих назначение наркотических средств или психотропных веществ, Порядка их изготовления, распределения, регистрации, учета и хранения, а также Правил оформления бланков рецептов, в том числе в форме электронны</w:t>
      </w:r>
      <w:r>
        <w:t xml:space="preserve">х документов» </w:t>
      </w:r>
    </w:p>
    <w:p w:rsidR="00F15F71" w:rsidRDefault="00F974CD">
      <w:pPr>
        <w:numPr>
          <w:ilvl w:val="0"/>
          <w:numId w:val="35"/>
        </w:numPr>
        <w:spacing w:after="31"/>
        <w:ind w:right="841" w:firstLine="708"/>
      </w:pPr>
      <w:r>
        <w:t xml:space="preserve">Приказ Министерство здравоохранения и социального развития Российской Федерации «О порядке применения лекарственных средств у больных по жизненным показаниям» от 9 августа 2005 г. № 494 </w:t>
      </w:r>
    </w:p>
    <w:p w:rsidR="00F15F71" w:rsidRDefault="00F974CD">
      <w:pPr>
        <w:numPr>
          <w:ilvl w:val="0"/>
          <w:numId w:val="35"/>
        </w:numPr>
        <w:spacing w:after="151" w:line="259" w:lineRule="auto"/>
        <w:ind w:right="841" w:firstLine="708"/>
      </w:pPr>
      <w:r>
        <w:t xml:space="preserve">Информационное письмо Минздрава России по возможности закупки </w:t>
      </w:r>
    </w:p>
    <w:p w:rsidR="00F15F71" w:rsidRDefault="00F974CD">
      <w:pPr>
        <w:tabs>
          <w:tab w:val="center" w:pos="3081"/>
          <w:tab w:val="center" w:pos="4690"/>
          <w:tab w:val="center" w:pos="6319"/>
          <w:tab w:val="center" w:pos="8589"/>
        </w:tabs>
        <w:spacing w:after="119" w:line="259" w:lineRule="auto"/>
        <w:ind w:left="0" w:firstLine="0"/>
        <w:jc w:val="left"/>
      </w:pPr>
      <w:r>
        <w:t xml:space="preserve">лекарственного </w:t>
      </w:r>
      <w:r>
        <w:tab/>
        <w:t xml:space="preserve">препарата </w:t>
      </w:r>
      <w:r>
        <w:tab/>
        <w:t xml:space="preserve">по </w:t>
      </w:r>
      <w:r>
        <w:tab/>
        <w:t xml:space="preserve">торговому </w:t>
      </w:r>
      <w:r>
        <w:tab/>
        <w:t xml:space="preserve">наименованию </w:t>
      </w:r>
    </w:p>
    <w:bookmarkStart w:id="46" w:name="_Toc275203"/>
    <w:p w:rsidR="00F15F71" w:rsidRDefault="00F974CD">
      <w:pPr>
        <w:pStyle w:val="Heading4"/>
        <w:spacing w:after="166" w:line="358" w:lineRule="auto"/>
        <w:ind w:left="10" w:right="50"/>
        <w:jc w:val="left"/>
      </w:pPr>
      <w:r>
        <w:fldChar w:fldCharType="begin"/>
      </w:r>
      <w:r>
        <w:instrText xml:space="preserve"> HYPERLINK "https://www.rosminzdrav.ru/news/2019/12/18/13043-minzdrav-podgotovil-informatsionnoe-pismo-po-vozmozhnosti-zakupki-lekarstvennogo-preparata-po-torgovomu-naimenovaniyu" \h </w:instrText>
      </w:r>
      <w:r>
        <w:fldChar w:fldCharType="separate"/>
      </w:r>
      <w:r>
        <w:rPr>
          <w:b w:val="0"/>
        </w:rPr>
        <w:t>(</w:t>
      </w:r>
      <w:r>
        <w:rPr>
          <w:b w:val="0"/>
        </w:rPr>
        <w:fldChar w:fldCharType="end"/>
      </w:r>
      <w:hyperlink r:id="rId1484">
        <w:r>
          <w:rPr>
            <w:b w:val="0"/>
            <w:color w:val="0000FF"/>
            <w:u w:val="single" w:color="0000FF"/>
          </w:rPr>
          <w:t>https://www.rosminzdrav.ru/news/2019/12/18/13043</w:t>
        </w:r>
      </w:hyperlink>
      <w:hyperlink r:id="rId1485">
        <w:r>
          <w:rPr>
            <w:b w:val="0"/>
            <w:color w:val="0000FF"/>
            <w:u w:val="single" w:color="0000FF"/>
          </w:rPr>
          <w:t>-</w:t>
        </w:r>
      </w:hyperlink>
      <w:hyperlink r:id="rId1486">
        <w:r>
          <w:rPr>
            <w:b w:val="0"/>
            <w:color w:val="0000FF"/>
            <w:u w:val="single" w:color="0000FF"/>
          </w:rPr>
          <w:t>minzdrav</w:t>
        </w:r>
      </w:hyperlink>
      <w:hyperlink r:id="rId1487">
        <w:r>
          <w:rPr>
            <w:b w:val="0"/>
            <w:color w:val="0000FF"/>
            <w:u w:val="single" w:color="0000FF"/>
          </w:rPr>
          <w:t>-</w:t>
        </w:r>
      </w:hyperlink>
      <w:hyperlink r:id="rId1488">
        <w:r>
          <w:rPr>
            <w:b w:val="0"/>
            <w:color w:val="0000FF"/>
            <w:u w:val="single" w:color="0000FF"/>
          </w:rPr>
          <w:t>podgotovil</w:t>
        </w:r>
      </w:hyperlink>
      <w:hyperlink r:id="rId1489">
        <w:r>
          <w:rPr>
            <w:b w:val="0"/>
            <w:color w:val="0000FF"/>
            <w:u w:val="single" w:color="0000FF"/>
          </w:rPr>
          <w:t>-</w:t>
        </w:r>
      </w:hyperlink>
      <w:hyperlink r:id="rId1490">
        <w:r>
          <w:rPr>
            <w:b w:val="0"/>
            <w:color w:val="0000FF"/>
            <w:u w:val="single" w:color="0000FF"/>
          </w:rPr>
          <w:t>informatsionnoe</w:t>
        </w:r>
      </w:hyperlink>
      <w:hyperlink r:id="rId1491"/>
      <w:hyperlink r:id="rId1492">
        <w:r>
          <w:rPr>
            <w:b w:val="0"/>
            <w:color w:val="0000FF"/>
            <w:u w:val="single" w:color="0000FF"/>
          </w:rPr>
          <w:t>pismo</w:t>
        </w:r>
      </w:hyperlink>
      <w:hyperlink r:id="rId1493">
        <w:r>
          <w:rPr>
            <w:b w:val="0"/>
            <w:color w:val="0000FF"/>
            <w:u w:val="single" w:color="0000FF"/>
          </w:rPr>
          <w:t>-</w:t>
        </w:r>
      </w:hyperlink>
      <w:hyperlink r:id="rId1494">
        <w:r>
          <w:rPr>
            <w:b w:val="0"/>
            <w:color w:val="0000FF"/>
            <w:u w:val="single" w:color="0000FF"/>
          </w:rPr>
          <w:t>p</w:t>
        </w:r>
      </w:hyperlink>
      <w:hyperlink r:id="rId1495">
        <w:r>
          <w:rPr>
            <w:b w:val="0"/>
            <w:color w:val="0000FF"/>
            <w:u w:val="single" w:color="0000FF"/>
          </w:rPr>
          <w:t>o-</w:t>
        </w:r>
      </w:hyperlink>
      <w:hyperlink r:id="rId1496">
        <w:r>
          <w:rPr>
            <w:b w:val="0"/>
            <w:color w:val="0000FF"/>
            <w:u w:val="single" w:color="0000FF"/>
          </w:rPr>
          <w:t>vozmozhnosti</w:t>
        </w:r>
      </w:hyperlink>
      <w:hyperlink r:id="rId1497">
        <w:r>
          <w:rPr>
            <w:b w:val="0"/>
            <w:color w:val="0000FF"/>
            <w:u w:val="single" w:color="0000FF"/>
          </w:rPr>
          <w:t>-</w:t>
        </w:r>
      </w:hyperlink>
      <w:hyperlink r:id="rId1498">
        <w:r>
          <w:rPr>
            <w:b w:val="0"/>
            <w:color w:val="0000FF"/>
            <w:u w:val="single" w:color="0000FF"/>
          </w:rPr>
          <w:t>zakupki</w:t>
        </w:r>
      </w:hyperlink>
      <w:hyperlink r:id="rId1499">
        <w:r>
          <w:rPr>
            <w:b w:val="0"/>
            <w:color w:val="0000FF"/>
            <w:u w:val="single" w:color="0000FF"/>
          </w:rPr>
          <w:t>-</w:t>
        </w:r>
      </w:hyperlink>
      <w:hyperlink r:id="rId1500">
        <w:r>
          <w:rPr>
            <w:b w:val="0"/>
            <w:color w:val="0000FF"/>
            <w:u w:val="single" w:color="0000FF"/>
          </w:rPr>
          <w:t>lekarstvennogo</w:t>
        </w:r>
      </w:hyperlink>
      <w:hyperlink r:id="rId1501">
        <w:r>
          <w:rPr>
            <w:b w:val="0"/>
            <w:color w:val="0000FF"/>
            <w:u w:val="single" w:color="0000FF"/>
          </w:rPr>
          <w:t>-</w:t>
        </w:r>
      </w:hyperlink>
      <w:hyperlink r:id="rId1502">
        <w:r>
          <w:rPr>
            <w:b w:val="0"/>
            <w:color w:val="0000FF"/>
            <w:u w:val="single" w:color="0000FF"/>
          </w:rPr>
          <w:t>preparata</w:t>
        </w:r>
      </w:hyperlink>
      <w:hyperlink r:id="rId1503">
        <w:r>
          <w:rPr>
            <w:b w:val="0"/>
            <w:color w:val="0000FF"/>
            <w:u w:val="single" w:color="0000FF"/>
          </w:rPr>
          <w:t>-</w:t>
        </w:r>
      </w:hyperlink>
      <w:hyperlink r:id="rId1504">
        <w:r>
          <w:rPr>
            <w:b w:val="0"/>
            <w:color w:val="0000FF"/>
            <w:u w:val="single" w:color="0000FF"/>
          </w:rPr>
          <w:t>po</w:t>
        </w:r>
      </w:hyperlink>
      <w:hyperlink r:id="rId1505">
        <w:r>
          <w:rPr>
            <w:b w:val="0"/>
            <w:color w:val="0000FF"/>
            <w:u w:val="single" w:color="0000FF"/>
          </w:rPr>
          <w:t>-</w:t>
        </w:r>
      </w:hyperlink>
      <w:hyperlink r:id="rId1506">
        <w:r>
          <w:rPr>
            <w:b w:val="0"/>
            <w:color w:val="0000FF"/>
            <w:u w:val="single" w:color="0000FF"/>
          </w:rPr>
          <w:t>torgovomu</w:t>
        </w:r>
      </w:hyperlink>
      <w:hyperlink r:id="rId1507">
        <w:r>
          <w:rPr>
            <w:b w:val="0"/>
            <w:color w:val="0000FF"/>
            <w:u w:val="single" w:color="0000FF"/>
          </w:rPr>
          <w:t>-</w:t>
        </w:r>
      </w:hyperlink>
      <w:hyperlink r:id="rId1508">
        <w:r>
          <w:rPr>
            <w:b w:val="0"/>
            <w:color w:val="0000FF"/>
            <w:u w:val="single" w:color="0000FF"/>
          </w:rPr>
          <w:t>naimenovaniyu</w:t>
        </w:r>
      </w:hyperlink>
      <w:hyperlink r:id="rId1509">
        <w:r>
          <w:rPr>
            <w:b w:val="0"/>
          </w:rPr>
          <w:t>)</w:t>
        </w:r>
      </w:hyperlink>
      <w:r>
        <w:rPr>
          <w:b w:val="0"/>
        </w:rPr>
        <w:t xml:space="preserve"> </w:t>
      </w:r>
      <w:bookmarkEnd w:id="46"/>
    </w:p>
    <w:p w:rsidR="00F15F71" w:rsidRDefault="00F974CD">
      <w:pPr>
        <w:spacing w:after="166" w:line="358" w:lineRule="auto"/>
        <w:ind w:left="10" w:right="50"/>
        <w:jc w:val="left"/>
      </w:pPr>
      <w:r>
        <w:rPr>
          <w:b/>
        </w:rPr>
        <w:t xml:space="preserve">Приложение А3.2. Низкие, средние и высокие дозы ИГКС (монопрепарат или в </w:t>
      </w:r>
    </w:p>
    <w:p w:rsidR="00F15F71" w:rsidRDefault="00F974CD">
      <w:pPr>
        <w:pStyle w:val="Heading3"/>
        <w:spacing w:after="112"/>
        <w:ind w:left="10" w:right="853"/>
        <w:jc w:val="center"/>
      </w:pPr>
      <w:bookmarkStart w:id="47" w:name="_Toc275204"/>
      <w:r>
        <w:rPr>
          <w:u w:val="none"/>
        </w:rPr>
        <w:t>комбинации с ДДБА) для подростков от 12 лет и взрослых</w:t>
      </w:r>
      <w:r>
        <w:rPr>
          <w:b w:val="0"/>
          <w:u w:val="none"/>
        </w:rPr>
        <w:t xml:space="preserve"> </w:t>
      </w:r>
      <w:bookmarkEnd w:id="47"/>
    </w:p>
    <w:p w:rsidR="00F15F71" w:rsidRDefault="00F974CD">
      <w:pPr>
        <w:spacing w:after="0" w:line="259" w:lineRule="auto"/>
        <w:ind w:left="0" w:firstLine="0"/>
        <w:jc w:val="left"/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247650</wp:posOffset>
            </wp:positionH>
            <wp:positionV relativeFrom="page">
              <wp:posOffset>6022976</wp:posOffset>
            </wp:positionV>
            <wp:extent cx="60325" cy="63499"/>
            <wp:effectExtent l="0" t="0" r="0" b="0"/>
            <wp:wrapTopAndBottom/>
            <wp:docPr id="29130" name="Picture 29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30" name="Picture 29130"/>
                    <pic:cNvPicPr/>
                  </pic:nvPicPr>
                  <pic:blipFill>
                    <a:blip r:embed="rId1510"/>
                    <a:stretch>
                      <a:fillRect/>
                    </a:stretch>
                  </pic:blipFill>
                  <pic:spPr>
                    <a:xfrm>
                      <a:off x="0" y="0"/>
                      <a:ext cx="60325" cy="634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 xml:space="preserve"> </w:t>
      </w:r>
    </w:p>
    <w:tbl>
      <w:tblPr>
        <w:tblStyle w:val="TableGrid"/>
        <w:tblW w:w="9573" w:type="dxa"/>
        <w:tblInd w:w="-108" w:type="dxa"/>
        <w:tblCellMar>
          <w:top w:w="14" w:type="dxa"/>
          <w:left w:w="106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5072"/>
        <w:gridCol w:w="1558"/>
        <w:gridCol w:w="1419"/>
        <w:gridCol w:w="1524"/>
      </w:tblGrid>
      <w:tr w:rsidR="00F15F71">
        <w:trPr>
          <w:trHeight w:val="288"/>
        </w:trPr>
        <w:tc>
          <w:tcPr>
            <w:tcW w:w="507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6" w:right="9" w:firstLine="0"/>
              <w:jc w:val="center"/>
            </w:pPr>
            <w:r>
              <w:rPr>
                <w:b/>
                <w:i/>
              </w:rPr>
              <w:t>Инга</w:t>
            </w:r>
            <w:r>
              <w:rPr>
                <w:b/>
                <w:i/>
              </w:rPr>
              <w:t xml:space="preserve">ляционный кортикостероид (моно или в комбинации с ДДБА) </w:t>
            </w:r>
          </w:p>
        </w:tc>
        <w:tc>
          <w:tcPr>
            <w:tcW w:w="45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3" w:firstLine="0"/>
              <w:jc w:val="center"/>
            </w:pPr>
            <w:r>
              <w:rPr>
                <w:b/>
                <w:i/>
              </w:rPr>
              <w:t xml:space="preserve">Ежедневные дозы (мкг) </w:t>
            </w:r>
          </w:p>
        </w:tc>
      </w:tr>
      <w:tr w:rsidR="00F15F71">
        <w:trPr>
          <w:trHeight w:val="48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i/>
              </w:rPr>
              <w:t xml:space="preserve">Низкие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rPr>
                <w:b/>
                <w:i/>
              </w:rPr>
              <w:t xml:space="preserve">Средние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i/>
              </w:rPr>
              <w:t xml:space="preserve">Высокие </w:t>
            </w:r>
          </w:p>
        </w:tc>
      </w:tr>
      <w:tr w:rsidR="00F15F71">
        <w:trPr>
          <w:trHeight w:val="562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2864"/>
                <w:tab w:val="right" w:pos="4915"/>
              </w:tabs>
              <w:spacing w:after="28" w:line="259" w:lineRule="auto"/>
              <w:ind w:left="0" w:firstLine="0"/>
              <w:jc w:val="left"/>
            </w:pPr>
            <w:r>
              <w:t xml:space="preserve">Беклометазона </w:t>
            </w:r>
            <w:r>
              <w:tab/>
              <w:t xml:space="preserve">дипропионат** </w:t>
            </w:r>
            <w:r>
              <w:tab/>
              <w:t xml:space="preserve">(ДАИ,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стандартные частицы)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200–500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&gt;500–1000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&gt;1000 </w:t>
            </w:r>
          </w:p>
        </w:tc>
      </w:tr>
      <w:tr w:rsidR="00F15F71">
        <w:trPr>
          <w:trHeight w:val="562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Беклометазона дипропионат** (ДПИ или ДАИ ультрамелкие частицы)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100–200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&gt;200–400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&gt;400 </w:t>
            </w:r>
          </w:p>
        </w:tc>
      </w:tr>
      <w:tr w:rsidR="00F15F71">
        <w:trPr>
          <w:trHeight w:val="562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Будесонид** (ДПИ или ДАИ стандартные частицы)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200-400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&gt;400–800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&gt;800 </w:t>
            </w:r>
          </w:p>
        </w:tc>
      </w:tr>
      <w:tr w:rsidR="00F15F71">
        <w:trPr>
          <w:trHeight w:val="286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Циклесонид (ДАИ, ультрамелкие частицы) 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80-160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&gt;160–320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&gt;320 </w:t>
            </w:r>
          </w:p>
        </w:tc>
      </w:tr>
      <w:tr w:rsidR="00F15F71">
        <w:trPr>
          <w:trHeight w:val="288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>Флутиказона фуроат**(ДПИ)</w:t>
            </w:r>
            <w:r>
              <w:rPr>
                <w:vertAlign w:val="superscript"/>
              </w:rPr>
              <w:t xml:space="preserve"> </w:t>
            </w:r>
            <w:r>
              <w:rPr>
                <w:vertAlign w:val="superscript"/>
              </w:rPr>
              <w:footnoteReference w:id="1"/>
            </w:r>
            <w:r>
              <w:t xml:space="preserve"> </w:t>
            </w:r>
          </w:p>
        </w:tc>
        <w:tc>
          <w:tcPr>
            <w:tcW w:w="29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0" w:firstLine="0"/>
              <w:jc w:val="center"/>
            </w:pPr>
            <w:r>
              <w:t xml:space="preserve">100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200 </w:t>
            </w:r>
          </w:p>
        </w:tc>
      </w:tr>
      <w:tr w:rsidR="00F15F71">
        <w:trPr>
          <w:trHeight w:val="286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Флутиказона пропионат** (ДПИ)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100-250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&gt;250–500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&gt;500 </w:t>
            </w:r>
          </w:p>
        </w:tc>
      </w:tr>
      <w:tr w:rsidR="00F15F71">
        <w:trPr>
          <w:trHeight w:val="562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Флутиказона пропионат** (ДАИ, стандартные частицы)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100–250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&gt;250–500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&gt;500 </w:t>
            </w:r>
          </w:p>
        </w:tc>
      </w:tr>
      <w:tr w:rsidR="00F15F71">
        <w:trPr>
          <w:trHeight w:val="562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>Мометазона фуроат (ДПИ)</w:t>
            </w:r>
            <w:r>
              <w:rPr>
                <w:color w:val="212121"/>
                <w:vertAlign w:val="superscript"/>
              </w:rPr>
              <w:t xml:space="preserve"> </w:t>
            </w:r>
            <w:r>
              <w:rPr>
                <w:color w:val="212121"/>
                <w:vertAlign w:val="superscript"/>
              </w:rPr>
              <w:footnoteReference w:id="2"/>
            </w:r>
            <w:r>
              <w:t xml:space="preserve"> </w:t>
            </w:r>
          </w:p>
        </w:tc>
        <w:tc>
          <w:tcPr>
            <w:tcW w:w="45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Зависит от типа ДПИ (см инструкцию к препарату) </w:t>
            </w:r>
          </w:p>
        </w:tc>
      </w:tr>
      <w:tr w:rsidR="00F15F71">
        <w:trPr>
          <w:trHeight w:val="562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Мометазона фуроат </w:t>
            </w:r>
            <w:r>
              <w:rPr>
                <w:vertAlign w:val="superscript"/>
              </w:rPr>
              <w:footnoteReference w:id="3"/>
            </w:r>
            <w:r>
              <w:rPr>
                <w:vertAlign w:val="superscript"/>
              </w:rPr>
              <w:t xml:space="preserve"> </w:t>
            </w:r>
            <w:r>
              <w:t xml:space="preserve">(ДАИ, стандартные частицы) </w:t>
            </w:r>
          </w:p>
        </w:tc>
        <w:tc>
          <w:tcPr>
            <w:tcW w:w="29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2" w:firstLine="0"/>
              <w:jc w:val="center"/>
            </w:pPr>
            <w:r>
              <w:t xml:space="preserve">200-400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&gt;400 </w:t>
            </w:r>
          </w:p>
        </w:tc>
      </w:tr>
    </w:tbl>
    <w:p w:rsidR="00F15F71" w:rsidRDefault="00F974CD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line="279" w:lineRule="auto"/>
        <w:ind w:left="10" w:right="841"/>
      </w:pPr>
      <w:r>
        <w:rPr>
          <w:b/>
        </w:rPr>
        <w:t>Примечание</w:t>
      </w:r>
      <w:r>
        <w:t xml:space="preserve">: эти лекарственные эквиваленты являются приблизительными и зависят от ряда факторов, в том числе ингаляционной техники. </w:t>
      </w:r>
    </w:p>
    <w:p w:rsidR="00F15F71" w:rsidRDefault="00F974CD">
      <w:pPr>
        <w:spacing w:line="285" w:lineRule="auto"/>
        <w:ind w:left="-5" w:right="666"/>
        <w:jc w:val="left"/>
      </w:pPr>
      <w:r>
        <w:t xml:space="preserve">ДАИ - дозированный аэрозольный ингалятор; ДПИ – </w:t>
      </w:r>
      <w:r>
        <w:t xml:space="preserve">дозированный порошковый ингалятор; ДАИ - дозированный аэрозольный ингалятор; * См. инструкцию по медицинскому применению. </w:t>
      </w:r>
    </w:p>
    <w:p w:rsidR="00F15F71" w:rsidRDefault="00F974CD">
      <w:pPr>
        <w:pStyle w:val="Heading4"/>
        <w:spacing w:line="402" w:lineRule="auto"/>
        <w:ind w:left="2218" w:right="10" w:hanging="1738"/>
      </w:pPr>
      <w:bookmarkStart w:id="48" w:name="_Toc275205"/>
      <w:r>
        <w:t>Приложение А3.3. Низкие, средние и высокие дозы ИГКС (монопрепарат или в комбинации с ДДБА) для детей от 6 до 11 лет</w:t>
      </w:r>
      <w:r>
        <w:rPr>
          <w:b w:val="0"/>
        </w:rPr>
        <w:t xml:space="preserve"> </w:t>
      </w:r>
      <w:bookmarkEnd w:id="48"/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-108" w:type="dxa"/>
        <w:tblCellMar>
          <w:top w:w="14" w:type="dxa"/>
          <w:left w:w="106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5072"/>
        <w:gridCol w:w="1558"/>
        <w:gridCol w:w="1419"/>
        <w:gridCol w:w="1524"/>
      </w:tblGrid>
      <w:tr w:rsidR="00F15F71">
        <w:trPr>
          <w:trHeight w:val="288"/>
        </w:trPr>
        <w:tc>
          <w:tcPr>
            <w:tcW w:w="507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6" w:right="9" w:firstLine="0"/>
              <w:jc w:val="center"/>
            </w:pPr>
            <w:r>
              <w:rPr>
                <w:b/>
                <w:i/>
              </w:rPr>
              <w:t xml:space="preserve">Ингаляционный кортикостероид (моно или в комбинации с ДДБА) </w:t>
            </w:r>
          </w:p>
        </w:tc>
        <w:tc>
          <w:tcPr>
            <w:tcW w:w="45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3" w:firstLine="0"/>
              <w:jc w:val="center"/>
            </w:pPr>
            <w:r>
              <w:rPr>
                <w:b/>
                <w:i/>
              </w:rPr>
              <w:t xml:space="preserve">Ежедневные дозы (мкг) </w:t>
            </w:r>
          </w:p>
        </w:tc>
      </w:tr>
      <w:tr w:rsidR="00F15F71">
        <w:trPr>
          <w:trHeight w:val="48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i/>
              </w:rPr>
              <w:t xml:space="preserve">Низкие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rPr>
                <w:b/>
                <w:i/>
              </w:rPr>
              <w:t xml:space="preserve">Средние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i/>
              </w:rPr>
              <w:t xml:space="preserve">Высокие </w:t>
            </w:r>
          </w:p>
        </w:tc>
      </w:tr>
      <w:tr w:rsidR="00F15F71">
        <w:trPr>
          <w:trHeight w:val="562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2864"/>
                <w:tab w:val="right" w:pos="4915"/>
              </w:tabs>
              <w:spacing w:after="28" w:line="259" w:lineRule="auto"/>
              <w:ind w:left="0" w:firstLine="0"/>
              <w:jc w:val="left"/>
            </w:pPr>
            <w:r>
              <w:t xml:space="preserve">Беклометазона </w:t>
            </w:r>
            <w:r>
              <w:tab/>
              <w:t xml:space="preserve">дипропионат** </w:t>
            </w:r>
            <w:r>
              <w:tab/>
              <w:t xml:space="preserve">(ДАИ,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стандартные частицы)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6" w:firstLine="0"/>
              <w:jc w:val="center"/>
            </w:pPr>
            <w:r>
              <w:t xml:space="preserve">100–200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15" w:firstLine="0"/>
              <w:jc w:val="left"/>
            </w:pPr>
            <w:r>
              <w:t xml:space="preserve">&gt;200–400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1" w:firstLine="0"/>
              <w:jc w:val="center"/>
            </w:pPr>
            <w:r>
              <w:t xml:space="preserve">&gt;400 </w:t>
            </w:r>
          </w:p>
        </w:tc>
      </w:tr>
      <w:tr w:rsidR="00F15F71">
        <w:trPr>
          <w:trHeight w:val="562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2892"/>
                <w:tab w:val="right" w:pos="4915"/>
              </w:tabs>
              <w:spacing w:after="28" w:line="259" w:lineRule="auto"/>
              <w:ind w:left="0" w:firstLine="0"/>
              <w:jc w:val="left"/>
            </w:pPr>
            <w:r>
              <w:t xml:space="preserve">Беклометазона </w:t>
            </w:r>
            <w:r>
              <w:tab/>
              <w:t xml:space="preserve">дипропионат** </w:t>
            </w:r>
            <w:r>
              <w:tab/>
              <w:t xml:space="preserve">(ДАИ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ультрамелкие частицы)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6" w:firstLine="0"/>
              <w:jc w:val="center"/>
            </w:pPr>
            <w:r>
              <w:t xml:space="preserve">50–100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15" w:firstLine="0"/>
              <w:jc w:val="left"/>
            </w:pPr>
            <w:r>
              <w:t xml:space="preserve">&gt;200–400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1" w:firstLine="0"/>
              <w:jc w:val="center"/>
            </w:pPr>
            <w:r>
              <w:t xml:space="preserve">&gt;200 </w:t>
            </w:r>
          </w:p>
        </w:tc>
      </w:tr>
      <w:tr w:rsidR="00F15F71">
        <w:trPr>
          <w:trHeight w:val="562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Будесонид** (ДПИ или ДАИ стандартные частицы)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6" w:firstLine="0"/>
              <w:jc w:val="center"/>
            </w:pPr>
            <w:r>
              <w:t xml:space="preserve">100–200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15" w:firstLine="0"/>
              <w:jc w:val="left"/>
            </w:pPr>
            <w:r>
              <w:t xml:space="preserve">&gt;200–400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1" w:firstLine="0"/>
              <w:jc w:val="center"/>
            </w:pPr>
            <w:r>
              <w:t xml:space="preserve">&gt;400 </w:t>
            </w:r>
          </w:p>
        </w:tc>
      </w:tr>
      <w:tr w:rsidR="00F15F71">
        <w:trPr>
          <w:trHeight w:val="286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Будесонид** (небулизированный)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6" w:firstLine="0"/>
              <w:jc w:val="center"/>
            </w:pPr>
            <w:r>
              <w:t xml:space="preserve">250–500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4" w:firstLine="0"/>
              <w:jc w:val="left"/>
            </w:pPr>
            <w:r>
              <w:t xml:space="preserve">&gt;500-1000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1" w:firstLine="0"/>
              <w:jc w:val="center"/>
            </w:pPr>
            <w:r>
              <w:t xml:space="preserve">&gt;1000 </w:t>
            </w:r>
          </w:p>
        </w:tc>
      </w:tr>
      <w:tr w:rsidR="00F15F71">
        <w:trPr>
          <w:trHeight w:val="288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Флутиказона пропионат** (ДПИ)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6" w:firstLine="0"/>
              <w:jc w:val="center"/>
            </w:pPr>
            <w:r>
              <w:t xml:space="preserve">50–100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15" w:firstLine="0"/>
              <w:jc w:val="left"/>
            </w:pPr>
            <w:r>
              <w:t xml:space="preserve">&gt;100–200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1" w:firstLine="0"/>
              <w:jc w:val="center"/>
            </w:pPr>
            <w:r>
              <w:t xml:space="preserve">&gt;200 </w:t>
            </w:r>
          </w:p>
        </w:tc>
      </w:tr>
      <w:tr w:rsidR="00F15F71">
        <w:trPr>
          <w:trHeight w:val="562"/>
        </w:trPr>
        <w:tc>
          <w:tcPr>
            <w:tcW w:w="5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>Флутиказона пропионат</w:t>
            </w:r>
            <w:r>
              <w:rPr>
                <w:color w:val="212121"/>
                <w:vertAlign w:val="superscript"/>
              </w:rPr>
              <w:t>**</w:t>
            </w:r>
            <w:r>
              <w:t xml:space="preserve"> </w:t>
            </w:r>
            <w:r>
              <w:t xml:space="preserve">(ДАИ, стандартные частицы)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6" w:firstLine="0"/>
              <w:jc w:val="center"/>
            </w:pPr>
            <w:r>
              <w:t xml:space="preserve">50–100 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15" w:firstLine="0"/>
              <w:jc w:val="left"/>
            </w:pPr>
            <w:r>
              <w:t xml:space="preserve">&gt;100–200 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1" w:firstLine="0"/>
              <w:jc w:val="center"/>
            </w:pPr>
            <w:r>
              <w:t xml:space="preserve">&gt;200 </w:t>
            </w:r>
          </w:p>
        </w:tc>
      </w:tr>
    </w:tbl>
    <w:p w:rsidR="00F15F71" w:rsidRDefault="00F974CD">
      <w:pPr>
        <w:spacing w:line="279" w:lineRule="auto"/>
        <w:ind w:left="10" w:right="841"/>
      </w:pPr>
      <w:r>
        <w:rPr>
          <w:b/>
        </w:rPr>
        <w:t>Примечание</w:t>
      </w:r>
      <w:r>
        <w:t xml:space="preserve">: эти лекарственные эквиваленты являются приблизительными и зависят от ряда факторов, в том числе ингаляционной техники. </w:t>
      </w:r>
    </w:p>
    <w:p w:rsidR="00F15F71" w:rsidRDefault="00F974CD">
      <w:pPr>
        <w:spacing w:after="263" w:line="285" w:lineRule="auto"/>
        <w:ind w:left="-5" w:right="666"/>
        <w:jc w:val="left"/>
      </w:pPr>
      <w:r>
        <w:t xml:space="preserve">ДАИ - дозированный аэрозольный ингалятор; ДПИ – </w:t>
      </w:r>
      <w:r>
        <w:t xml:space="preserve">дозированный порошковый ингалятор; ДАИ - дозированный аэрозольный ингалятор; * См. инструкцию по медицинскому применению. </w:t>
      </w:r>
    </w:p>
    <w:p w:rsidR="00F15F71" w:rsidRDefault="00F974CD">
      <w:pPr>
        <w:pStyle w:val="Heading4"/>
        <w:spacing w:after="85"/>
        <w:ind w:left="-5" w:right="10"/>
      </w:pPr>
      <w:bookmarkStart w:id="49" w:name="_Toc275206"/>
      <w:r>
        <w:t xml:space="preserve">Приложение А3.4. Низкие дозы для ежедневного применения у детей младше 5 лет  </w:t>
      </w:r>
      <w:bookmarkEnd w:id="49"/>
    </w:p>
    <w:p w:rsidR="00F15F71" w:rsidRDefault="00F974CD">
      <w:pPr>
        <w:spacing w:after="0" w:line="259" w:lineRule="auto"/>
        <w:ind w:left="0" w:firstLine="0"/>
        <w:jc w:val="left"/>
      </w:pPr>
      <w:r>
        <w:t xml:space="preserve"> </w:t>
      </w:r>
    </w:p>
    <w:tbl>
      <w:tblPr>
        <w:tblStyle w:val="TableGrid"/>
        <w:tblW w:w="9573" w:type="dxa"/>
        <w:tblInd w:w="-108" w:type="dxa"/>
        <w:tblCellMar>
          <w:top w:w="1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787"/>
        <w:gridCol w:w="4786"/>
      </w:tblGrid>
      <w:tr w:rsidR="00F15F71">
        <w:trPr>
          <w:trHeight w:val="1114"/>
        </w:trPr>
        <w:tc>
          <w:tcPr>
            <w:tcW w:w="4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" w:firstLine="0"/>
              <w:jc w:val="center"/>
            </w:pPr>
            <w:r>
              <w:rPr>
                <w:b/>
                <w:i/>
              </w:rPr>
              <w:t xml:space="preserve">Ингаляционный кортикостероид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5" w:firstLine="0"/>
              <w:jc w:val="center"/>
            </w:pPr>
            <w:r>
              <w:rPr>
                <w:b/>
                <w:i/>
              </w:rPr>
              <w:t xml:space="preserve">Низкие ежедневные дозы (мкг) </w:t>
            </w:r>
          </w:p>
          <w:p w:rsidR="00F15F71" w:rsidRDefault="00F974CD">
            <w:pPr>
              <w:spacing w:after="50" w:line="238" w:lineRule="auto"/>
              <w:ind w:left="0" w:firstLine="0"/>
              <w:jc w:val="center"/>
            </w:pPr>
            <w:r>
              <w:rPr>
                <w:b/>
                <w:i/>
              </w:rPr>
              <w:t xml:space="preserve">(возрастные группы с доказанной безопаностью применения и хорошей </w:t>
            </w:r>
          </w:p>
          <w:p w:rsidR="00F15F71" w:rsidRDefault="00F974CD">
            <w:pPr>
              <w:spacing w:after="0" w:line="259" w:lineRule="auto"/>
              <w:ind w:left="6" w:firstLine="0"/>
              <w:jc w:val="center"/>
            </w:pPr>
            <w:r>
              <w:rPr>
                <w:b/>
                <w:i/>
              </w:rPr>
              <w:t xml:space="preserve">эффективностью) </w:t>
            </w:r>
          </w:p>
        </w:tc>
      </w:tr>
      <w:tr w:rsidR="00F15F71">
        <w:trPr>
          <w:trHeight w:val="562"/>
        </w:trPr>
        <w:tc>
          <w:tcPr>
            <w:tcW w:w="4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Беклометазона дипропионат**(ДАИ</w:t>
            </w:r>
            <w:r>
              <w:rPr>
                <w:vertAlign w:val="superscript"/>
              </w:rPr>
              <w:footnoteReference w:id="4"/>
            </w:r>
            <w:r>
              <w:t xml:space="preserve">, стандартные частицы)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100 (5 лет и старше) </w:t>
            </w:r>
          </w:p>
        </w:tc>
      </w:tr>
      <w:tr w:rsidR="00F15F71">
        <w:trPr>
          <w:trHeight w:val="564"/>
        </w:trPr>
        <w:tc>
          <w:tcPr>
            <w:tcW w:w="4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Беклометазона дипропионат** (ДАИ, ультрамелкие частицы) 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50 (5 лет и старше) </w:t>
            </w:r>
          </w:p>
        </w:tc>
      </w:tr>
      <w:tr w:rsidR="00F15F71">
        <w:trPr>
          <w:trHeight w:val="286"/>
        </w:trPr>
        <w:tc>
          <w:tcPr>
            <w:tcW w:w="4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Будесонид** (небулизированный )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500 (1 год и старше) </w:t>
            </w:r>
          </w:p>
        </w:tc>
      </w:tr>
      <w:tr w:rsidR="00F15F71">
        <w:trPr>
          <w:trHeight w:val="562"/>
        </w:trPr>
        <w:tc>
          <w:tcPr>
            <w:tcW w:w="4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Флутиказона пропионат** (ДАИ, стандартные частицы)</w:t>
            </w:r>
            <w:r>
              <w:rPr>
                <w:vertAlign w:val="superscript"/>
              </w:rPr>
              <w:footnoteReference w:id="5"/>
            </w:r>
            <w:r>
              <w:t xml:space="preserve">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50 </w:t>
            </w:r>
          </w:p>
        </w:tc>
      </w:tr>
      <w:tr w:rsidR="00F15F71">
        <w:trPr>
          <w:trHeight w:val="562"/>
        </w:trPr>
        <w:tc>
          <w:tcPr>
            <w:tcW w:w="4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Флутиказона фуроат (ДПИ)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Недостаточно исследован у детей 5 лет и младше </w:t>
            </w:r>
          </w:p>
        </w:tc>
      </w:tr>
      <w:tr w:rsidR="00F15F71">
        <w:trPr>
          <w:trHeight w:val="562"/>
        </w:trPr>
        <w:tc>
          <w:tcPr>
            <w:tcW w:w="4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Мометазона фуроат (ДАИ, стандартные частицы)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100 (5 лет и старше) </w:t>
            </w:r>
          </w:p>
        </w:tc>
      </w:tr>
      <w:tr w:rsidR="00F15F71">
        <w:trPr>
          <w:trHeight w:val="562"/>
        </w:trPr>
        <w:tc>
          <w:tcPr>
            <w:tcW w:w="4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Циклесонид (ДАИ, ультрамелкие частицы)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Недостаточно исследован у детей 5 лет и младше </w:t>
            </w:r>
          </w:p>
        </w:tc>
      </w:tr>
    </w:tbl>
    <w:p w:rsidR="00F15F71" w:rsidRDefault="00F974CD">
      <w:pPr>
        <w:pStyle w:val="Heading1"/>
        <w:spacing w:after="383"/>
        <w:ind w:left="2111" w:right="0"/>
        <w:jc w:val="left"/>
      </w:pPr>
      <w:bookmarkStart w:id="50" w:name="_Toc275207"/>
      <w:r>
        <w:t xml:space="preserve">Приложение Б. Алгоритмы действий врача </w:t>
      </w:r>
      <w:bookmarkEnd w:id="50"/>
    </w:p>
    <w:p w:rsidR="00F15F71" w:rsidRDefault="00F974CD">
      <w:pPr>
        <w:pStyle w:val="Heading4"/>
        <w:ind w:left="1107" w:right="10"/>
      </w:pPr>
      <w:bookmarkStart w:id="51" w:name="_Toc275208"/>
      <w:r>
        <w:t xml:space="preserve">Приложение Б1. Алгоритм обследования пациента с подозрением на БА </w:t>
      </w:r>
      <w:bookmarkEnd w:id="51"/>
    </w:p>
    <w:p w:rsidR="00F15F71" w:rsidRDefault="00F974CD">
      <w:pPr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73470" cy="3944290"/>
                <wp:effectExtent l="0" t="0" r="0" b="0"/>
                <wp:docPr id="249307" name="Group 2493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3470" cy="3944290"/>
                          <a:chOff x="0" y="0"/>
                          <a:chExt cx="6173470" cy="3944290"/>
                        </a:xfrm>
                      </wpg:grpSpPr>
                      <wps:wsp>
                        <wps:cNvPr id="29920" name="Rectangle 29920"/>
                        <wps:cNvSpPr/>
                        <wps:spPr>
                          <a:xfrm>
                            <a:off x="449580" y="0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8281" name="Shape 278281"/>
                        <wps:cNvSpPr/>
                        <wps:spPr>
                          <a:xfrm>
                            <a:off x="0" y="256058"/>
                            <a:ext cx="6134100" cy="3654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34100" h="3654425">
                                <a:moveTo>
                                  <a:pt x="0" y="0"/>
                                </a:moveTo>
                                <a:lnTo>
                                  <a:pt x="6134100" y="0"/>
                                </a:lnTo>
                                <a:lnTo>
                                  <a:pt x="6134100" y="3654425"/>
                                </a:lnTo>
                                <a:lnTo>
                                  <a:pt x="0" y="36544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82" name="Shape 278282"/>
                        <wps:cNvSpPr/>
                        <wps:spPr>
                          <a:xfrm>
                            <a:off x="762" y="256819"/>
                            <a:ext cx="6134101" cy="36544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34101" h="3654426">
                                <a:moveTo>
                                  <a:pt x="0" y="0"/>
                                </a:moveTo>
                                <a:lnTo>
                                  <a:pt x="6134101" y="0"/>
                                </a:lnTo>
                                <a:lnTo>
                                  <a:pt x="6134101" y="3654426"/>
                                </a:lnTo>
                                <a:lnTo>
                                  <a:pt x="0" y="36544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70427" name="Picture 270427"/>
                          <pic:cNvPicPr/>
                        </pic:nvPicPr>
                        <pic:blipFill>
                          <a:blip r:embed="rId1511"/>
                          <a:stretch>
                            <a:fillRect/>
                          </a:stretch>
                        </pic:blipFill>
                        <pic:spPr>
                          <a:xfrm>
                            <a:off x="-1777" y="252883"/>
                            <a:ext cx="6135625" cy="3657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925" name="Rectangle 29925"/>
                        <wps:cNvSpPr/>
                        <wps:spPr>
                          <a:xfrm>
                            <a:off x="6135370" y="377558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49307" style="width:486.1pt;height:310.574pt;mso-position-horizontal-relative:char;mso-position-vertical-relative:line" coordsize="61734,39442">
                <v:rect id="Rectangle 29920" style="position:absolute;width:506;height:2243;left:4495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278283" style="position:absolute;width:61341;height:36544;left:0;top:2560;" coordsize="6134100,3654425" path="m0,0l6134100,0l6134100,3654425l0,3654425l0,0">
                  <v:stroke weight="0pt" endcap="flat" joinstyle="miter" miterlimit="10" on="false" color="#000000" opacity="0"/>
                  <v:fill on="true" color="#ccffff"/>
                </v:shape>
                <v:shape id="Shape 278284" style="position:absolute;width:61341;height:36544;left:7;top:2568;" coordsize="6134101,3654426" path="m0,0l6134101,0l6134101,3654426l0,3654426l0,0">
                  <v:stroke weight="0pt" endcap="flat" joinstyle="miter" miterlimit="10" on="false" color="#000000" opacity="0"/>
                  <v:fill on="true" color="#ccffff"/>
                </v:shape>
                <v:shape id="Picture 270427" style="position:absolute;width:61356;height:36576;left:-17;top:2528;" filled="f">
                  <v:imagedata r:id="rId1512"/>
                </v:shape>
                <v:rect id="Rectangle 29925" style="position:absolute;width:506;height:2243;left:61353;top:377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F15F71" w:rsidRDefault="00F974CD">
      <w:pPr>
        <w:pStyle w:val="Heading4"/>
        <w:spacing w:after="154"/>
        <w:ind w:left="255" w:right="10"/>
      </w:pPr>
      <w:bookmarkStart w:id="52" w:name="_Toc275209"/>
      <w:r>
        <w:t xml:space="preserve">Приложение Б2. </w:t>
      </w:r>
      <w:r>
        <w:t xml:space="preserve">Подтверждение вариабельности дыхательных объемов у детей в </w:t>
      </w:r>
      <w:bookmarkEnd w:id="52"/>
    </w:p>
    <w:p w:rsidR="00F15F71" w:rsidRDefault="00F974CD">
      <w:pPr>
        <w:pStyle w:val="Heading3"/>
        <w:spacing w:after="0"/>
        <w:ind w:left="10" w:right="849"/>
        <w:jc w:val="center"/>
      </w:pPr>
      <w:bookmarkStart w:id="53" w:name="_Toc275210"/>
      <w:r>
        <w:rPr>
          <w:u w:val="none"/>
        </w:rPr>
        <w:t xml:space="preserve">возрасте старше 6 лет и взрослых </w:t>
      </w:r>
      <w:bookmarkEnd w:id="53"/>
    </w:p>
    <w:tbl>
      <w:tblPr>
        <w:tblStyle w:val="TableGrid"/>
        <w:tblW w:w="9573" w:type="dxa"/>
        <w:tblInd w:w="-108" w:type="dxa"/>
        <w:tblCellMar>
          <w:top w:w="47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696"/>
        <w:gridCol w:w="6877"/>
      </w:tblGrid>
      <w:tr w:rsidR="00F15F71">
        <w:trPr>
          <w:trHeight w:val="425"/>
        </w:trPr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31" w:firstLine="0"/>
              <w:jc w:val="center"/>
            </w:pPr>
            <w:r>
              <w:t xml:space="preserve"> </w:t>
            </w:r>
            <w:r>
              <w:rPr>
                <w:b/>
              </w:rPr>
              <w:t xml:space="preserve">Критерии </w:t>
            </w:r>
          </w:p>
        </w:tc>
        <w:tc>
          <w:tcPr>
            <w:tcW w:w="6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rPr>
                <w:b/>
              </w:rPr>
              <w:t xml:space="preserve">Интерпретация  </w:t>
            </w:r>
          </w:p>
        </w:tc>
      </w:tr>
      <w:tr w:rsidR="00F15F71">
        <w:trPr>
          <w:trHeight w:val="1666"/>
        </w:trPr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5" w:line="254" w:lineRule="auto"/>
              <w:ind w:left="0" w:firstLine="0"/>
              <w:jc w:val="left"/>
            </w:pPr>
            <w:r>
              <w:rPr>
                <w:b/>
                <w:i/>
              </w:rPr>
              <w:t>1.</w:t>
            </w:r>
            <w:r>
              <w:rPr>
                <w:rFonts w:ascii="Arial" w:eastAsia="Arial" w:hAnsi="Arial" w:cs="Arial"/>
                <w:b/>
                <w:i/>
              </w:rPr>
              <w:t xml:space="preserve"> </w:t>
            </w:r>
            <w:r>
              <w:rPr>
                <w:rFonts w:ascii="Arial" w:eastAsia="Arial" w:hAnsi="Arial" w:cs="Arial"/>
                <w:b/>
                <w:i/>
              </w:rPr>
              <w:tab/>
            </w:r>
            <w:r>
              <w:rPr>
                <w:b/>
                <w:i/>
              </w:rPr>
              <w:t xml:space="preserve">Документально подтвержденная вариабельность функции легких </w:t>
            </w:r>
          </w:p>
          <w:p w:rsidR="00F15F71" w:rsidRDefault="00F974CD">
            <w:pPr>
              <w:tabs>
                <w:tab w:val="center" w:pos="973"/>
                <w:tab w:val="center" w:pos="1645"/>
                <w:tab w:val="right" w:pos="2588"/>
              </w:tabs>
              <w:spacing w:after="32" w:line="259" w:lineRule="auto"/>
              <w:ind w:left="0" w:firstLine="0"/>
              <w:jc w:val="left"/>
            </w:pPr>
            <w:r>
              <w:rPr>
                <w:b/>
                <w:i/>
              </w:rPr>
              <w:t xml:space="preserve">(один </w:t>
            </w:r>
            <w:r>
              <w:rPr>
                <w:b/>
                <w:i/>
              </w:rPr>
              <w:tab/>
              <w:t xml:space="preserve">и </w:t>
            </w:r>
            <w:r>
              <w:rPr>
                <w:b/>
                <w:i/>
              </w:rPr>
              <w:tab/>
              <w:t xml:space="preserve">более </w:t>
            </w:r>
            <w:r>
              <w:rPr>
                <w:b/>
                <w:i/>
              </w:rPr>
              <w:tab/>
              <w:t xml:space="preserve">из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i/>
              </w:rPr>
              <w:t>перечисленных)</w:t>
            </w:r>
            <w:r>
              <w:t xml:space="preserve"> </w:t>
            </w:r>
          </w:p>
        </w:tc>
        <w:tc>
          <w:tcPr>
            <w:tcW w:w="6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79" w:lineRule="auto"/>
              <w:ind w:left="0" w:firstLine="0"/>
            </w:pPr>
            <w:r>
              <w:t xml:space="preserve">Чем сильнее выражена вариабельность или чем чаще она выявляется, тем больше вероятность диагноза астмы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При отрицательных первичных результатах исследование необходимо повторить в период ухудшения или ранним утром </w:t>
            </w:r>
          </w:p>
        </w:tc>
      </w:tr>
      <w:tr w:rsidR="00F15F71">
        <w:trPr>
          <w:trHeight w:val="2494"/>
        </w:trPr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09" w:firstLine="0"/>
            </w:pPr>
            <w:r>
              <w:t>Положительный тест на обратимость бронхи</w:t>
            </w:r>
            <w:r>
              <w:t xml:space="preserve">альной обструкции (исследование дыхательных объемов с применением лекарственных препаратов) </w:t>
            </w:r>
          </w:p>
        </w:tc>
        <w:tc>
          <w:tcPr>
            <w:tcW w:w="6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3" w:line="259" w:lineRule="auto"/>
              <w:ind w:left="0" w:right="113" w:firstLine="0"/>
            </w:pPr>
            <w:r>
              <w:rPr>
                <w:u w:val="single" w:color="000000"/>
              </w:rPr>
              <w:t>Взрослые</w:t>
            </w:r>
            <w:r>
              <w:t xml:space="preserve">: увеличение ОФВ1 более чем на 12% и &gt;200 мл (вероятность диагноза БА выше, если увеличение ОВФ1 составляет &gt;15% и &gt;400 мл)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Дети:</w:t>
            </w:r>
            <w:r>
              <w:t xml:space="preserve"> </w:t>
            </w:r>
            <w:r>
              <w:t xml:space="preserve">увеличение ОФВ1 по сравнению с исходным уровнем на &gt;12% от прогнозируемого.  </w:t>
            </w:r>
          </w:p>
        </w:tc>
      </w:tr>
      <w:tr w:rsidR="00F15F71">
        <w:trPr>
          <w:trHeight w:val="1390"/>
        </w:trPr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09" w:firstLine="0"/>
            </w:pPr>
            <w:r>
              <w:t xml:space="preserve">Значительная вариабельность PEF, измеряемого дважды в день (утром и вечером), в течение 2 недель </w:t>
            </w:r>
          </w:p>
        </w:tc>
        <w:tc>
          <w:tcPr>
            <w:tcW w:w="6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3" w:line="259" w:lineRule="auto"/>
              <w:ind w:left="0" w:firstLine="0"/>
              <w:jc w:val="left"/>
            </w:pPr>
            <w:r>
              <w:rPr>
                <w:u w:val="single" w:color="000000"/>
              </w:rPr>
              <w:t>Взрослые:</w:t>
            </w:r>
            <w:r>
              <w:t xml:space="preserve"> среднесуточная вариабельность PEF &gt;10%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u w:val="single" w:color="000000"/>
              </w:rPr>
              <w:t>Дети</w:t>
            </w:r>
            <w:r>
              <w:t>: среднесуточная вариабел</w:t>
            </w:r>
            <w:r>
              <w:t xml:space="preserve">ьность PEF &gt;13% </w:t>
            </w:r>
          </w:p>
        </w:tc>
      </w:tr>
      <w:tr w:rsidR="00F15F71">
        <w:trPr>
          <w:trHeight w:val="1116"/>
        </w:trPr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11" w:firstLine="0"/>
            </w:pPr>
            <w:r>
              <w:t xml:space="preserve">Улучшение легочной функции через 4 недели лечения </w:t>
            </w:r>
          </w:p>
        </w:tc>
        <w:tc>
          <w:tcPr>
            <w:tcW w:w="6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12" w:firstLine="0"/>
            </w:pPr>
            <w:r>
              <w:rPr>
                <w:u w:val="single" w:color="000000"/>
              </w:rPr>
              <w:t>Взрослые:</w:t>
            </w:r>
            <w:r>
              <w:t xml:space="preserve"> </w:t>
            </w:r>
            <w:r>
              <w:t xml:space="preserve">увеличение ОФВ1 более чем на 12% и &gt;200 мл (или ПСВ более, чем на 20%) по сравнению с исходным уровнем спустя 4 недели лечения ИГКС. Измерение проводится при отсутствии признаков респираторной инфекции. </w:t>
            </w:r>
          </w:p>
        </w:tc>
      </w:tr>
      <w:tr w:rsidR="00F15F71">
        <w:trPr>
          <w:trHeight w:val="1666"/>
        </w:trPr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38" w:lineRule="auto"/>
              <w:ind w:left="0" w:firstLine="0"/>
            </w:pPr>
            <w:r>
              <w:t xml:space="preserve">Положительный тест с физической нагрузкой </w:t>
            </w:r>
          </w:p>
          <w:p w:rsidR="00F15F71" w:rsidRDefault="00F974CD">
            <w:pPr>
              <w:spacing w:after="45" w:line="238" w:lineRule="auto"/>
              <w:ind w:left="0" w:right="109" w:firstLine="0"/>
            </w:pPr>
            <w:r>
              <w:t xml:space="preserve">(исследование дыхательных объемов при провокации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физической нагрузкой) </w:t>
            </w:r>
          </w:p>
        </w:tc>
        <w:tc>
          <w:tcPr>
            <w:tcW w:w="6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4" w:line="267" w:lineRule="auto"/>
              <w:ind w:left="0" w:firstLine="0"/>
            </w:pPr>
            <w:r>
              <w:rPr>
                <w:u w:val="single" w:color="000000"/>
              </w:rPr>
              <w:t>Взрослые</w:t>
            </w:r>
            <w:r>
              <w:t xml:space="preserve">: снижение ОФВ1 более, чем на 10% и &gt;200 мл от исходного уровня [362].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u w:val="single" w:color="000000"/>
              </w:rPr>
              <w:t>Дети:</w:t>
            </w:r>
            <w:r>
              <w:t xml:space="preserve"> снижение ОФВ1 более, чем на 12% от прогнозируемого или ПСВ более, чем на 15% от исходного уровня.</w:t>
            </w:r>
            <w:r>
              <w:t xml:space="preserve"> </w:t>
            </w:r>
          </w:p>
        </w:tc>
      </w:tr>
      <w:tr w:rsidR="00F15F71">
        <w:trPr>
          <w:trHeight w:val="2494"/>
        </w:trPr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6" w:line="250" w:lineRule="auto"/>
              <w:ind w:left="0" w:firstLine="0"/>
              <w:jc w:val="left"/>
            </w:pPr>
            <w:r>
              <w:t xml:space="preserve">Положительный бронхопровокационный тест </w:t>
            </w:r>
            <w:r>
              <w:tab/>
              <w:t xml:space="preserve">(исследование дыхательных объемов с применением лекарственных препаратов) </w:t>
            </w:r>
          </w:p>
          <w:p w:rsidR="00F15F71" w:rsidRDefault="00F974CD">
            <w:pPr>
              <w:tabs>
                <w:tab w:val="right" w:pos="2588"/>
              </w:tabs>
              <w:spacing w:after="27" w:line="259" w:lineRule="auto"/>
              <w:ind w:left="0" w:firstLine="0"/>
              <w:jc w:val="left"/>
            </w:pPr>
            <w:r>
              <w:t xml:space="preserve">(проводится </w:t>
            </w:r>
            <w:r>
              <w:tab/>
              <w:t xml:space="preserve">у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взрослых) </w:t>
            </w:r>
          </w:p>
        </w:tc>
        <w:tc>
          <w:tcPr>
            <w:tcW w:w="6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10" w:firstLine="0"/>
            </w:pPr>
            <w:r>
              <w:t>Снижение ОФВ1 по сравнению с исходным уровнем на 15% и более при стандартной гипервентиляции, использовании  гипертонического солевого раствора или маннитола, или на 20% и более при использовании стандартных доз метахолина (с доступным для пробы веществом)</w:t>
            </w:r>
            <w:r>
              <w:t xml:space="preserve">. </w:t>
            </w:r>
          </w:p>
        </w:tc>
      </w:tr>
      <w:tr w:rsidR="00F15F71">
        <w:trPr>
          <w:trHeight w:val="1942"/>
        </w:trPr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Значительная </w:t>
            </w:r>
          </w:p>
          <w:p w:rsidR="00F15F71" w:rsidRDefault="00F974CD">
            <w:pPr>
              <w:spacing w:line="259" w:lineRule="auto"/>
              <w:ind w:left="0" w:firstLine="0"/>
              <w:jc w:val="left"/>
            </w:pPr>
            <w:r>
              <w:t xml:space="preserve">вариабельность </w:t>
            </w:r>
          </w:p>
          <w:p w:rsidR="00F15F71" w:rsidRDefault="00F974CD">
            <w:pPr>
              <w:tabs>
                <w:tab w:val="right" w:pos="2588"/>
              </w:tabs>
              <w:spacing w:after="28" w:line="259" w:lineRule="auto"/>
              <w:ind w:left="0" w:firstLine="0"/>
              <w:jc w:val="left"/>
            </w:pPr>
            <w:r>
              <w:t xml:space="preserve">легочной </w:t>
            </w:r>
            <w:r>
              <w:tab/>
              <w:t xml:space="preserve">функции </w:t>
            </w:r>
          </w:p>
          <w:p w:rsidR="00F15F71" w:rsidRDefault="00F974CD">
            <w:pPr>
              <w:spacing w:after="0" w:line="274" w:lineRule="auto"/>
              <w:ind w:left="708" w:hanging="708"/>
              <w:jc w:val="left"/>
            </w:pPr>
            <w:r>
              <w:t xml:space="preserve">между осмотрами  (высокая </w:t>
            </w:r>
          </w:p>
          <w:p w:rsidR="00F15F71" w:rsidRDefault="00F974CD">
            <w:pPr>
              <w:spacing w:line="259" w:lineRule="auto"/>
              <w:ind w:left="708" w:firstLine="0"/>
              <w:jc w:val="left"/>
            </w:pPr>
            <w:r>
              <w:t xml:space="preserve">специфичность, </w:t>
            </w:r>
          </w:p>
          <w:p w:rsidR="00F15F71" w:rsidRDefault="00F974CD">
            <w:pPr>
              <w:tabs>
                <w:tab w:val="right" w:pos="2588"/>
              </w:tabs>
              <w:spacing w:after="0" w:line="259" w:lineRule="auto"/>
              <w:ind w:left="0" w:firstLine="0"/>
              <w:jc w:val="left"/>
            </w:pPr>
            <w:r>
              <w:t xml:space="preserve">но </w:t>
            </w:r>
            <w:r>
              <w:tab/>
              <w:t xml:space="preserve">низкая </w:t>
            </w:r>
          </w:p>
        </w:tc>
        <w:tc>
          <w:tcPr>
            <w:tcW w:w="6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8" w:lineRule="auto"/>
              <w:ind w:left="0" w:right="113" w:firstLine="0"/>
            </w:pPr>
            <w:r>
              <w:rPr>
                <w:u w:val="single" w:color="000000"/>
              </w:rPr>
              <w:t>Взрослые</w:t>
            </w:r>
            <w:r>
              <w:t xml:space="preserve">: изменение ОФВ1 более, чем на 12% и &gt;200 мл между консультациями специалиста (вне признаков респираторной инфекции) </w:t>
            </w:r>
          </w:p>
          <w:p w:rsidR="00F15F71" w:rsidRDefault="00F974CD">
            <w:pPr>
              <w:spacing w:after="0" w:line="258" w:lineRule="auto"/>
              <w:ind w:left="0" w:right="111" w:firstLine="0"/>
            </w:pPr>
            <w:r>
              <w:rPr>
                <w:u w:val="single" w:color="000000"/>
              </w:rPr>
              <w:t>Дети</w:t>
            </w:r>
            <w:r>
              <w:t xml:space="preserve">: изменение ОФВ1 более, чем на 12% или изменение ПСВ более, чем на 15% между консультациями специалистов (в том числе и в период респираторной инфекции).  </w:t>
            </w:r>
          </w:p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t xml:space="preserve"> </w:t>
            </w:r>
          </w:p>
        </w:tc>
      </w:tr>
      <w:tr w:rsidR="00F15F71">
        <w:trPr>
          <w:trHeight w:val="288"/>
        </w:trPr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чувствительность) </w:t>
            </w:r>
          </w:p>
        </w:tc>
        <w:tc>
          <w:tcPr>
            <w:tcW w:w="6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286"/>
        </w:trPr>
        <w:tc>
          <w:tcPr>
            <w:tcW w:w="95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t xml:space="preserve">И </w:t>
            </w:r>
          </w:p>
        </w:tc>
      </w:tr>
      <w:tr w:rsidR="00F15F71">
        <w:trPr>
          <w:trHeight w:val="1390"/>
        </w:trPr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i/>
              </w:rPr>
              <w:t xml:space="preserve">2 </w:t>
            </w:r>
            <w:r>
              <w:rPr>
                <w:b/>
                <w:i/>
              </w:rPr>
              <w:tab/>
              <w:t xml:space="preserve">Документально подтвержденное ограничение экспираторного </w:t>
            </w:r>
            <w:r>
              <w:rPr>
                <w:b/>
                <w:i/>
              </w:rPr>
              <w:t>воздушного потока</w:t>
            </w:r>
            <w:r>
              <w:t xml:space="preserve"> </w:t>
            </w:r>
          </w:p>
        </w:tc>
        <w:tc>
          <w:tcPr>
            <w:tcW w:w="6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9" w:firstLine="0"/>
            </w:pPr>
            <w:r>
              <w:t xml:space="preserve">При снижении ОФВ1 подтверждено, что соотношение ОФВ1/ФЖЕЛ также снижено по сравнению с нижней границей нормы (&gt;0,75-0,80 у взрослых и &gt;0,90 у детей [363].  </w:t>
            </w:r>
          </w:p>
        </w:tc>
      </w:tr>
    </w:tbl>
    <w:p w:rsidR="00F15F71" w:rsidRDefault="00F974CD">
      <w:pPr>
        <w:spacing w:after="0" w:line="259" w:lineRule="auto"/>
        <w:ind w:left="708" w:firstLine="0"/>
      </w:pPr>
      <w:r>
        <w:t xml:space="preserve"> </w:t>
      </w:r>
      <w:r>
        <w:br w:type="page"/>
      </w:r>
    </w:p>
    <w:p w:rsidR="00F15F71" w:rsidRDefault="00F974CD">
      <w:pPr>
        <w:pStyle w:val="Heading4"/>
        <w:spacing w:line="401" w:lineRule="auto"/>
        <w:ind w:left="3629" w:right="516" w:hanging="2609"/>
      </w:pPr>
      <w:bookmarkStart w:id="54" w:name="_Toc275211"/>
      <w:r>
        <w:t xml:space="preserve">Приложение Б3. </w:t>
      </w:r>
      <w:r>
        <w:t xml:space="preserve">Клинические признаки, повышающие вероятность БА у детей младше 5 лет </w:t>
      </w:r>
      <w:bookmarkEnd w:id="54"/>
    </w:p>
    <w:p w:rsidR="00F15F71" w:rsidRDefault="00F974CD">
      <w:pPr>
        <w:tabs>
          <w:tab w:val="center" w:pos="1488"/>
          <w:tab w:val="center" w:pos="3478"/>
          <w:tab w:val="center" w:pos="5873"/>
          <w:tab w:val="center" w:pos="8267"/>
        </w:tabs>
        <w:spacing w:after="31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Вероятность  </w:t>
      </w:r>
      <w:r>
        <w:rPr>
          <w:b/>
        </w:rPr>
        <w:tab/>
        <w:t xml:space="preserve">БА маловероятна </w:t>
      </w:r>
      <w:r>
        <w:rPr>
          <w:b/>
        </w:rPr>
        <w:tab/>
        <w:t xml:space="preserve">БА вероятна </w:t>
      </w:r>
      <w:r>
        <w:rPr>
          <w:b/>
        </w:rPr>
        <w:tab/>
        <w:t xml:space="preserve">Высокая степень </w:t>
      </w:r>
    </w:p>
    <w:p w:rsidR="00F15F71" w:rsidRDefault="00F974CD">
      <w:pPr>
        <w:tabs>
          <w:tab w:val="center" w:pos="2011"/>
          <w:tab w:val="center" w:pos="8268"/>
        </w:tabs>
        <w:spacing w:after="31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БА </w:t>
      </w:r>
      <w:r>
        <w:rPr>
          <w:b/>
        </w:rPr>
        <w:tab/>
        <w:t xml:space="preserve">вероятности БА </w:t>
      </w:r>
    </w:p>
    <w:p w:rsidR="00F15F71" w:rsidRDefault="00F974CD">
      <w:pPr>
        <w:spacing w:line="270" w:lineRule="auto"/>
        <w:ind w:left="-5" w:right="10"/>
      </w:pPr>
      <w:r>
        <w:rPr>
          <w:b/>
        </w:rPr>
        <w:t xml:space="preserve">Показатель  </w:t>
      </w:r>
    </w:p>
    <w:p w:rsidR="00F15F71" w:rsidRDefault="00F974CD">
      <w:pPr>
        <w:spacing w:line="285" w:lineRule="auto"/>
        <w:ind w:left="-5" w:right="666"/>
        <w:jc w:val="left"/>
      </w:pPr>
      <w:r>
        <w:rPr>
          <w:b/>
        </w:rPr>
        <w:t xml:space="preserve">Симптомы, </w:t>
      </w:r>
      <w:r>
        <w:rPr>
          <w:b/>
        </w:rPr>
        <w:tab/>
      </w:r>
      <w:r>
        <w:t xml:space="preserve">Кашель, затруднение Кашель, затруднение Кашель, затруднение </w:t>
      </w:r>
      <w:r>
        <w:rPr>
          <w:b/>
        </w:rPr>
        <w:t xml:space="preserve">возникающие </w:t>
      </w:r>
      <w:r>
        <w:rPr>
          <w:b/>
        </w:rPr>
        <w:tab/>
        <w:t xml:space="preserve">во </w:t>
      </w:r>
      <w:r>
        <w:t>дых</w:t>
      </w:r>
      <w:r>
        <w:t xml:space="preserve">ание, свистящие дыхание, свистящие дыхание, свистящие </w:t>
      </w:r>
      <w:r>
        <w:rPr>
          <w:b/>
        </w:rPr>
        <w:t xml:space="preserve">время ОРИ </w:t>
      </w:r>
      <w:r>
        <w:rPr>
          <w:b/>
        </w:rPr>
        <w:tab/>
      </w:r>
      <w:r>
        <w:t xml:space="preserve">хрипы, </w:t>
      </w:r>
      <w:r>
        <w:tab/>
        <w:t xml:space="preserve">длящиеся хрипы, </w:t>
      </w:r>
      <w:r>
        <w:tab/>
        <w:t xml:space="preserve">длящиеся хрипы, </w:t>
      </w:r>
      <w:r>
        <w:tab/>
        <w:t xml:space="preserve">длящиеся менее 10 дней </w:t>
      </w:r>
      <w:r>
        <w:tab/>
        <w:t xml:space="preserve">более 10 дней </w:t>
      </w:r>
      <w:r>
        <w:tab/>
        <w:t xml:space="preserve">менее 10 дней </w:t>
      </w:r>
    </w:p>
    <w:p w:rsidR="00F15F71" w:rsidRDefault="00F974CD">
      <w:pPr>
        <w:spacing w:line="285" w:lineRule="auto"/>
        <w:ind w:left="-5" w:right="666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-71627</wp:posOffset>
                </wp:positionH>
                <wp:positionV relativeFrom="paragraph">
                  <wp:posOffset>-1280707</wp:posOffset>
                </wp:positionV>
                <wp:extent cx="6084773" cy="4420235"/>
                <wp:effectExtent l="0" t="0" r="0" b="0"/>
                <wp:wrapNone/>
                <wp:docPr id="250540" name="Group 2505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773" cy="4420235"/>
                          <a:chOff x="0" y="0"/>
                          <a:chExt cx="6084773" cy="4420235"/>
                        </a:xfrm>
                      </wpg:grpSpPr>
                      <wps:wsp>
                        <wps:cNvPr id="278285" name="Shape 278285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86" name="Shape 278286"/>
                        <wps:cNvSpPr/>
                        <wps:spPr>
                          <a:xfrm>
                            <a:off x="6096" y="0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87" name="Shape 278287"/>
                        <wps:cNvSpPr/>
                        <wps:spPr>
                          <a:xfrm>
                            <a:off x="1519758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88" name="Shape 278288"/>
                        <wps:cNvSpPr/>
                        <wps:spPr>
                          <a:xfrm>
                            <a:off x="1525854" y="0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89" name="Shape 278289"/>
                        <wps:cNvSpPr/>
                        <wps:spPr>
                          <a:xfrm>
                            <a:off x="3039441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90" name="Shape 278290"/>
                        <wps:cNvSpPr/>
                        <wps:spPr>
                          <a:xfrm>
                            <a:off x="3045536" y="0"/>
                            <a:ext cx="151333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332" h="9144">
                                <a:moveTo>
                                  <a:pt x="0" y="0"/>
                                </a:moveTo>
                                <a:lnTo>
                                  <a:pt x="1513332" y="0"/>
                                </a:lnTo>
                                <a:lnTo>
                                  <a:pt x="15133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91" name="Shape 278291"/>
                        <wps:cNvSpPr/>
                        <wps:spPr>
                          <a:xfrm>
                            <a:off x="4558868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92" name="Shape 278292"/>
                        <wps:cNvSpPr/>
                        <wps:spPr>
                          <a:xfrm>
                            <a:off x="4564965" y="0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93" name="Shape 278293"/>
                        <wps:cNvSpPr/>
                        <wps:spPr>
                          <a:xfrm>
                            <a:off x="6078677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94" name="Shape 278294"/>
                        <wps:cNvSpPr/>
                        <wps:spPr>
                          <a:xfrm>
                            <a:off x="0" y="6096"/>
                            <a:ext cx="9144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730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7304"/>
                                </a:lnTo>
                                <a:lnTo>
                                  <a:pt x="0" y="52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95" name="Shape 278295"/>
                        <wps:cNvSpPr/>
                        <wps:spPr>
                          <a:xfrm>
                            <a:off x="1519758" y="6096"/>
                            <a:ext cx="9144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730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7304"/>
                                </a:lnTo>
                                <a:lnTo>
                                  <a:pt x="0" y="52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322" name="Shape 30322"/>
                        <wps:cNvSpPr/>
                        <wps:spPr>
                          <a:xfrm>
                            <a:off x="6096" y="6096"/>
                            <a:ext cx="1513662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662" h="527304">
                                <a:moveTo>
                                  <a:pt x="0" y="0"/>
                                </a:moveTo>
                                <a:lnTo>
                                  <a:pt x="1513662" y="527304"/>
                                </a:lnTo>
                              </a:path>
                            </a:pathLst>
                          </a:custGeom>
                          <a:ln w="609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96" name="Shape 278296"/>
                        <wps:cNvSpPr/>
                        <wps:spPr>
                          <a:xfrm>
                            <a:off x="3039441" y="6096"/>
                            <a:ext cx="9144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730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7304"/>
                                </a:lnTo>
                                <a:lnTo>
                                  <a:pt x="0" y="52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97" name="Shape 278297"/>
                        <wps:cNvSpPr/>
                        <wps:spPr>
                          <a:xfrm>
                            <a:off x="4558868" y="6096"/>
                            <a:ext cx="9144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730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7304"/>
                                </a:lnTo>
                                <a:lnTo>
                                  <a:pt x="0" y="52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98" name="Shape 278298"/>
                        <wps:cNvSpPr/>
                        <wps:spPr>
                          <a:xfrm>
                            <a:off x="6078677" y="6096"/>
                            <a:ext cx="9144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730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7304"/>
                                </a:lnTo>
                                <a:lnTo>
                                  <a:pt x="0" y="52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299" name="Shape 278299"/>
                        <wps:cNvSpPr/>
                        <wps:spPr>
                          <a:xfrm>
                            <a:off x="0" y="5334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00" name="Shape 278300"/>
                        <wps:cNvSpPr/>
                        <wps:spPr>
                          <a:xfrm>
                            <a:off x="6096" y="533400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01" name="Shape 278301"/>
                        <wps:cNvSpPr/>
                        <wps:spPr>
                          <a:xfrm>
                            <a:off x="1519758" y="5334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02" name="Shape 278302"/>
                        <wps:cNvSpPr/>
                        <wps:spPr>
                          <a:xfrm>
                            <a:off x="1525854" y="533400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03" name="Shape 278303"/>
                        <wps:cNvSpPr/>
                        <wps:spPr>
                          <a:xfrm>
                            <a:off x="3039441" y="5334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04" name="Shape 278304"/>
                        <wps:cNvSpPr/>
                        <wps:spPr>
                          <a:xfrm>
                            <a:off x="3045536" y="533400"/>
                            <a:ext cx="151333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332" h="9144">
                                <a:moveTo>
                                  <a:pt x="0" y="0"/>
                                </a:moveTo>
                                <a:lnTo>
                                  <a:pt x="1513332" y="0"/>
                                </a:lnTo>
                                <a:lnTo>
                                  <a:pt x="15133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05" name="Shape 278305"/>
                        <wps:cNvSpPr/>
                        <wps:spPr>
                          <a:xfrm>
                            <a:off x="4558868" y="5334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06" name="Shape 278306"/>
                        <wps:cNvSpPr/>
                        <wps:spPr>
                          <a:xfrm>
                            <a:off x="4564965" y="533400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07" name="Shape 278307"/>
                        <wps:cNvSpPr/>
                        <wps:spPr>
                          <a:xfrm>
                            <a:off x="6078677" y="53340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08" name="Shape 278308"/>
                        <wps:cNvSpPr/>
                        <wps:spPr>
                          <a:xfrm>
                            <a:off x="0" y="539496"/>
                            <a:ext cx="9144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04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040"/>
                                </a:lnTo>
                                <a:lnTo>
                                  <a:pt x="0" y="7010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09" name="Shape 278309"/>
                        <wps:cNvSpPr/>
                        <wps:spPr>
                          <a:xfrm>
                            <a:off x="1519758" y="539496"/>
                            <a:ext cx="9144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04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040"/>
                                </a:lnTo>
                                <a:lnTo>
                                  <a:pt x="0" y="7010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10" name="Shape 278310"/>
                        <wps:cNvSpPr/>
                        <wps:spPr>
                          <a:xfrm>
                            <a:off x="3039441" y="539496"/>
                            <a:ext cx="9144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04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040"/>
                                </a:lnTo>
                                <a:lnTo>
                                  <a:pt x="0" y="7010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11" name="Shape 278311"/>
                        <wps:cNvSpPr/>
                        <wps:spPr>
                          <a:xfrm>
                            <a:off x="4558868" y="539496"/>
                            <a:ext cx="9144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04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040"/>
                                </a:lnTo>
                                <a:lnTo>
                                  <a:pt x="0" y="7010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12" name="Shape 278312"/>
                        <wps:cNvSpPr/>
                        <wps:spPr>
                          <a:xfrm>
                            <a:off x="6078677" y="539496"/>
                            <a:ext cx="9144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04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040"/>
                                </a:lnTo>
                                <a:lnTo>
                                  <a:pt x="0" y="7010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13" name="Shape 278313"/>
                        <wps:cNvSpPr/>
                        <wps:spPr>
                          <a:xfrm>
                            <a:off x="0" y="124053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14" name="Shape 278314"/>
                        <wps:cNvSpPr/>
                        <wps:spPr>
                          <a:xfrm>
                            <a:off x="6096" y="1240536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15" name="Shape 278315"/>
                        <wps:cNvSpPr/>
                        <wps:spPr>
                          <a:xfrm>
                            <a:off x="1519758" y="124053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16" name="Shape 278316"/>
                        <wps:cNvSpPr/>
                        <wps:spPr>
                          <a:xfrm>
                            <a:off x="1525854" y="1240536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17" name="Shape 278317"/>
                        <wps:cNvSpPr/>
                        <wps:spPr>
                          <a:xfrm>
                            <a:off x="3039441" y="124053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18" name="Shape 278318"/>
                        <wps:cNvSpPr/>
                        <wps:spPr>
                          <a:xfrm>
                            <a:off x="3045536" y="1240536"/>
                            <a:ext cx="151333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332" h="9144">
                                <a:moveTo>
                                  <a:pt x="0" y="0"/>
                                </a:moveTo>
                                <a:lnTo>
                                  <a:pt x="1513332" y="0"/>
                                </a:lnTo>
                                <a:lnTo>
                                  <a:pt x="15133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19" name="Shape 278319"/>
                        <wps:cNvSpPr/>
                        <wps:spPr>
                          <a:xfrm>
                            <a:off x="4558868" y="124053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20" name="Shape 278320"/>
                        <wps:cNvSpPr/>
                        <wps:spPr>
                          <a:xfrm>
                            <a:off x="4564965" y="1240536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21" name="Shape 278321"/>
                        <wps:cNvSpPr/>
                        <wps:spPr>
                          <a:xfrm>
                            <a:off x="6078677" y="124053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22" name="Shape 278322"/>
                        <wps:cNvSpPr/>
                        <wps:spPr>
                          <a:xfrm>
                            <a:off x="0" y="1246708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23" name="Shape 278323"/>
                        <wps:cNvSpPr/>
                        <wps:spPr>
                          <a:xfrm>
                            <a:off x="1519758" y="1246708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24" name="Shape 278324"/>
                        <wps:cNvSpPr/>
                        <wps:spPr>
                          <a:xfrm>
                            <a:off x="3039441" y="1246708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25" name="Shape 278325"/>
                        <wps:cNvSpPr/>
                        <wps:spPr>
                          <a:xfrm>
                            <a:off x="4558868" y="1246708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26" name="Shape 278326"/>
                        <wps:cNvSpPr/>
                        <wps:spPr>
                          <a:xfrm>
                            <a:off x="6078677" y="1246708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27" name="Shape 278327"/>
                        <wps:cNvSpPr/>
                        <wps:spPr>
                          <a:xfrm>
                            <a:off x="0" y="229857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28" name="Shape 278328"/>
                        <wps:cNvSpPr/>
                        <wps:spPr>
                          <a:xfrm>
                            <a:off x="6096" y="2298573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29" name="Shape 278329"/>
                        <wps:cNvSpPr/>
                        <wps:spPr>
                          <a:xfrm>
                            <a:off x="1519758" y="229857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30" name="Shape 278330"/>
                        <wps:cNvSpPr/>
                        <wps:spPr>
                          <a:xfrm>
                            <a:off x="1525854" y="2298573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31" name="Shape 278331"/>
                        <wps:cNvSpPr/>
                        <wps:spPr>
                          <a:xfrm>
                            <a:off x="3039441" y="229857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32" name="Shape 278332"/>
                        <wps:cNvSpPr/>
                        <wps:spPr>
                          <a:xfrm>
                            <a:off x="3045536" y="2298573"/>
                            <a:ext cx="151333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332" h="9144">
                                <a:moveTo>
                                  <a:pt x="0" y="0"/>
                                </a:moveTo>
                                <a:lnTo>
                                  <a:pt x="1513332" y="0"/>
                                </a:lnTo>
                                <a:lnTo>
                                  <a:pt x="15133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33" name="Shape 278333"/>
                        <wps:cNvSpPr/>
                        <wps:spPr>
                          <a:xfrm>
                            <a:off x="4558868" y="229857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34" name="Shape 278334"/>
                        <wps:cNvSpPr/>
                        <wps:spPr>
                          <a:xfrm>
                            <a:off x="4564965" y="2298573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35" name="Shape 278335"/>
                        <wps:cNvSpPr/>
                        <wps:spPr>
                          <a:xfrm>
                            <a:off x="6078677" y="2298573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36" name="Shape 278336"/>
                        <wps:cNvSpPr/>
                        <wps:spPr>
                          <a:xfrm>
                            <a:off x="0" y="2304669"/>
                            <a:ext cx="9144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5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560"/>
                                </a:lnTo>
                                <a:lnTo>
                                  <a:pt x="0" y="10515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37" name="Shape 278337"/>
                        <wps:cNvSpPr/>
                        <wps:spPr>
                          <a:xfrm>
                            <a:off x="1519758" y="2304669"/>
                            <a:ext cx="9144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5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560"/>
                                </a:lnTo>
                                <a:lnTo>
                                  <a:pt x="0" y="10515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38" name="Shape 278338"/>
                        <wps:cNvSpPr/>
                        <wps:spPr>
                          <a:xfrm>
                            <a:off x="3039441" y="2304669"/>
                            <a:ext cx="9144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5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560"/>
                                </a:lnTo>
                                <a:lnTo>
                                  <a:pt x="0" y="10515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39" name="Shape 278339"/>
                        <wps:cNvSpPr/>
                        <wps:spPr>
                          <a:xfrm>
                            <a:off x="4558868" y="2304669"/>
                            <a:ext cx="9144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5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560"/>
                                </a:lnTo>
                                <a:lnTo>
                                  <a:pt x="0" y="10515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40" name="Shape 278340"/>
                        <wps:cNvSpPr/>
                        <wps:spPr>
                          <a:xfrm>
                            <a:off x="6078677" y="2304669"/>
                            <a:ext cx="9144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5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560"/>
                                </a:lnTo>
                                <a:lnTo>
                                  <a:pt x="0" y="10515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41" name="Shape 278341"/>
                        <wps:cNvSpPr/>
                        <wps:spPr>
                          <a:xfrm>
                            <a:off x="0" y="33562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42" name="Shape 278342"/>
                        <wps:cNvSpPr/>
                        <wps:spPr>
                          <a:xfrm>
                            <a:off x="6096" y="3356229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43" name="Shape 278343"/>
                        <wps:cNvSpPr/>
                        <wps:spPr>
                          <a:xfrm>
                            <a:off x="1519758" y="33562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44" name="Shape 278344"/>
                        <wps:cNvSpPr/>
                        <wps:spPr>
                          <a:xfrm>
                            <a:off x="1525854" y="3356229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45" name="Shape 278345"/>
                        <wps:cNvSpPr/>
                        <wps:spPr>
                          <a:xfrm>
                            <a:off x="3039441" y="33562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46" name="Shape 278346"/>
                        <wps:cNvSpPr/>
                        <wps:spPr>
                          <a:xfrm>
                            <a:off x="3045536" y="3356229"/>
                            <a:ext cx="151333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332" h="9144">
                                <a:moveTo>
                                  <a:pt x="0" y="0"/>
                                </a:moveTo>
                                <a:lnTo>
                                  <a:pt x="1513332" y="0"/>
                                </a:lnTo>
                                <a:lnTo>
                                  <a:pt x="15133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47" name="Shape 278347"/>
                        <wps:cNvSpPr/>
                        <wps:spPr>
                          <a:xfrm>
                            <a:off x="4558868" y="33562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48" name="Shape 278348"/>
                        <wps:cNvSpPr/>
                        <wps:spPr>
                          <a:xfrm>
                            <a:off x="4564965" y="3356229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49" name="Shape 278349"/>
                        <wps:cNvSpPr/>
                        <wps:spPr>
                          <a:xfrm>
                            <a:off x="6078677" y="335622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50" name="Shape 278350"/>
                        <wps:cNvSpPr/>
                        <wps:spPr>
                          <a:xfrm>
                            <a:off x="0" y="3362274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51" name="Shape 278351"/>
                        <wps:cNvSpPr/>
                        <wps:spPr>
                          <a:xfrm>
                            <a:off x="0" y="441413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52" name="Shape 278352"/>
                        <wps:cNvSpPr/>
                        <wps:spPr>
                          <a:xfrm>
                            <a:off x="6096" y="4414139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53" name="Shape 278353"/>
                        <wps:cNvSpPr/>
                        <wps:spPr>
                          <a:xfrm>
                            <a:off x="1519758" y="3362274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54" name="Shape 278354"/>
                        <wps:cNvSpPr/>
                        <wps:spPr>
                          <a:xfrm>
                            <a:off x="1519758" y="441413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55" name="Shape 278355"/>
                        <wps:cNvSpPr/>
                        <wps:spPr>
                          <a:xfrm>
                            <a:off x="1525854" y="4414139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56" name="Shape 278356"/>
                        <wps:cNvSpPr/>
                        <wps:spPr>
                          <a:xfrm>
                            <a:off x="3039441" y="3362274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57" name="Shape 278357"/>
                        <wps:cNvSpPr/>
                        <wps:spPr>
                          <a:xfrm>
                            <a:off x="3039441" y="441413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58" name="Shape 278358"/>
                        <wps:cNvSpPr/>
                        <wps:spPr>
                          <a:xfrm>
                            <a:off x="3045536" y="4414139"/>
                            <a:ext cx="151333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332" h="9144">
                                <a:moveTo>
                                  <a:pt x="0" y="0"/>
                                </a:moveTo>
                                <a:lnTo>
                                  <a:pt x="1513332" y="0"/>
                                </a:lnTo>
                                <a:lnTo>
                                  <a:pt x="15133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59" name="Shape 278359"/>
                        <wps:cNvSpPr/>
                        <wps:spPr>
                          <a:xfrm>
                            <a:off x="4558868" y="3362274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60" name="Shape 278360"/>
                        <wps:cNvSpPr/>
                        <wps:spPr>
                          <a:xfrm>
                            <a:off x="4558868" y="441413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61" name="Shape 278361"/>
                        <wps:cNvSpPr/>
                        <wps:spPr>
                          <a:xfrm>
                            <a:off x="4564965" y="4414139"/>
                            <a:ext cx="15135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3586" h="9144">
                                <a:moveTo>
                                  <a:pt x="0" y="0"/>
                                </a:moveTo>
                                <a:lnTo>
                                  <a:pt x="1513586" y="0"/>
                                </a:lnTo>
                                <a:lnTo>
                                  <a:pt x="151358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62" name="Shape 278362"/>
                        <wps:cNvSpPr/>
                        <wps:spPr>
                          <a:xfrm>
                            <a:off x="6078677" y="3362274"/>
                            <a:ext cx="9144" cy="1051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5186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051865"/>
                                </a:lnTo>
                                <a:lnTo>
                                  <a:pt x="0" y="105186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363" name="Shape 278363"/>
                        <wps:cNvSpPr/>
                        <wps:spPr>
                          <a:xfrm>
                            <a:off x="6078677" y="441413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50540" style="width:479.116pt;height:348.05pt;position:absolute;z-index:-2147483530;mso-position-horizontal-relative:text;mso-position-horizontal:absolute;margin-left:-5.64pt;mso-position-vertical-relative:text;margin-top:-100.843pt;" coordsize="60847,44202">
                <v:shape id="Shape 278364" style="position:absolute;width:91;height:91;left:0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365" style="position:absolute;width:15135;height:91;left:60;top:0;" coordsize="1513586,9144" path="m0,0l1513586,0l1513586,9144l0,9144l0,0">
                  <v:stroke weight="0pt" endcap="flat" joinstyle="miter" miterlimit="10" on="false" color="#000000" opacity="0"/>
                  <v:fill on="true" color="#000000"/>
                </v:shape>
                <v:shape id="Shape 278366" style="position:absolute;width:91;height:91;left:15197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367" style="position:absolute;width:15135;height:91;left:15258;top:0;" coordsize="1513586,9144" path="m0,0l1513586,0l1513586,9144l0,9144l0,0">
                  <v:stroke weight="0pt" endcap="flat" joinstyle="miter" miterlimit="10" on="false" color="#000000" opacity="0"/>
                  <v:fill on="true" color="#000000"/>
                </v:shape>
                <v:shape id="Shape 278368" style="position:absolute;width:91;height:91;left:30394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369" style="position:absolute;width:15133;height:91;left:30455;top:0;" coordsize="1513332,9144" path="m0,0l1513332,0l1513332,9144l0,9144l0,0">
                  <v:stroke weight="0pt" endcap="flat" joinstyle="miter" miterlimit="10" on="false" color="#000000" opacity="0"/>
                  <v:fill on="true" color="#000000"/>
                </v:shape>
                <v:shape id="Shape 278370" style="position:absolute;width:91;height:91;left:45588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371" style="position:absolute;width:15135;height:91;left:45649;top:0;" coordsize="1513586,9144" path="m0,0l1513586,0l1513586,9144l0,9144l0,0">
                  <v:stroke weight="0pt" endcap="flat" joinstyle="miter" miterlimit="10" on="false" color="#000000" opacity="0"/>
                  <v:fill on="true" color="#000000"/>
                </v:shape>
                <v:shape id="Shape 278372" style="position:absolute;width:91;height:91;left:60786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373" style="position:absolute;width:91;height:5273;left:0;top:60;" coordsize="9144,527304" path="m0,0l9144,0l9144,527304l0,527304l0,0">
                  <v:stroke weight="0pt" endcap="flat" joinstyle="miter" miterlimit="10" on="false" color="#000000" opacity="0"/>
                  <v:fill on="true" color="#000000"/>
                </v:shape>
                <v:shape id="Shape 278374" style="position:absolute;width:91;height:5273;left:15197;top:60;" coordsize="9144,527304" path="m0,0l9144,0l9144,527304l0,527304l0,0">
                  <v:stroke weight="0pt" endcap="flat" joinstyle="miter" miterlimit="10" on="false" color="#000000" opacity="0"/>
                  <v:fill on="true" color="#000000"/>
                </v:shape>
                <v:shape id="Shape 30322" style="position:absolute;width:15136;height:5273;left:60;top:60;" coordsize="1513662,527304" path="m0,0l1513662,527304">
                  <v:stroke weight="0.48pt" endcap="flat" joinstyle="round" on="true" color="#000000"/>
                  <v:fill on="false" color="#000000" opacity="0"/>
                </v:shape>
                <v:shape id="Shape 278375" style="position:absolute;width:91;height:5273;left:30394;top:60;" coordsize="9144,527304" path="m0,0l9144,0l9144,527304l0,527304l0,0">
                  <v:stroke weight="0pt" endcap="flat" joinstyle="round" on="false" color="#000000" opacity="0"/>
                  <v:fill on="true" color="#000000"/>
                </v:shape>
                <v:shape id="Shape 278376" style="position:absolute;width:91;height:5273;left:45588;top:60;" coordsize="9144,527304" path="m0,0l9144,0l9144,527304l0,527304l0,0">
                  <v:stroke weight="0pt" endcap="flat" joinstyle="round" on="false" color="#000000" opacity="0"/>
                  <v:fill on="true" color="#000000"/>
                </v:shape>
                <v:shape id="Shape 278377" style="position:absolute;width:91;height:5273;left:60786;top:60;" coordsize="9144,527304" path="m0,0l9144,0l9144,527304l0,527304l0,0">
                  <v:stroke weight="0pt" endcap="flat" joinstyle="round" on="false" color="#000000" opacity="0"/>
                  <v:fill on="true" color="#000000"/>
                </v:shape>
                <v:shape id="Shape 278378" style="position:absolute;width:91;height:91;left:0;top:5334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379" style="position:absolute;width:15135;height:91;left:60;top:5334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380" style="position:absolute;width:91;height:91;left:15197;top:5334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381" style="position:absolute;width:15135;height:91;left:15258;top:5334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382" style="position:absolute;width:91;height:91;left:30394;top:5334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383" style="position:absolute;width:15133;height:91;left:30455;top:5334;" coordsize="1513332,9144" path="m0,0l1513332,0l1513332,9144l0,9144l0,0">
                  <v:stroke weight="0pt" endcap="flat" joinstyle="round" on="false" color="#000000" opacity="0"/>
                  <v:fill on="true" color="#000000"/>
                </v:shape>
                <v:shape id="Shape 278384" style="position:absolute;width:91;height:91;left:45588;top:5334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385" style="position:absolute;width:15135;height:91;left:45649;top:5334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386" style="position:absolute;width:91;height:91;left:60786;top:5334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387" style="position:absolute;width:91;height:7010;left:0;top:5394;" coordsize="9144,701040" path="m0,0l9144,0l9144,701040l0,701040l0,0">
                  <v:stroke weight="0pt" endcap="flat" joinstyle="round" on="false" color="#000000" opacity="0"/>
                  <v:fill on="true" color="#000000"/>
                </v:shape>
                <v:shape id="Shape 278388" style="position:absolute;width:91;height:7010;left:15197;top:5394;" coordsize="9144,701040" path="m0,0l9144,0l9144,701040l0,701040l0,0">
                  <v:stroke weight="0pt" endcap="flat" joinstyle="round" on="false" color="#000000" opacity="0"/>
                  <v:fill on="true" color="#000000"/>
                </v:shape>
                <v:shape id="Shape 278389" style="position:absolute;width:91;height:7010;left:30394;top:5394;" coordsize="9144,701040" path="m0,0l9144,0l9144,701040l0,701040l0,0">
                  <v:stroke weight="0pt" endcap="flat" joinstyle="round" on="false" color="#000000" opacity="0"/>
                  <v:fill on="true" color="#000000"/>
                </v:shape>
                <v:shape id="Shape 278390" style="position:absolute;width:91;height:7010;left:45588;top:5394;" coordsize="9144,701040" path="m0,0l9144,0l9144,701040l0,701040l0,0">
                  <v:stroke weight="0pt" endcap="flat" joinstyle="round" on="false" color="#000000" opacity="0"/>
                  <v:fill on="true" color="#000000"/>
                </v:shape>
                <v:shape id="Shape 278391" style="position:absolute;width:91;height:7010;left:60786;top:5394;" coordsize="9144,701040" path="m0,0l9144,0l9144,701040l0,701040l0,0">
                  <v:stroke weight="0pt" endcap="flat" joinstyle="round" on="false" color="#000000" opacity="0"/>
                  <v:fill on="true" color="#000000"/>
                </v:shape>
                <v:shape id="Shape 278392" style="position:absolute;width:91;height:91;left:0;top:12405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393" style="position:absolute;width:15135;height:91;left:60;top:12405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394" style="position:absolute;width:91;height:91;left:15197;top:12405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395" style="position:absolute;width:15135;height:91;left:15258;top:12405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396" style="position:absolute;width:91;height:91;left:30394;top:12405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397" style="position:absolute;width:15133;height:91;left:30455;top:12405;" coordsize="1513332,9144" path="m0,0l1513332,0l1513332,9144l0,9144l0,0">
                  <v:stroke weight="0pt" endcap="flat" joinstyle="round" on="false" color="#000000" opacity="0"/>
                  <v:fill on="true" color="#000000"/>
                </v:shape>
                <v:shape id="Shape 278398" style="position:absolute;width:91;height:91;left:45588;top:12405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399" style="position:absolute;width:15135;height:91;left:45649;top:12405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400" style="position:absolute;width:91;height:91;left:60786;top:12405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01" style="position:absolute;width:91;height:10518;left:0;top:12467;" coordsize="9144,1051865" path="m0,0l9144,0l9144,1051865l0,1051865l0,0">
                  <v:stroke weight="0pt" endcap="flat" joinstyle="round" on="false" color="#000000" opacity="0"/>
                  <v:fill on="true" color="#000000"/>
                </v:shape>
                <v:shape id="Shape 278402" style="position:absolute;width:91;height:10518;left:15197;top:12467;" coordsize="9144,1051865" path="m0,0l9144,0l9144,1051865l0,1051865l0,0">
                  <v:stroke weight="0pt" endcap="flat" joinstyle="round" on="false" color="#000000" opacity="0"/>
                  <v:fill on="true" color="#000000"/>
                </v:shape>
                <v:shape id="Shape 278403" style="position:absolute;width:91;height:10518;left:30394;top:12467;" coordsize="9144,1051865" path="m0,0l9144,0l9144,1051865l0,1051865l0,0">
                  <v:stroke weight="0pt" endcap="flat" joinstyle="round" on="false" color="#000000" opacity="0"/>
                  <v:fill on="true" color="#000000"/>
                </v:shape>
                <v:shape id="Shape 278404" style="position:absolute;width:91;height:10518;left:45588;top:12467;" coordsize="9144,1051865" path="m0,0l9144,0l9144,1051865l0,1051865l0,0">
                  <v:stroke weight="0pt" endcap="flat" joinstyle="round" on="false" color="#000000" opacity="0"/>
                  <v:fill on="true" color="#000000"/>
                </v:shape>
                <v:shape id="Shape 278405" style="position:absolute;width:91;height:10518;left:60786;top:12467;" coordsize="9144,1051865" path="m0,0l9144,0l9144,1051865l0,1051865l0,0">
                  <v:stroke weight="0pt" endcap="flat" joinstyle="round" on="false" color="#000000" opacity="0"/>
                  <v:fill on="true" color="#000000"/>
                </v:shape>
                <v:shape id="Shape 278406" style="position:absolute;width:91;height:91;left:0;top:22985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07" style="position:absolute;width:15135;height:91;left:60;top:22985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408" style="position:absolute;width:91;height:91;left:15197;top:22985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09" style="position:absolute;width:15135;height:91;left:15258;top:22985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410" style="position:absolute;width:91;height:91;left:30394;top:22985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11" style="position:absolute;width:15133;height:91;left:30455;top:22985;" coordsize="1513332,9144" path="m0,0l1513332,0l1513332,9144l0,9144l0,0">
                  <v:stroke weight="0pt" endcap="flat" joinstyle="round" on="false" color="#000000" opacity="0"/>
                  <v:fill on="true" color="#000000"/>
                </v:shape>
                <v:shape id="Shape 278412" style="position:absolute;width:91;height:91;left:45588;top:22985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13" style="position:absolute;width:15135;height:91;left:45649;top:22985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414" style="position:absolute;width:91;height:91;left:60786;top:22985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15" style="position:absolute;width:91;height:10515;left:0;top:23046;" coordsize="9144,1051560" path="m0,0l9144,0l9144,1051560l0,1051560l0,0">
                  <v:stroke weight="0pt" endcap="flat" joinstyle="round" on="false" color="#000000" opacity="0"/>
                  <v:fill on="true" color="#000000"/>
                </v:shape>
                <v:shape id="Shape 278416" style="position:absolute;width:91;height:10515;left:15197;top:23046;" coordsize="9144,1051560" path="m0,0l9144,0l9144,1051560l0,1051560l0,0">
                  <v:stroke weight="0pt" endcap="flat" joinstyle="round" on="false" color="#000000" opacity="0"/>
                  <v:fill on="true" color="#000000"/>
                </v:shape>
                <v:shape id="Shape 278417" style="position:absolute;width:91;height:10515;left:30394;top:23046;" coordsize="9144,1051560" path="m0,0l9144,0l9144,1051560l0,1051560l0,0">
                  <v:stroke weight="0pt" endcap="flat" joinstyle="round" on="false" color="#000000" opacity="0"/>
                  <v:fill on="true" color="#000000"/>
                </v:shape>
                <v:shape id="Shape 278418" style="position:absolute;width:91;height:10515;left:45588;top:23046;" coordsize="9144,1051560" path="m0,0l9144,0l9144,1051560l0,1051560l0,0">
                  <v:stroke weight="0pt" endcap="flat" joinstyle="round" on="false" color="#000000" opacity="0"/>
                  <v:fill on="true" color="#000000"/>
                </v:shape>
                <v:shape id="Shape 278419" style="position:absolute;width:91;height:10515;left:60786;top:23046;" coordsize="9144,1051560" path="m0,0l9144,0l9144,1051560l0,1051560l0,0">
                  <v:stroke weight="0pt" endcap="flat" joinstyle="round" on="false" color="#000000" opacity="0"/>
                  <v:fill on="true" color="#000000"/>
                </v:shape>
                <v:shape id="Shape 278420" style="position:absolute;width:91;height:91;left:0;top:33562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21" style="position:absolute;width:15135;height:91;left:60;top:33562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422" style="position:absolute;width:91;height:91;left:15197;top:33562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23" style="position:absolute;width:15135;height:91;left:15258;top:33562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424" style="position:absolute;width:91;height:91;left:30394;top:33562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25" style="position:absolute;width:15133;height:91;left:30455;top:33562;" coordsize="1513332,9144" path="m0,0l1513332,0l1513332,9144l0,9144l0,0">
                  <v:stroke weight="0pt" endcap="flat" joinstyle="round" on="false" color="#000000" opacity="0"/>
                  <v:fill on="true" color="#000000"/>
                </v:shape>
                <v:shape id="Shape 278426" style="position:absolute;width:91;height:91;left:45588;top:33562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27" style="position:absolute;width:15135;height:91;left:45649;top:33562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428" style="position:absolute;width:91;height:91;left:60786;top:33562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29" style="position:absolute;width:91;height:10518;left:0;top:33622;" coordsize="9144,1051865" path="m0,0l9144,0l9144,1051865l0,1051865l0,0">
                  <v:stroke weight="0pt" endcap="flat" joinstyle="round" on="false" color="#000000" opacity="0"/>
                  <v:fill on="true" color="#000000"/>
                </v:shape>
                <v:shape id="Shape 278430" style="position:absolute;width:91;height:91;left:0;top:44141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31" style="position:absolute;width:15135;height:91;left:60;top:44141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432" style="position:absolute;width:91;height:10518;left:15197;top:33622;" coordsize="9144,1051865" path="m0,0l9144,0l9144,1051865l0,1051865l0,0">
                  <v:stroke weight="0pt" endcap="flat" joinstyle="round" on="false" color="#000000" opacity="0"/>
                  <v:fill on="true" color="#000000"/>
                </v:shape>
                <v:shape id="Shape 278433" style="position:absolute;width:91;height:91;left:15197;top:44141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34" style="position:absolute;width:15135;height:91;left:15258;top:44141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435" style="position:absolute;width:91;height:10518;left:30394;top:33622;" coordsize="9144,1051865" path="m0,0l9144,0l9144,1051865l0,1051865l0,0">
                  <v:stroke weight="0pt" endcap="flat" joinstyle="round" on="false" color="#000000" opacity="0"/>
                  <v:fill on="true" color="#000000"/>
                </v:shape>
                <v:shape id="Shape 278436" style="position:absolute;width:91;height:91;left:30394;top:44141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37" style="position:absolute;width:15133;height:91;left:30455;top:44141;" coordsize="1513332,9144" path="m0,0l1513332,0l1513332,9144l0,9144l0,0">
                  <v:stroke weight="0pt" endcap="flat" joinstyle="round" on="false" color="#000000" opacity="0"/>
                  <v:fill on="true" color="#000000"/>
                </v:shape>
                <v:shape id="Shape 278438" style="position:absolute;width:91;height:10518;left:45588;top:33622;" coordsize="9144,1051865" path="m0,0l9144,0l9144,1051865l0,1051865l0,0">
                  <v:stroke weight="0pt" endcap="flat" joinstyle="round" on="false" color="#000000" opacity="0"/>
                  <v:fill on="true" color="#000000"/>
                </v:shape>
                <v:shape id="Shape 278439" style="position:absolute;width:91;height:91;left:45588;top:44141;" coordsize="9144,9144" path="m0,0l9144,0l9144,9144l0,9144l0,0">
                  <v:stroke weight="0pt" endcap="flat" joinstyle="round" on="false" color="#000000" opacity="0"/>
                  <v:fill on="true" color="#000000"/>
                </v:shape>
                <v:shape id="Shape 278440" style="position:absolute;width:15135;height:91;left:45649;top:44141;" coordsize="1513586,9144" path="m0,0l1513586,0l1513586,9144l0,9144l0,0">
                  <v:stroke weight="0pt" endcap="flat" joinstyle="round" on="false" color="#000000" opacity="0"/>
                  <v:fill on="true" color="#000000"/>
                </v:shape>
                <v:shape id="Shape 278441" style="position:absolute;width:91;height:10518;left:60786;top:33622;" coordsize="9144,1051865" path="m0,0l9144,0l9144,1051865l0,1051865l0,0">
                  <v:stroke weight="0pt" endcap="flat" joinstyle="round" on="false" color="#000000" opacity="0"/>
                  <v:fill on="true" color="#000000"/>
                </v:shape>
                <v:shape id="Shape 278442" style="position:absolute;width:91;height:91;left:60786;top:44141;" coordsize="9144,9144" path="m0,0l9144,0l9144,9144l0,9144l0,0">
                  <v:stroke weight="0pt" endcap="flat" joinstyle="round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b/>
        </w:rPr>
        <w:t xml:space="preserve">Частота </w:t>
      </w:r>
      <w:r>
        <w:rPr>
          <w:b/>
        </w:rPr>
        <w:tab/>
      </w:r>
      <w:r>
        <w:t xml:space="preserve">2- 3 в год </w:t>
      </w:r>
      <w:r>
        <w:tab/>
        <w:t xml:space="preserve">&gt;3 эпизодов в год, &gt;3 эпизодов в год, </w:t>
      </w:r>
      <w:r>
        <w:rPr>
          <w:b/>
        </w:rPr>
        <w:t xml:space="preserve">возникновения </w:t>
      </w:r>
      <w:r>
        <w:rPr>
          <w:b/>
        </w:rPr>
        <w:tab/>
      </w:r>
      <w:r>
        <w:t xml:space="preserve">либо </w:t>
      </w:r>
      <w:r>
        <w:tab/>
        <w:t xml:space="preserve">тяжелое либо </w:t>
      </w:r>
      <w:r>
        <w:tab/>
      </w:r>
      <w:r>
        <w:t xml:space="preserve">тяжелое </w:t>
      </w:r>
      <w:r>
        <w:rPr>
          <w:b/>
        </w:rPr>
        <w:t xml:space="preserve">симптомов </w:t>
      </w:r>
      <w:r>
        <w:rPr>
          <w:b/>
        </w:rPr>
        <w:tab/>
      </w:r>
      <w:r>
        <w:t xml:space="preserve">течение </w:t>
      </w:r>
      <w:r>
        <w:tab/>
        <w:t xml:space="preserve">и/или течение </w:t>
      </w:r>
      <w:r>
        <w:tab/>
        <w:t xml:space="preserve">и/или ухудшение </w:t>
      </w:r>
      <w:r>
        <w:tab/>
        <w:t xml:space="preserve">ухудшение симптоматики </w:t>
      </w:r>
      <w:r>
        <w:tab/>
        <w:t xml:space="preserve">в симптоматики </w:t>
      </w:r>
      <w:r>
        <w:tab/>
        <w:t xml:space="preserve">в ночное время </w:t>
      </w:r>
      <w:r>
        <w:tab/>
        <w:t xml:space="preserve">ночное время </w:t>
      </w:r>
    </w:p>
    <w:p w:rsidR="00F15F71" w:rsidRDefault="00F974CD">
      <w:pPr>
        <w:spacing w:line="285" w:lineRule="auto"/>
        <w:ind w:left="-5" w:right="666"/>
        <w:jc w:val="left"/>
      </w:pPr>
      <w:r>
        <w:rPr>
          <w:b/>
        </w:rPr>
        <w:t xml:space="preserve">Наличие </w:t>
      </w:r>
      <w:r>
        <w:rPr>
          <w:b/>
        </w:rPr>
        <w:tab/>
      </w:r>
      <w:r>
        <w:t xml:space="preserve">нет </w:t>
      </w:r>
      <w:r>
        <w:tab/>
        <w:t xml:space="preserve">Может </w:t>
      </w:r>
      <w:r>
        <w:tab/>
        <w:t xml:space="preserve">появляться Может </w:t>
      </w:r>
      <w:r>
        <w:tab/>
        <w:t xml:space="preserve">появляться </w:t>
      </w:r>
      <w:r>
        <w:rPr>
          <w:b/>
        </w:rPr>
        <w:t xml:space="preserve">симптомов </w:t>
      </w:r>
      <w:r>
        <w:rPr>
          <w:b/>
        </w:rPr>
        <w:tab/>
        <w:t xml:space="preserve">вне </w:t>
      </w:r>
      <w:r>
        <w:rPr>
          <w:b/>
        </w:rPr>
        <w:tab/>
      </w:r>
      <w:r>
        <w:t xml:space="preserve">периодический </w:t>
      </w:r>
      <w:r>
        <w:tab/>
        <w:t xml:space="preserve">периодический </w:t>
      </w:r>
      <w:r>
        <w:rPr>
          <w:b/>
        </w:rPr>
        <w:t xml:space="preserve">эпизодов ОРИ </w:t>
      </w:r>
      <w:r>
        <w:rPr>
          <w:b/>
        </w:rPr>
        <w:tab/>
      </w:r>
      <w:r>
        <w:t xml:space="preserve">кашель, </w:t>
      </w:r>
      <w:r>
        <w:tab/>
        <w:t xml:space="preserve">свистящее кашель, </w:t>
      </w:r>
      <w:r>
        <w:tab/>
        <w:t xml:space="preserve">свистящее или </w:t>
      </w:r>
      <w:r>
        <w:tab/>
        <w:t xml:space="preserve">затрудненное или </w:t>
      </w:r>
      <w:r>
        <w:tab/>
        <w:t xml:space="preserve">затрудненное дыхание </w:t>
      </w:r>
      <w:r>
        <w:tab/>
        <w:t xml:space="preserve">дыхание во время </w:t>
      </w:r>
    </w:p>
    <w:p w:rsidR="00F15F71" w:rsidRDefault="00F974CD">
      <w:pPr>
        <w:spacing w:after="32" w:line="259" w:lineRule="auto"/>
        <w:ind w:left="10" w:right="1591"/>
        <w:jc w:val="right"/>
      </w:pPr>
      <w:r>
        <w:t xml:space="preserve">игр или смеха </w:t>
      </w:r>
    </w:p>
    <w:p w:rsidR="00F15F71" w:rsidRDefault="00F974CD">
      <w:pPr>
        <w:tabs>
          <w:tab w:val="center" w:pos="2391"/>
          <w:tab w:val="center" w:pos="4787"/>
          <w:tab w:val="center" w:pos="7945"/>
        </w:tabs>
        <w:spacing w:line="270" w:lineRule="auto"/>
        <w:ind w:left="-15" w:firstLine="0"/>
        <w:jc w:val="left"/>
      </w:pPr>
      <w:r>
        <w:rPr>
          <w:b/>
        </w:rPr>
        <w:t xml:space="preserve">Аллергоанамнез </w:t>
      </w:r>
      <w:r>
        <w:rPr>
          <w:b/>
        </w:rPr>
        <w:tab/>
      </w:r>
      <w:r>
        <w:t xml:space="preserve"> </w:t>
      </w:r>
      <w:r>
        <w:tab/>
        <w:t xml:space="preserve"> </w:t>
      </w:r>
      <w:r>
        <w:tab/>
        <w:t xml:space="preserve">Аллергическая </w:t>
      </w:r>
    </w:p>
    <w:p w:rsidR="00F15F71" w:rsidRDefault="00F974CD">
      <w:pPr>
        <w:spacing w:line="248" w:lineRule="auto"/>
        <w:ind w:left="7190" w:right="841"/>
      </w:pPr>
      <w:r>
        <w:t xml:space="preserve">сенсибилизация, атопический дерматит, пищевая аллергия, наличие БА у членов семьи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i/>
        </w:rPr>
        <w:t xml:space="preserve"> </w:t>
      </w:r>
    </w:p>
    <w:p w:rsidR="00F15F71" w:rsidRDefault="00F974CD">
      <w:pPr>
        <w:spacing w:line="387" w:lineRule="auto"/>
        <w:ind w:left="-15" w:right="840" w:firstLine="710"/>
      </w:pPr>
      <w:r>
        <w:rPr>
          <w:i/>
        </w:rPr>
        <w:t xml:space="preserve">Таким образом, для ребенка до 5 лет с эпизодами рецидивирующего свистящего дыхания в анамнезе диагноз бронхиальной астмы становится более вероятным если: </w:t>
      </w:r>
    </w:p>
    <w:p w:rsidR="00F15F71" w:rsidRDefault="00F974CD">
      <w:pPr>
        <w:numPr>
          <w:ilvl w:val="0"/>
          <w:numId w:val="36"/>
        </w:numPr>
        <w:spacing w:line="387" w:lineRule="auto"/>
        <w:ind w:right="840" w:firstLine="710"/>
      </w:pPr>
      <w:r>
        <w:rPr>
          <w:i/>
        </w:rPr>
        <w:t>свистящее дыхание или кашель появляются на фоне физической нагрузки, смехе, плаче или в отсутствие яв</w:t>
      </w:r>
      <w:r>
        <w:rPr>
          <w:i/>
        </w:rPr>
        <w:t xml:space="preserve">ных признаков респираторной инфекции </w:t>
      </w:r>
    </w:p>
    <w:p w:rsidR="00F15F71" w:rsidRDefault="00F974CD">
      <w:pPr>
        <w:numPr>
          <w:ilvl w:val="0"/>
          <w:numId w:val="36"/>
        </w:numPr>
        <w:spacing w:line="387" w:lineRule="auto"/>
        <w:ind w:right="840" w:firstLine="710"/>
      </w:pPr>
      <w:r>
        <w:rPr>
          <w:i/>
        </w:rPr>
        <w:t xml:space="preserve">наличие сопутствующих аллергических заболеваний (атопический дерматит, аллергический ринит) у самого ребенка или наличие сенсибилизации к аллергенам или астмы у родственников первой линии; </w:t>
      </w:r>
    </w:p>
    <w:p w:rsidR="00F15F71" w:rsidRDefault="00F974CD">
      <w:pPr>
        <w:numPr>
          <w:ilvl w:val="0"/>
          <w:numId w:val="36"/>
        </w:numPr>
        <w:spacing w:line="387" w:lineRule="auto"/>
        <w:ind w:right="840" w:firstLine="710"/>
      </w:pPr>
      <w:r>
        <w:rPr>
          <w:i/>
        </w:rPr>
        <w:t>клиническое улучшение в тече</w:t>
      </w:r>
      <w:r>
        <w:rPr>
          <w:i/>
        </w:rPr>
        <w:t xml:space="preserve">ние 2-3 месячного курса низкодозной терапии ингаляционными глюкокортикоидами в сочетании с коротко действующими бета2- агонистами по требованию. При отмене терапии наступает ухудшение.  </w:t>
      </w:r>
    </w:p>
    <w:p w:rsidR="00F15F71" w:rsidRDefault="00F974CD">
      <w:pPr>
        <w:numPr>
          <w:ilvl w:val="0"/>
          <w:numId w:val="36"/>
        </w:numPr>
        <w:spacing w:after="115" w:line="259" w:lineRule="auto"/>
        <w:ind w:right="840" w:firstLine="710"/>
      </w:pPr>
      <w:r>
        <w:rPr>
          <w:i/>
        </w:rPr>
        <w:t xml:space="preserve">исключены альтернативные заболевания </w:t>
      </w:r>
      <w:hyperlink r:id="rId1513">
        <w:r>
          <w:rPr>
            <w:i/>
          </w:rPr>
          <w:t>[</w:t>
        </w:r>
      </w:hyperlink>
      <w:hyperlink r:id="rId1514">
        <w:r>
          <w:rPr>
            <w:i/>
          </w:rPr>
          <w:t>21</w:t>
        </w:r>
      </w:hyperlink>
      <w:hyperlink r:id="rId1515">
        <w:r>
          <w:rPr>
            <w:i/>
          </w:rPr>
          <w:t>]</w:t>
        </w:r>
      </w:hyperlink>
      <w:r>
        <w:rPr>
          <w:i/>
        </w:rPr>
        <w:t xml:space="preserve">. </w:t>
      </w:r>
      <w:r>
        <w:rPr>
          <w:b/>
        </w:rP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:rsidR="00F15F71" w:rsidRDefault="00F974CD">
      <w:pPr>
        <w:pStyle w:val="Heading4"/>
        <w:spacing w:line="402" w:lineRule="auto"/>
        <w:ind w:left="3168" w:right="10" w:hanging="2081"/>
      </w:pPr>
      <w:bookmarkStart w:id="55" w:name="_Toc275212"/>
      <w:r>
        <w:t xml:space="preserve">Приложение Б4. Клинические признаки, свидетельствующие о высокой вероятности БА у взрослых   </w:t>
      </w:r>
      <w:bookmarkEnd w:id="55"/>
    </w:p>
    <w:p w:rsidR="00F15F71" w:rsidRDefault="00F974CD">
      <w:pPr>
        <w:spacing w:after="0" w:line="259" w:lineRule="auto"/>
        <w:ind w:left="708" w:firstLine="0"/>
        <w:jc w:val="left"/>
      </w:pPr>
      <w:r>
        <w:t xml:space="preserve"> </w:t>
      </w:r>
    </w:p>
    <w:tbl>
      <w:tblPr>
        <w:tblStyle w:val="TableGrid"/>
        <w:tblW w:w="9570" w:type="dxa"/>
        <w:tblInd w:w="-107" w:type="dxa"/>
        <w:tblCellMar>
          <w:top w:w="60" w:type="dxa"/>
          <w:left w:w="107" w:type="dxa"/>
          <w:bottom w:w="0" w:type="dxa"/>
          <w:right w:w="47" w:type="dxa"/>
        </w:tblCellMar>
        <w:tblLook w:val="04A0" w:firstRow="1" w:lastRow="0" w:firstColumn="1" w:lastColumn="0" w:noHBand="0" w:noVBand="1"/>
      </w:tblPr>
      <w:tblGrid>
        <w:gridCol w:w="4784"/>
        <w:gridCol w:w="4786"/>
      </w:tblGrid>
      <w:tr w:rsidR="00F15F71">
        <w:trPr>
          <w:trHeight w:val="835"/>
        </w:trPr>
        <w:tc>
          <w:tcPr>
            <w:tcW w:w="4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F15F71" w:rsidRDefault="00F974CD">
            <w:pPr>
              <w:tabs>
                <w:tab w:val="center" w:pos="1435"/>
                <w:tab w:val="right" w:pos="4631"/>
              </w:tabs>
              <w:spacing w:after="172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b/>
              </w:rPr>
              <w:t xml:space="preserve">Клинические </w:t>
            </w:r>
            <w:r>
              <w:rPr>
                <w:b/>
              </w:rPr>
              <w:tab/>
              <w:t xml:space="preserve">признаки,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повышающие вероятность наличия БА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F15F71" w:rsidRDefault="00F974CD">
            <w:pPr>
              <w:tabs>
                <w:tab w:val="center" w:pos="1437"/>
                <w:tab w:val="right" w:pos="4633"/>
              </w:tabs>
              <w:spacing w:after="172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b/>
              </w:rPr>
              <w:t xml:space="preserve">Клинические </w:t>
            </w:r>
            <w:r>
              <w:rPr>
                <w:b/>
              </w:rPr>
              <w:tab/>
              <w:t xml:space="preserve">признаки,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уменьшающие вероятность наличия БА </w:t>
            </w:r>
          </w:p>
        </w:tc>
      </w:tr>
      <w:tr w:rsidR="00F15F71">
        <w:trPr>
          <w:trHeight w:val="8016"/>
        </w:trPr>
        <w:tc>
          <w:tcPr>
            <w:tcW w:w="4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56"/>
              </w:numPr>
              <w:spacing w:after="9" w:line="274" w:lineRule="auto"/>
              <w:ind w:right="60" w:hanging="360"/>
            </w:pPr>
            <w:r>
              <w:t xml:space="preserve">Наличие более одного из следующих симптомов - хрипы, удушье, чувство заложенности в грудной клетке и кашель, особенно в случаях: </w:t>
            </w: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ухудшения симптомов ночью и рано утром; </w:t>
            </w:r>
          </w:p>
          <w:p w:rsidR="00F15F71" w:rsidRDefault="00F974CD">
            <w:pPr>
              <w:numPr>
                <w:ilvl w:val="1"/>
                <w:numId w:val="56"/>
              </w:numPr>
              <w:spacing w:line="278" w:lineRule="auto"/>
              <w:ind w:right="30" w:hanging="336"/>
            </w:pPr>
            <w:r>
              <w:t xml:space="preserve">возникновения </w:t>
            </w:r>
            <w:r>
              <w:tab/>
              <w:t xml:space="preserve">симптомов при </w:t>
            </w:r>
            <w:r>
              <w:tab/>
              <w:t xml:space="preserve">физической </w:t>
            </w:r>
            <w:r>
              <w:tab/>
              <w:t xml:space="preserve">нагрузке, воздействии </w:t>
            </w:r>
            <w:r>
              <w:tab/>
              <w:t xml:space="preserve">аллергенов </w:t>
            </w:r>
            <w:r>
              <w:tab/>
              <w:t xml:space="preserve">и холодного воздуха; </w:t>
            </w:r>
          </w:p>
          <w:p w:rsidR="00F15F71" w:rsidRDefault="00F974CD">
            <w:pPr>
              <w:numPr>
                <w:ilvl w:val="1"/>
                <w:numId w:val="56"/>
              </w:numPr>
              <w:spacing w:after="0" w:line="280" w:lineRule="auto"/>
              <w:ind w:right="30" w:hanging="336"/>
            </w:pPr>
            <w:r>
              <w:t xml:space="preserve">возникновения симптомов после </w:t>
            </w:r>
            <w:r>
              <w:tab/>
              <w:t xml:space="preserve">приема </w:t>
            </w:r>
          </w:p>
          <w:p w:rsidR="00F15F71" w:rsidRDefault="00F974CD">
            <w:pPr>
              <w:spacing w:after="20" w:line="259" w:lineRule="auto"/>
              <w:ind w:left="263" w:firstLine="0"/>
              <w:jc w:val="center"/>
            </w:pPr>
            <w:r>
              <w:t xml:space="preserve">ацетилсалициловой </w:t>
            </w:r>
          </w:p>
          <w:p w:rsidR="00F15F71" w:rsidRDefault="00F974CD">
            <w:pPr>
              <w:spacing w:after="0" w:line="283" w:lineRule="auto"/>
              <w:ind w:left="1440" w:firstLine="0"/>
              <w:jc w:val="left"/>
            </w:pPr>
            <w:r>
              <w:t xml:space="preserve">кислоты** </w:t>
            </w:r>
            <w:r>
              <w:tab/>
              <w:t xml:space="preserve">или </w:t>
            </w:r>
            <w:r>
              <w:tab/>
              <w:t xml:space="preserve">бетаадреноблокаторов; </w:t>
            </w:r>
          </w:p>
          <w:p w:rsidR="00F15F71" w:rsidRDefault="00F974CD">
            <w:pPr>
              <w:numPr>
                <w:ilvl w:val="0"/>
                <w:numId w:val="56"/>
              </w:numPr>
              <w:spacing w:after="4" w:line="277" w:lineRule="auto"/>
              <w:ind w:right="60" w:hanging="360"/>
            </w:pPr>
            <w:r>
              <w:t xml:space="preserve">Наличие атопических заболеваний в анамнезе; </w:t>
            </w:r>
          </w:p>
          <w:p w:rsidR="00F15F71" w:rsidRDefault="00F974CD">
            <w:pPr>
              <w:numPr>
                <w:ilvl w:val="0"/>
                <w:numId w:val="56"/>
              </w:numPr>
              <w:spacing w:after="0" w:line="284" w:lineRule="auto"/>
              <w:ind w:right="60" w:hanging="360"/>
            </w:pPr>
            <w:r>
              <w:t xml:space="preserve">Наличие </w:t>
            </w:r>
            <w:r>
              <w:tab/>
              <w:t xml:space="preserve">БА </w:t>
            </w:r>
            <w:r>
              <w:tab/>
              <w:t>и/</w:t>
            </w:r>
            <w:r>
              <w:t xml:space="preserve">или </w:t>
            </w:r>
            <w:r>
              <w:tab/>
              <w:t xml:space="preserve">атопических заболеваний у родственников;  </w:t>
            </w:r>
          </w:p>
          <w:p w:rsidR="00F15F71" w:rsidRDefault="00F974CD">
            <w:pPr>
              <w:numPr>
                <w:ilvl w:val="0"/>
                <w:numId w:val="56"/>
              </w:numPr>
              <w:spacing w:after="46" w:line="238" w:lineRule="auto"/>
              <w:ind w:right="60" w:hanging="360"/>
            </w:pPr>
            <w:r>
              <w:t xml:space="preserve">Распространенные сухие свистящие хрипы при выслушивании </w:t>
            </w:r>
          </w:p>
          <w:p w:rsidR="00F15F71" w:rsidRDefault="00F974CD">
            <w:pPr>
              <w:spacing w:after="29" w:line="259" w:lineRule="auto"/>
              <w:ind w:left="80" w:firstLine="0"/>
              <w:jc w:val="center"/>
            </w:pPr>
            <w:r>
              <w:t xml:space="preserve">(аускультации) грудной клетки; </w:t>
            </w:r>
          </w:p>
          <w:p w:rsidR="00F15F71" w:rsidRDefault="00F974CD">
            <w:pPr>
              <w:numPr>
                <w:ilvl w:val="0"/>
                <w:numId w:val="56"/>
              </w:numPr>
              <w:spacing w:after="34" w:line="251" w:lineRule="auto"/>
              <w:ind w:right="60" w:hanging="360"/>
            </w:pPr>
            <w:r>
              <w:t>Низкие показатели ПСВ или ОФВ</w:t>
            </w:r>
            <w:r>
              <w:rPr>
                <w:sz w:val="16"/>
              </w:rPr>
              <w:t>1</w:t>
            </w:r>
            <w:r>
              <w:t xml:space="preserve"> (ретроспективно или в серии исследований), необъяснимые другими причинами; </w:t>
            </w:r>
          </w:p>
          <w:p w:rsidR="00F15F71" w:rsidRDefault="00F974CD">
            <w:pPr>
              <w:numPr>
                <w:ilvl w:val="0"/>
                <w:numId w:val="56"/>
              </w:numPr>
              <w:spacing w:after="0" w:line="259" w:lineRule="auto"/>
              <w:ind w:right="60" w:hanging="360"/>
            </w:pPr>
            <w:r>
              <w:t xml:space="preserve">Эозинофилия периферической крови, необъяснимая другими причинами. 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57"/>
              </w:numPr>
              <w:spacing w:after="2" w:line="279" w:lineRule="auto"/>
              <w:ind w:hanging="360"/>
            </w:pPr>
            <w:r>
              <w:t xml:space="preserve">Выраженные головокружения, потемнение в глазах, парестезии; </w:t>
            </w:r>
          </w:p>
          <w:p w:rsidR="00F15F71" w:rsidRDefault="00F974CD">
            <w:pPr>
              <w:numPr>
                <w:ilvl w:val="0"/>
                <w:numId w:val="57"/>
              </w:numPr>
              <w:spacing w:after="26" w:line="258" w:lineRule="auto"/>
              <w:ind w:hanging="360"/>
            </w:pPr>
            <w:r>
              <w:t xml:space="preserve">Хронический продуктивный кашель при отсутствии свистящих хрипов или удушья; </w:t>
            </w:r>
          </w:p>
          <w:p w:rsidR="00F15F71" w:rsidRDefault="00F974CD">
            <w:pPr>
              <w:numPr>
                <w:ilvl w:val="0"/>
                <w:numId w:val="57"/>
              </w:numPr>
              <w:spacing w:after="46" w:line="238" w:lineRule="auto"/>
              <w:ind w:hanging="360"/>
            </w:pPr>
            <w:r>
              <w:t>Постоянно нормальные результаты обследования грудно</w:t>
            </w:r>
            <w:r>
              <w:t xml:space="preserve">й клетки при </w:t>
            </w:r>
          </w:p>
          <w:p w:rsidR="00F15F71" w:rsidRDefault="00F974CD">
            <w:pPr>
              <w:spacing w:after="22" w:line="259" w:lineRule="auto"/>
              <w:ind w:left="722" w:firstLine="0"/>
              <w:jc w:val="left"/>
            </w:pPr>
            <w:r>
              <w:t xml:space="preserve">наличии симптоматики; </w:t>
            </w:r>
          </w:p>
          <w:p w:rsidR="00F15F71" w:rsidRDefault="00F974CD">
            <w:pPr>
              <w:numPr>
                <w:ilvl w:val="0"/>
                <w:numId w:val="57"/>
              </w:numPr>
              <w:spacing w:after="24" w:line="259" w:lineRule="auto"/>
              <w:ind w:hanging="360"/>
            </w:pPr>
            <w:r>
              <w:t xml:space="preserve">Изменение голоса; </w:t>
            </w:r>
          </w:p>
          <w:p w:rsidR="00F15F71" w:rsidRDefault="00F974CD">
            <w:pPr>
              <w:numPr>
                <w:ilvl w:val="0"/>
                <w:numId w:val="57"/>
              </w:numPr>
              <w:spacing w:after="3" w:line="278" w:lineRule="auto"/>
              <w:ind w:hanging="360"/>
            </w:pPr>
            <w:r>
              <w:t xml:space="preserve">Возникновение симптомов исключительно на фоне простудных заболеваний; </w:t>
            </w:r>
          </w:p>
          <w:p w:rsidR="00F15F71" w:rsidRDefault="00F974CD">
            <w:pPr>
              <w:numPr>
                <w:ilvl w:val="0"/>
                <w:numId w:val="57"/>
              </w:numPr>
              <w:spacing w:after="22" w:line="259" w:lineRule="auto"/>
              <w:ind w:hanging="360"/>
            </w:pPr>
            <w:r>
              <w:t xml:space="preserve">Наличие большого стажа курения </w:t>
            </w:r>
          </w:p>
          <w:p w:rsidR="00F15F71" w:rsidRDefault="00F974CD">
            <w:pPr>
              <w:spacing w:after="22" w:line="259" w:lineRule="auto"/>
              <w:ind w:left="722" w:firstLine="0"/>
              <w:jc w:val="left"/>
            </w:pPr>
            <w:r>
              <w:t xml:space="preserve">(более 20 пачек/лет); </w:t>
            </w:r>
          </w:p>
          <w:p w:rsidR="00F15F71" w:rsidRDefault="00F974CD">
            <w:pPr>
              <w:numPr>
                <w:ilvl w:val="0"/>
                <w:numId w:val="57"/>
              </w:numPr>
              <w:spacing w:after="25" w:line="259" w:lineRule="auto"/>
              <w:ind w:hanging="360"/>
            </w:pPr>
            <w:r>
              <w:t xml:space="preserve">Заболевания сердца; </w:t>
            </w:r>
          </w:p>
          <w:p w:rsidR="00F15F71" w:rsidRDefault="00F974CD">
            <w:pPr>
              <w:numPr>
                <w:ilvl w:val="0"/>
                <w:numId w:val="57"/>
              </w:numPr>
              <w:spacing w:after="0" w:line="259" w:lineRule="auto"/>
              <w:ind w:hanging="360"/>
            </w:pPr>
            <w:r>
              <w:t xml:space="preserve">Нормальные показатели ПСВ или спирометрии при наличии клинических проявлений. </w:t>
            </w:r>
          </w:p>
        </w:tc>
      </w:tr>
    </w:tbl>
    <w:p w:rsidR="00F15F71" w:rsidRDefault="00F974CD">
      <w:pPr>
        <w:spacing w:after="30"/>
        <w:ind w:left="0" w:right="841" w:firstLine="708"/>
      </w:pPr>
      <w:r>
        <w:rPr>
          <w:b/>
          <w:i/>
        </w:rPr>
        <w:t>Примечание</w:t>
      </w:r>
      <w:r>
        <w:rPr>
          <w:i/>
        </w:rPr>
        <w:t>.</w:t>
      </w:r>
      <w:r>
        <w:t xml:space="preserve"> ПСВ – пиковая скорость выдоха; ОФВ</w:t>
      </w:r>
      <w:r>
        <w:rPr>
          <w:sz w:val="16"/>
        </w:rPr>
        <w:t>1</w:t>
      </w:r>
      <w:r>
        <w:t xml:space="preserve"> – объем форсированного выдоха за 1 сек </w:t>
      </w:r>
    </w:p>
    <w:p w:rsidR="00F15F71" w:rsidRDefault="00F974CD">
      <w:pPr>
        <w:pStyle w:val="Heading4"/>
        <w:ind w:left="1615" w:right="175" w:hanging="571"/>
      </w:pPr>
      <w:bookmarkStart w:id="56" w:name="_Toc275213"/>
      <w:r>
        <w:t xml:space="preserve">Приложение Б5. </w:t>
      </w:r>
      <w:r>
        <w:t xml:space="preserve">Алгоритм подтверждения БА у пациентов, получающих пробную терапию ИГКС (дети старше 6 лет и взрослые) </w:t>
      </w:r>
      <w:bookmarkEnd w:id="56"/>
    </w:p>
    <w:tbl>
      <w:tblPr>
        <w:tblStyle w:val="TableGrid"/>
        <w:tblW w:w="9573" w:type="dxa"/>
        <w:tblInd w:w="-108" w:type="dxa"/>
        <w:tblCellMar>
          <w:top w:w="61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2122"/>
        <w:gridCol w:w="7451"/>
      </w:tblGrid>
      <w:tr w:rsidR="00F15F71">
        <w:trPr>
          <w:trHeight w:val="1253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46" w:line="259" w:lineRule="auto"/>
              <w:ind w:left="0" w:firstLine="0"/>
            </w:pPr>
            <w:r>
              <w:rPr>
                <w:b/>
              </w:rPr>
              <w:t xml:space="preserve">Статус пациента </w:t>
            </w:r>
          </w:p>
          <w:p w:rsidR="00F15F71" w:rsidRDefault="00F974CD">
            <w:pPr>
              <w:tabs>
                <w:tab w:val="right" w:pos="1966"/>
              </w:tabs>
              <w:spacing w:after="169" w:line="259" w:lineRule="auto"/>
              <w:ind w:left="0" w:firstLine="0"/>
              <w:jc w:val="left"/>
            </w:pPr>
            <w:r>
              <w:rPr>
                <w:b/>
              </w:rPr>
              <w:t xml:space="preserve">на </w:t>
            </w:r>
            <w:r>
              <w:rPr>
                <w:b/>
              </w:rPr>
              <w:tab/>
              <w:t xml:space="preserve">момент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осмотра </w:t>
            </w:r>
          </w:p>
        </w:tc>
        <w:tc>
          <w:tcPr>
            <w:tcW w:w="7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rPr>
                <w:b/>
              </w:rPr>
              <w:t xml:space="preserve">Интерпретация результатов и алгоритм подтверждения БА </w:t>
            </w:r>
          </w:p>
        </w:tc>
      </w:tr>
      <w:tr w:rsidR="00F15F71">
        <w:trPr>
          <w:trHeight w:val="2218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9" w:line="238" w:lineRule="auto"/>
              <w:ind w:left="0" w:firstLine="0"/>
              <w:jc w:val="left"/>
            </w:pPr>
            <w:r>
              <w:t xml:space="preserve">Вариабельность респираторных </w:t>
            </w:r>
          </w:p>
          <w:p w:rsidR="00F15F71" w:rsidRDefault="00F974CD">
            <w:pPr>
              <w:tabs>
                <w:tab w:val="right" w:pos="1966"/>
              </w:tabs>
              <w:spacing w:after="0" w:line="259" w:lineRule="auto"/>
              <w:ind w:left="0" w:firstLine="0"/>
              <w:jc w:val="left"/>
            </w:pPr>
            <w:r>
              <w:t xml:space="preserve">симптомов </w:t>
            </w:r>
            <w:r>
              <w:tab/>
              <w:t xml:space="preserve">и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вариабельность функции </w:t>
            </w:r>
            <w:r>
              <w:tab/>
              <w:t xml:space="preserve">легких (ограничение воздушного потока) </w:t>
            </w:r>
          </w:p>
        </w:tc>
        <w:tc>
          <w:tcPr>
            <w:tcW w:w="7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3" w:line="259" w:lineRule="auto"/>
              <w:ind w:left="1" w:firstLine="0"/>
              <w:jc w:val="left"/>
            </w:pPr>
            <w:r>
              <w:t xml:space="preserve">Диагноз астмы подтвержден </w:t>
            </w:r>
          </w:p>
          <w:p w:rsidR="00F15F71" w:rsidRDefault="00F974CD">
            <w:pPr>
              <w:spacing w:after="0" w:line="278" w:lineRule="auto"/>
              <w:ind w:left="1" w:firstLine="0"/>
              <w:jc w:val="left"/>
            </w:pPr>
            <w:r>
              <w:t xml:space="preserve">Оценить уровень контроля над БА и схему лечения ИГКСсодержащими препаратами. </w:t>
            </w:r>
          </w:p>
          <w:p w:rsidR="00F15F71" w:rsidRDefault="00F974CD">
            <w:pPr>
              <w:spacing w:after="0" w:line="259" w:lineRule="auto"/>
              <w:ind w:left="709" w:firstLine="0"/>
              <w:jc w:val="left"/>
            </w:pPr>
            <w:r>
              <w:t xml:space="preserve"> </w:t>
            </w:r>
          </w:p>
        </w:tc>
      </w:tr>
      <w:tr w:rsidR="00F15F71">
        <w:trPr>
          <w:trHeight w:val="6428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60" w:lineRule="auto"/>
              <w:ind w:left="0" w:firstLine="0"/>
              <w:jc w:val="left"/>
            </w:pPr>
            <w:r>
              <w:t xml:space="preserve">Вариабельность респираторных симптомов </w:t>
            </w:r>
            <w:r>
              <w:tab/>
              <w:t xml:space="preserve">есть, но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вариабельность ограничения воздушного потока отсутствует </w:t>
            </w:r>
          </w:p>
        </w:tc>
        <w:tc>
          <w:tcPr>
            <w:tcW w:w="7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58"/>
              </w:numPr>
              <w:spacing w:after="44" w:line="258" w:lineRule="auto"/>
              <w:ind w:right="58" w:hanging="175"/>
            </w:pPr>
            <w:r>
              <w:t>Рассмотрите возможность проведения повторной спирометрии после отмены препарата, обладающего бронхолитическим действием (4 часа-</w:t>
            </w:r>
            <w:r>
              <w:t xml:space="preserve">КДБА, 24 часа ИГКС+ДДБА (двухкратное использование в сутки), 36 часов ИГКС+ДДБА однократного применения или при наличии симптомов.  </w:t>
            </w:r>
          </w:p>
          <w:p w:rsidR="00F15F71" w:rsidRDefault="00F974CD">
            <w:pPr>
              <w:numPr>
                <w:ilvl w:val="0"/>
                <w:numId w:val="58"/>
              </w:numPr>
              <w:spacing w:after="0" w:line="241" w:lineRule="auto"/>
              <w:ind w:right="58" w:hanging="175"/>
            </w:pPr>
            <w:r>
              <w:t xml:space="preserve">Проверьте между визитами вариабельность ОФВ1 и реакцию на препарат, обладающий бронхолитическим действием </w:t>
            </w:r>
          </w:p>
          <w:p w:rsidR="00F15F71" w:rsidRDefault="00F974CD">
            <w:pPr>
              <w:spacing w:after="20" w:line="278" w:lineRule="auto"/>
              <w:ind w:left="176" w:right="60" w:firstLine="0"/>
            </w:pPr>
            <w:r>
              <w:t>(бронходилатацио</w:t>
            </w:r>
            <w:r>
              <w:t xml:space="preserve">нный тест (Исследование дыхательных объемов с применением лекарственных препаратов)). Если показатели остаются нормальными – проведение дифференциального диагноза (см раздел Дифференциальный диагноз).  </w:t>
            </w:r>
          </w:p>
          <w:p w:rsidR="00F15F71" w:rsidRDefault="00F974CD">
            <w:pPr>
              <w:numPr>
                <w:ilvl w:val="0"/>
                <w:numId w:val="58"/>
              </w:numPr>
              <w:spacing w:after="51" w:line="252" w:lineRule="auto"/>
              <w:ind w:right="58" w:hanging="175"/>
            </w:pPr>
            <w:r>
              <w:t>Если ОФВ1 составляет &gt;70% от прогнозируемого: рассмот</w:t>
            </w:r>
            <w:r>
              <w:t>реть вопрос о снижении дозы ИГКС. Повторное обследование провести через 2-4 недели, затем рассмотреть возможность проведения бронхпровокационного теста (исследования дыхательных объемов с применением лекарственных препаратов) или повторно провести бронходи</w:t>
            </w:r>
            <w:r>
              <w:t xml:space="preserve">латационный тест (исследование дыхательных объемов с применением лекарственных препаратов). </w:t>
            </w:r>
          </w:p>
          <w:p w:rsidR="00F15F71" w:rsidRDefault="00F974CD">
            <w:pPr>
              <w:numPr>
                <w:ilvl w:val="0"/>
                <w:numId w:val="58"/>
              </w:numPr>
              <w:spacing w:after="0" w:line="259" w:lineRule="auto"/>
              <w:ind w:right="58" w:hanging="175"/>
            </w:pPr>
            <w:r>
              <w:t>Если ОФВ1 составляет &lt;70% от прогнозируемого: следует увеличить дозу ИГКС на 3 месяца в соответствии со ступенчатой терапией. Далее повторно оценить симптомы и фун</w:t>
            </w:r>
            <w:r>
              <w:t xml:space="preserve">кцию легких. При отсутствии ответа – возврат к прежней терапии и проведение дифференциальной диагностики. </w:t>
            </w:r>
          </w:p>
        </w:tc>
      </w:tr>
      <w:tr w:rsidR="00F15F71">
        <w:trPr>
          <w:trHeight w:val="3322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Редкие респираторные  симптомы, нормальная функция легких и отсутствие вариабельности ограничения воздушного потока </w:t>
            </w:r>
          </w:p>
        </w:tc>
        <w:tc>
          <w:tcPr>
            <w:tcW w:w="7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5" w:line="265" w:lineRule="auto"/>
              <w:ind w:left="1" w:right="59" w:firstLine="0"/>
            </w:pPr>
            <w:r>
              <w:t xml:space="preserve">Проведите повторно бронходилатационный тест (Исследование дыхательных объемов с применением лекарственных препаратов) после отмены препарата, обладающего бронхолитическим действием, либо при наличии респираторных симптомов.  </w:t>
            </w:r>
          </w:p>
          <w:p w:rsidR="00F15F71" w:rsidRDefault="00F974CD">
            <w:pPr>
              <w:spacing w:after="2" w:line="278" w:lineRule="auto"/>
              <w:ind w:left="1" w:right="60" w:firstLine="0"/>
            </w:pPr>
            <w:r>
              <w:t>В случае отрицательного резуль</w:t>
            </w:r>
            <w:r>
              <w:t xml:space="preserve">тата теста - проведение дифференциальной диагностики (см. раздел Дифференциальный диагноз) </w:t>
            </w:r>
          </w:p>
          <w:p w:rsidR="00F15F71" w:rsidRDefault="00F974CD">
            <w:pPr>
              <w:spacing w:after="0" w:line="275" w:lineRule="auto"/>
              <w:ind w:left="1" w:firstLine="0"/>
            </w:pPr>
            <w:r>
              <w:t xml:space="preserve">Рассмотрите возможность отмены/снижения объема терапии ИГКС (см. таблицу Приложение Б4):  </w:t>
            </w:r>
          </w:p>
          <w:p w:rsidR="00F15F71" w:rsidRDefault="00F974CD">
            <w:pPr>
              <w:spacing w:after="0" w:line="259" w:lineRule="auto"/>
              <w:ind w:left="1" w:right="62" w:firstLine="0"/>
            </w:pPr>
            <w:r>
              <w:t>При появлении симптомов и снижении функции легких БА считается подтвержде</w:t>
            </w:r>
            <w:r>
              <w:t xml:space="preserve">нной. Необходимо повысить дозу ИГКС до предыдущей минимальной эффективной дозы. </w:t>
            </w:r>
          </w:p>
        </w:tc>
      </w:tr>
      <w:tr w:rsidR="00F15F71">
        <w:trPr>
          <w:trHeight w:val="1116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" w:right="62" w:firstLine="0"/>
            </w:pPr>
            <w:r>
              <w:t xml:space="preserve">Если симптомы или показатели функции легких не изменились при минимальной дозе ИГКС - </w:t>
            </w:r>
            <w:r>
              <w:t xml:space="preserve">рассмотреть возможность прекращения терапии и дальнейшего наблюдения за пациентом в течение не менее 12 месяцев  </w:t>
            </w:r>
          </w:p>
        </w:tc>
      </w:tr>
      <w:tr w:rsidR="00F15F71">
        <w:trPr>
          <w:trHeight w:val="1666"/>
        </w:trPr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Стойкая </w:t>
            </w:r>
            <w:r>
              <w:tab/>
              <w:t xml:space="preserve">одышка и стойкое  ограничение воздушного потока </w:t>
            </w:r>
          </w:p>
        </w:tc>
        <w:tc>
          <w:tcPr>
            <w:tcW w:w="7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" w:line="278" w:lineRule="auto"/>
              <w:ind w:left="1" w:right="60" w:firstLine="0"/>
            </w:pPr>
            <w:r>
              <w:t xml:space="preserve">Рассмотрите возможность увеличения дозы ИГКС в течение 3 месяцев с </w:t>
            </w:r>
            <w:r>
              <w:t xml:space="preserve">дальнейшей повторной оценкой симптомов и легочной функции. </w:t>
            </w:r>
          </w:p>
          <w:p w:rsidR="00F15F71" w:rsidRDefault="00F974CD">
            <w:pPr>
              <w:spacing w:after="0" w:line="278" w:lineRule="auto"/>
              <w:ind w:left="1" w:firstLine="0"/>
            </w:pPr>
            <w:r>
              <w:t xml:space="preserve">При отсутствии ответа - возврат к прежней терапии и проведение дифференциальной диагностики </w:t>
            </w:r>
          </w:p>
          <w:p w:rsidR="00F15F71" w:rsidRDefault="00F974CD">
            <w:pPr>
              <w:spacing w:after="0" w:line="259" w:lineRule="auto"/>
              <w:ind w:left="1" w:firstLine="0"/>
              <w:jc w:val="left"/>
            </w:pPr>
            <w:r>
              <w:t xml:space="preserve">Рассмотреть возможность наличия у пациента как БА, так и ХОБЛ.  </w:t>
            </w:r>
          </w:p>
        </w:tc>
      </w:tr>
    </w:tbl>
    <w:p w:rsidR="00F15F71" w:rsidRDefault="00F974CD">
      <w:pPr>
        <w:spacing w:after="0" w:line="259" w:lineRule="auto"/>
        <w:ind w:left="708" w:firstLine="0"/>
      </w:pPr>
      <w:r>
        <w:t xml:space="preserve"> </w:t>
      </w:r>
      <w:r>
        <w:br w:type="page"/>
      </w:r>
    </w:p>
    <w:p w:rsidR="00F15F71" w:rsidRDefault="00F974CD">
      <w:pPr>
        <w:pStyle w:val="Heading4"/>
        <w:ind w:left="3128" w:right="10" w:hanging="2014"/>
      </w:pPr>
      <w:bookmarkStart w:id="57" w:name="_Toc275214"/>
      <w:r>
        <w:t xml:space="preserve">Приложение Б6. </w:t>
      </w:r>
      <w:r>
        <w:t xml:space="preserve">Алгоритм снижения дозы ИГКС / отмены терапии при подтверждении диагноза БА </w:t>
      </w:r>
      <w:bookmarkEnd w:id="57"/>
    </w:p>
    <w:tbl>
      <w:tblPr>
        <w:tblStyle w:val="TableGrid"/>
        <w:tblW w:w="9573" w:type="dxa"/>
        <w:tblInd w:w="-108" w:type="dxa"/>
        <w:tblCellMar>
          <w:top w:w="6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9573"/>
      </w:tblGrid>
      <w:tr w:rsidR="00F15F71">
        <w:trPr>
          <w:trHeight w:val="288"/>
        </w:trPr>
        <w:tc>
          <w:tcPr>
            <w:tcW w:w="9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t xml:space="preserve">ОЦЕНКА СТАТУСА ПАЦИЕНТА </w:t>
            </w:r>
          </w:p>
        </w:tc>
      </w:tr>
      <w:tr w:rsidR="00F15F71">
        <w:trPr>
          <w:trHeight w:val="2770"/>
        </w:trPr>
        <w:tc>
          <w:tcPr>
            <w:tcW w:w="9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59"/>
              </w:numPr>
              <w:spacing w:after="0" w:line="279" w:lineRule="auto"/>
              <w:ind w:firstLine="708"/>
            </w:pPr>
            <w:r>
              <w:t xml:space="preserve">Оцените текущее состояние пациента, включая уровень контроля над БА, функцию легких, факторы риска обострений </w:t>
            </w:r>
          </w:p>
          <w:p w:rsidR="00F15F71" w:rsidRDefault="00F974CD">
            <w:pPr>
              <w:numPr>
                <w:ilvl w:val="0"/>
                <w:numId w:val="59"/>
              </w:numPr>
              <w:spacing w:after="0" w:line="279" w:lineRule="auto"/>
              <w:ind w:firstLine="708"/>
            </w:pPr>
            <w:r>
              <w:t>Если у пациента имеются факторы риска обост</w:t>
            </w:r>
            <w:r>
              <w:t xml:space="preserve">рений астмы, дозу ИГКС необходимо снижать только под наблюдением врача. </w:t>
            </w:r>
          </w:p>
          <w:p w:rsidR="00F15F71" w:rsidRDefault="00F974CD">
            <w:pPr>
              <w:numPr>
                <w:ilvl w:val="0"/>
                <w:numId w:val="59"/>
              </w:numPr>
              <w:spacing w:after="0" w:line="279" w:lineRule="auto"/>
              <w:ind w:firstLine="708"/>
            </w:pPr>
            <w:r>
              <w:t xml:space="preserve">Снижать дозу необходимо в благоприятный период: отсутствие ОРИ, отсутствие беременности, доступность лечащего врача.  </w:t>
            </w:r>
          </w:p>
          <w:p w:rsidR="00F15F71" w:rsidRDefault="00F974CD">
            <w:pPr>
              <w:numPr>
                <w:ilvl w:val="0"/>
                <w:numId w:val="59"/>
              </w:numPr>
              <w:spacing w:after="0" w:line="279" w:lineRule="auto"/>
              <w:ind w:firstLine="708"/>
            </w:pPr>
            <w:r>
              <w:t>Необходимо предоставить пациенту подробные рекомендации на случа</w:t>
            </w:r>
            <w:r>
              <w:t xml:space="preserve">й ухудшения симптомов. </w:t>
            </w:r>
          </w:p>
          <w:p w:rsidR="00F15F71" w:rsidRDefault="00F974CD">
            <w:pPr>
              <w:numPr>
                <w:ilvl w:val="0"/>
                <w:numId w:val="59"/>
              </w:numPr>
              <w:spacing w:after="0" w:line="259" w:lineRule="auto"/>
              <w:ind w:firstLine="708"/>
            </w:pPr>
            <w:r>
              <w:t xml:space="preserve">Убедиться, что у пациента имеется запас лекарственных средств для возобновления прежней терапии в случае обострения БА.  </w:t>
            </w:r>
          </w:p>
        </w:tc>
      </w:tr>
      <w:tr w:rsidR="00F15F71">
        <w:trPr>
          <w:trHeight w:val="286"/>
        </w:trPr>
        <w:tc>
          <w:tcPr>
            <w:tcW w:w="9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t xml:space="preserve">КОРРЕКЦИЯ ОБЪЕМА ТЕРАПИИ </w:t>
            </w:r>
          </w:p>
        </w:tc>
      </w:tr>
      <w:tr w:rsidR="00F15F71">
        <w:trPr>
          <w:trHeight w:val="1390"/>
        </w:trPr>
        <w:tc>
          <w:tcPr>
            <w:tcW w:w="9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6" w:line="238" w:lineRule="auto"/>
              <w:ind w:left="0" w:firstLine="708"/>
            </w:pPr>
            <w:r>
              <w:t>Проинструктировать пациента о снижении и дозы ИГКС на 25-</w:t>
            </w:r>
            <w:r>
              <w:t xml:space="preserve">50% или прекращении приема других лекарственных препаратов, которые пациент получает </w:t>
            </w:r>
          </w:p>
          <w:p w:rsidR="00F15F71" w:rsidRDefault="00F974CD">
            <w:pPr>
              <w:spacing w:after="0" w:line="279" w:lineRule="auto"/>
              <w:ind w:left="708" w:right="4515" w:hanging="708"/>
              <w:jc w:val="left"/>
            </w:pPr>
            <w:r>
              <w:t xml:space="preserve">(например, ДДБА,  антагонист лейкотриеновых рецепторов)  </w:t>
            </w:r>
          </w:p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t xml:space="preserve">Контрольный осмотр пациента необходимо провести через 2 - 4 недели  </w:t>
            </w:r>
          </w:p>
        </w:tc>
      </w:tr>
      <w:tr w:rsidR="00F15F71">
        <w:trPr>
          <w:trHeight w:val="286"/>
        </w:trPr>
        <w:tc>
          <w:tcPr>
            <w:tcW w:w="9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t xml:space="preserve">ОЦЕНКА ОТВЕТА НА СНИЖЕНИЕ ОЪЕМА ТЕРАПИИ </w:t>
            </w:r>
          </w:p>
        </w:tc>
      </w:tr>
      <w:tr w:rsidR="00F15F71">
        <w:trPr>
          <w:trHeight w:val="2218"/>
        </w:trPr>
        <w:tc>
          <w:tcPr>
            <w:tcW w:w="9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60"/>
              </w:numPr>
              <w:spacing w:after="22" w:line="259" w:lineRule="auto"/>
              <w:ind w:right="62" w:firstLine="708"/>
            </w:pPr>
            <w:r>
              <w:t xml:space="preserve">Повторная оценка контроля симптомов БА и легочной функции через 2-4 недели  </w:t>
            </w:r>
          </w:p>
          <w:p w:rsidR="00F15F71" w:rsidRDefault="00F974CD">
            <w:pPr>
              <w:numPr>
                <w:ilvl w:val="0"/>
                <w:numId w:val="60"/>
              </w:numPr>
              <w:spacing w:after="23" w:line="258" w:lineRule="auto"/>
              <w:ind w:right="62" w:firstLine="708"/>
            </w:pPr>
            <w:r>
              <w:t>Подтверждение диагноза БА в случае усиления симптомов или подтверждения вариабельности ограничения воздушного потока после отмены лечения. Минимальная эффективная доза ИГКС должна</w:t>
            </w:r>
            <w:r>
              <w:t xml:space="preserve"> быть возобновлена. </w:t>
            </w:r>
          </w:p>
          <w:p w:rsidR="00F15F71" w:rsidRDefault="00F974CD">
            <w:pPr>
              <w:numPr>
                <w:ilvl w:val="0"/>
                <w:numId w:val="60"/>
              </w:numPr>
              <w:spacing w:after="0" w:line="259" w:lineRule="auto"/>
              <w:ind w:right="62" w:firstLine="708"/>
            </w:pPr>
            <w:r>
              <w:t>Если нет ухудшения симптомов и признаков вариабельности ограничения воздушного потока на фоне низких доз ИГКС, следует прекратить лечение ИГКС и повторить оценку симптомов и функции легких спустя 2-</w:t>
            </w:r>
            <w:r>
              <w:t xml:space="preserve">3 недели. Наблюдать за пациентом не менее 12 месяцев [364]. </w:t>
            </w:r>
          </w:p>
        </w:tc>
      </w:tr>
    </w:tbl>
    <w:p w:rsidR="00F15F71" w:rsidRDefault="00F974CD">
      <w:pPr>
        <w:spacing w:after="0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pStyle w:val="Heading4"/>
        <w:spacing w:after="96"/>
        <w:ind w:left="1421" w:right="10"/>
      </w:pPr>
      <w:bookmarkStart w:id="58" w:name="_Toc275215"/>
      <w:r>
        <w:t xml:space="preserve">Приложение Б7. Алгоритм диагностики профессиональной астмы </w:t>
      </w:r>
      <w:bookmarkEnd w:id="58"/>
    </w:p>
    <w:p w:rsidR="00F15F71" w:rsidRDefault="00F974CD">
      <w:pPr>
        <w:spacing w:after="60" w:line="259" w:lineRule="auto"/>
        <w:ind w:left="0" w:right="314" w:firstLine="0"/>
        <w:jc w:val="right"/>
      </w:pPr>
      <w:r>
        <w:rPr>
          <w:noProof/>
        </w:rPr>
        <w:drawing>
          <wp:inline distT="0" distB="0" distL="0" distR="0">
            <wp:extent cx="6240780" cy="7611110"/>
            <wp:effectExtent l="0" t="0" r="0" b="0"/>
            <wp:docPr id="31179" name="Picture 31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79" name="Picture 31179"/>
                    <pic:cNvPicPr/>
                  </pic:nvPicPr>
                  <pic:blipFill>
                    <a:blip r:embed="rId1516"/>
                    <a:stretch>
                      <a:fillRect/>
                    </a:stretch>
                  </pic:blipFill>
                  <pic:spPr>
                    <a:xfrm>
                      <a:off x="0" y="0"/>
                      <a:ext cx="6240780" cy="761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15F71" w:rsidRDefault="00F974CD">
      <w:pPr>
        <w:spacing w:after="113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40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pStyle w:val="Heading4"/>
        <w:ind w:left="1251" w:right="10"/>
      </w:pPr>
      <w:bookmarkStart w:id="59" w:name="_Toc275216"/>
      <w:r>
        <w:t xml:space="preserve">Приложение Б8. Примеры формулировки клинического диагноза БА </w:t>
      </w:r>
      <w:bookmarkEnd w:id="59"/>
    </w:p>
    <w:p w:rsidR="00F15F71" w:rsidRDefault="00F974CD">
      <w:pPr>
        <w:spacing w:after="16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60" w:line="259" w:lineRule="auto"/>
        <w:ind w:left="718" w:right="841"/>
      </w:pPr>
      <w:r>
        <w:t xml:space="preserve">В диагнозе должны быть указаны: </w:t>
      </w:r>
    </w:p>
    <w:p w:rsidR="00F15F71" w:rsidRDefault="00F974CD">
      <w:pPr>
        <w:numPr>
          <w:ilvl w:val="0"/>
          <w:numId w:val="37"/>
        </w:numPr>
        <w:spacing w:after="168" w:line="259" w:lineRule="auto"/>
        <w:ind w:right="841" w:hanging="720"/>
      </w:pPr>
      <w:r>
        <w:t xml:space="preserve">этиология (если установлена);  </w:t>
      </w:r>
    </w:p>
    <w:p w:rsidR="00F15F71" w:rsidRDefault="00F974CD">
      <w:pPr>
        <w:numPr>
          <w:ilvl w:val="0"/>
          <w:numId w:val="37"/>
        </w:numPr>
        <w:spacing w:after="166" w:line="259" w:lineRule="auto"/>
        <w:ind w:right="841" w:hanging="720"/>
      </w:pPr>
      <w:r>
        <w:t xml:space="preserve">степень тяжести;  </w:t>
      </w:r>
    </w:p>
    <w:p w:rsidR="00F15F71" w:rsidRDefault="00F974CD">
      <w:pPr>
        <w:numPr>
          <w:ilvl w:val="0"/>
          <w:numId w:val="37"/>
        </w:numPr>
        <w:spacing w:after="170" w:line="259" w:lineRule="auto"/>
        <w:ind w:right="841" w:hanging="720"/>
      </w:pPr>
      <w:r>
        <w:t xml:space="preserve">уровень контроля;  </w:t>
      </w:r>
    </w:p>
    <w:p w:rsidR="00F15F71" w:rsidRDefault="00F974CD">
      <w:pPr>
        <w:numPr>
          <w:ilvl w:val="0"/>
          <w:numId w:val="37"/>
        </w:numPr>
        <w:spacing w:after="169" w:line="259" w:lineRule="auto"/>
        <w:ind w:right="841" w:hanging="720"/>
      </w:pPr>
      <w:r>
        <w:t xml:space="preserve">степень дыхательной недостаточности; </w:t>
      </w:r>
    </w:p>
    <w:p w:rsidR="00F15F71" w:rsidRDefault="00F974CD">
      <w:pPr>
        <w:numPr>
          <w:ilvl w:val="0"/>
          <w:numId w:val="37"/>
        </w:numPr>
        <w:spacing w:after="38"/>
        <w:ind w:right="841" w:hanging="720"/>
      </w:pPr>
      <w:r>
        <w:t xml:space="preserve">сопутствующие заболевания, которые могут оказать влияние на течение БА; </w:t>
      </w:r>
      <w:r>
        <w:rPr>
          <w:rFonts w:ascii="Wingdings" w:eastAsia="Wingdings" w:hAnsi="Wingdings" w:cs="Wingdings"/>
        </w:rPr>
        <w:t>➢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при наличии – обострение с указанием его степени тяжести. </w:t>
      </w:r>
    </w:p>
    <w:p w:rsidR="00F15F71" w:rsidRDefault="00F974CD">
      <w:pPr>
        <w:spacing w:after="115" w:line="259" w:lineRule="auto"/>
        <w:ind w:left="718" w:right="841"/>
      </w:pPr>
      <w:r>
        <w:t>Примеры форму</w:t>
      </w:r>
      <w:r>
        <w:t xml:space="preserve">лировок диагноза: </w:t>
      </w:r>
    </w:p>
    <w:p w:rsidR="00F15F71" w:rsidRDefault="00F974CD">
      <w:pPr>
        <w:ind w:left="0" w:right="841" w:firstLine="708"/>
      </w:pPr>
      <w:r>
        <w:t xml:space="preserve">Бронхиальная астма, аллергическая, среднетяжелого течения, контролируемая. ДН 0ст. Аллергический ринит круглогодичный, легкое течение. Сенсибилизация к аллергенам клещей домашней пыли. </w:t>
      </w:r>
    </w:p>
    <w:p w:rsidR="00F15F71" w:rsidRDefault="00F974CD">
      <w:pPr>
        <w:spacing w:after="30"/>
        <w:ind w:left="0" w:right="841" w:firstLine="708"/>
      </w:pPr>
      <w:r>
        <w:t xml:space="preserve">Бронхиальная астма, неаллергическая, эозинофильная, средней степени тяжести, частично контролируемое течение. ДН 0ст. Хронический полипозный риносинусит. Непереносимость нестероидных противовоспалительных препаратов (НПВП). </w:t>
      </w:r>
    </w:p>
    <w:p w:rsidR="00F15F71" w:rsidRDefault="00F974CD">
      <w:pPr>
        <w:spacing w:after="29"/>
        <w:ind w:left="0" w:right="841" w:firstLine="708"/>
      </w:pPr>
      <w:r>
        <w:t>Бронхиальная астма, аллергическ</w:t>
      </w:r>
      <w:r>
        <w:t xml:space="preserve">ая, средней степени тяжести, обострение средней степени тяжести. ДН I ст. Аллергический ринит, персистирующий, тяжелое течение, обострение. Сенсибилизация к пыльцевым аллергенам (деревья). </w:t>
      </w:r>
    </w:p>
    <w:p w:rsidR="00F15F71" w:rsidRDefault="00F974CD">
      <w:pPr>
        <w:spacing w:after="28"/>
        <w:ind w:left="0" w:right="841" w:firstLine="708"/>
      </w:pPr>
      <w:r>
        <w:t xml:space="preserve">Бронхиальная астма, неаллергическая, тяжелое течение; обострение, </w:t>
      </w:r>
      <w:r>
        <w:t xml:space="preserve">тяжелое; астматический статус, компенсированная стадия. ДН I-IIст. Ожирение II ст. </w:t>
      </w:r>
    </w:p>
    <w:p w:rsidR="00F15F71" w:rsidRDefault="00F974CD">
      <w:pPr>
        <w:spacing w:after="30"/>
        <w:ind w:left="0" w:right="841" w:firstLine="708"/>
      </w:pPr>
      <w:r>
        <w:t>Профессиональная бронхиальная астма, вызванная контактом со смешанной растительной пылью, аллергическая форма, средне-тяжелая, неконтролируемое течение. ДН 0ст. Профессиона</w:t>
      </w:r>
      <w:r>
        <w:t xml:space="preserve">льный аллергический ринит. Гиперчувствительность к зерновой и мучной пыли (альфа-амилаза). </w:t>
      </w:r>
    </w:p>
    <w:p w:rsidR="00F15F71" w:rsidRDefault="00F974CD">
      <w:pPr>
        <w:spacing w:after="0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pStyle w:val="Heading4"/>
        <w:spacing w:line="397" w:lineRule="auto"/>
        <w:ind w:left="3924" w:right="237" w:hanging="3178"/>
      </w:pPr>
      <w:bookmarkStart w:id="60" w:name="_Toc275217"/>
      <w:r>
        <w:t xml:space="preserve">Приложение Б9. Дифференциальный диагноз астмы у взрослых, подростков и детей 6-11 лет  </w:t>
      </w:r>
      <w:bookmarkEnd w:id="60"/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9323" w:type="dxa"/>
        <w:tblInd w:w="-108" w:type="dxa"/>
        <w:tblCellMar>
          <w:top w:w="14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1099"/>
        <w:gridCol w:w="4964"/>
        <w:gridCol w:w="3260"/>
      </w:tblGrid>
      <w:tr w:rsidR="00F15F71">
        <w:trPr>
          <w:trHeight w:val="288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" w:firstLine="0"/>
              <w:jc w:val="left"/>
            </w:pPr>
            <w:r>
              <w:t xml:space="preserve">Возраст </w:t>
            </w:r>
          </w:p>
        </w:tc>
        <w:tc>
          <w:tcPr>
            <w:tcW w:w="4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2" w:firstLine="0"/>
              <w:jc w:val="center"/>
            </w:pPr>
            <w:r>
              <w:t xml:space="preserve">Симптомы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7" w:firstLine="0"/>
              <w:jc w:val="center"/>
            </w:pPr>
            <w:r>
              <w:t xml:space="preserve">Вероятная патология </w:t>
            </w:r>
          </w:p>
        </w:tc>
      </w:tr>
      <w:tr w:rsidR="00F15F71">
        <w:trPr>
          <w:trHeight w:val="3874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6-11 лет </w:t>
            </w:r>
          </w:p>
        </w:tc>
        <w:tc>
          <w:tcPr>
            <w:tcW w:w="4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76" w:lineRule="auto"/>
              <w:ind w:left="0" w:firstLine="0"/>
              <w:jc w:val="left"/>
            </w:pPr>
            <w:r>
              <w:t xml:space="preserve">Чихание зуд, заложенность носа, першение в горле  </w:t>
            </w:r>
          </w:p>
          <w:p w:rsidR="00F15F71" w:rsidRDefault="00F974CD">
            <w:pPr>
              <w:tabs>
                <w:tab w:val="center" w:pos="2322"/>
                <w:tab w:val="right" w:pos="4810"/>
              </w:tabs>
              <w:spacing w:after="28" w:line="259" w:lineRule="auto"/>
              <w:ind w:left="0" w:firstLine="0"/>
              <w:jc w:val="left"/>
            </w:pPr>
            <w:r>
              <w:t xml:space="preserve">Внезапное </w:t>
            </w:r>
            <w:r>
              <w:tab/>
              <w:t xml:space="preserve">появление </w:t>
            </w:r>
            <w:r>
              <w:tab/>
              <w:t xml:space="preserve">симптомов,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односторонние хрипы </w:t>
            </w:r>
          </w:p>
          <w:p w:rsidR="00F15F71" w:rsidRDefault="00F974CD">
            <w:pPr>
              <w:spacing w:after="0" w:line="276" w:lineRule="auto"/>
              <w:ind w:left="0" w:firstLine="0"/>
              <w:jc w:val="left"/>
            </w:pPr>
            <w:r>
              <w:t xml:space="preserve">Рецидивирующие инфекции, продуктивный кашель  </w:t>
            </w:r>
          </w:p>
          <w:p w:rsidR="00F15F71" w:rsidRDefault="00F974CD">
            <w:pPr>
              <w:spacing w:after="0" w:line="278" w:lineRule="auto"/>
              <w:ind w:left="0" w:firstLine="0"/>
              <w:jc w:val="left"/>
            </w:pPr>
            <w:r>
              <w:t xml:space="preserve">Рецидивирующие инфекции, продуктивный кашель, синусит  </w:t>
            </w:r>
          </w:p>
          <w:p w:rsidR="00F15F71" w:rsidRDefault="00F974CD">
            <w:pPr>
              <w:spacing w:line="259" w:lineRule="auto"/>
              <w:ind w:left="0" w:firstLine="0"/>
              <w:jc w:val="left"/>
            </w:pPr>
            <w:r>
              <w:t xml:space="preserve">Сердечные шумы  </w:t>
            </w:r>
          </w:p>
          <w:p w:rsidR="00F15F71" w:rsidRDefault="00F974CD">
            <w:pPr>
              <w:spacing w:after="0" w:line="282" w:lineRule="auto"/>
              <w:ind w:left="0" w:firstLine="0"/>
              <w:jc w:val="left"/>
            </w:pPr>
            <w:r>
              <w:t xml:space="preserve">Преждевременные </w:t>
            </w:r>
            <w:r>
              <w:tab/>
              <w:t xml:space="preserve">роды, </w:t>
            </w:r>
            <w:r>
              <w:tab/>
              <w:t xml:space="preserve">симптомы </w:t>
            </w:r>
            <w:r>
              <w:tab/>
              <w:t xml:space="preserve">с рождения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Сильный </w:t>
            </w:r>
            <w:r>
              <w:tab/>
              <w:t xml:space="preserve">кашель </w:t>
            </w:r>
            <w:r>
              <w:tab/>
              <w:t xml:space="preserve">с </w:t>
            </w:r>
            <w:r>
              <w:tab/>
              <w:t xml:space="preserve">продукцией </w:t>
            </w:r>
            <w:r>
              <w:tab/>
              <w:t xml:space="preserve">слизи, симптомы </w:t>
            </w:r>
            <w:r>
              <w:tab/>
              <w:t xml:space="preserve">со </w:t>
            </w:r>
            <w:r>
              <w:tab/>
              <w:t xml:space="preserve">стороны </w:t>
            </w:r>
            <w:r>
              <w:tab/>
              <w:t xml:space="preserve">желудочно </w:t>
            </w:r>
            <w:r>
              <w:tab/>
              <w:t xml:space="preserve">- кишечного тракта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6" w:line="238" w:lineRule="auto"/>
              <w:ind w:left="2" w:firstLine="0"/>
            </w:pPr>
            <w:r>
              <w:t xml:space="preserve">Хронический кашель, связанный с верхними </w:t>
            </w:r>
          </w:p>
          <w:p w:rsidR="00F15F71" w:rsidRDefault="00F974CD">
            <w:pPr>
              <w:spacing w:after="0" w:line="278" w:lineRule="auto"/>
              <w:ind w:left="2" w:firstLine="0"/>
              <w:jc w:val="left"/>
            </w:pPr>
            <w:r>
              <w:t xml:space="preserve">дыхательными путями Аспирация инородного тела </w:t>
            </w:r>
          </w:p>
          <w:p w:rsidR="00F15F71" w:rsidRDefault="00F974CD">
            <w:pPr>
              <w:spacing w:after="21" w:line="259" w:lineRule="auto"/>
              <w:ind w:left="2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Бронхоэктазы </w:t>
            </w:r>
          </w:p>
          <w:p w:rsidR="00F15F71" w:rsidRDefault="00F974CD">
            <w:pPr>
              <w:spacing w:line="259" w:lineRule="auto"/>
              <w:ind w:left="2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83" w:lineRule="auto"/>
              <w:ind w:left="2" w:firstLine="0"/>
              <w:jc w:val="left"/>
            </w:pPr>
            <w:r>
              <w:t xml:space="preserve">Первичная </w:t>
            </w:r>
            <w:r>
              <w:tab/>
              <w:t xml:space="preserve">цилиарная дискинезия </w:t>
            </w:r>
          </w:p>
          <w:p w:rsidR="00F15F71" w:rsidRDefault="00F974CD">
            <w:pPr>
              <w:spacing w:after="22" w:line="259" w:lineRule="auto"/>
              <w:ind w:left="2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22" w:line="259" w:lineRule="auto"/>
              <w:ind w:left="2" w:firstLine="0"/>
              <w:jc w:val="left"/>
            </w:pPr>
            <w:r>
              <w:t xml:space="preserve">Врожденные пороки сердца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Бронхолегочная дисплазия </w:t>
            </w:r>
          </w:p>
          <w:p w:rsidR="00F15F71" w:rsidRDefault="00F974CD">
            <w:pPr>
              <w:spacing w:after="22" w:line="259" w:lineRule="auto"/>
              <w:ind w:left="2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Кистозный фиброз </w:t>
            </w:r>
          </w:p>
        </w:tc>
      </w:tr>
      <w:tr w:rsidR="00F15F71">
        <w:trPr>
          <w:trHeight w:val="4150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12-39 лет </w:t>
            </w:r>
          </w:p>
        </w:tc>
        <w:tc>
          <w:tcPr>
            <w:tcW w:w="4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" w:line="276" w:lineRule="auto"/>
              <w:ind w:left="0" w:firstLine="0"/>
              <w:jc w:val="left"/>
            </w:pPr>
            <w:r>
              <w:t xml:space="preserve">Чихание зуд, заложенность носа, першение в горле.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Одышка, инспираторные хрипы (стридор)  </w:t>
            </w:r>
          </w:p>
          <w:p w:rsidR="00F15F71" w:rsidRDefault="00F974CD">
            <w:pPr>
              <w:spacing w:after="23" w:line="259" w:lineRule="auto"/>
              <w:ind w:left="0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Головокружение, парестезии, вздохи  </w:t>
            </w:r>
          </w:p>
          <w:p w:rsidR="00F15F71" w:rsidRDefault="00F974CD">
            <w:pPr>
              <w:spacing w:line="259" w:lineRule="auto"/>
              <w:ind w:left="0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83" w:lineRule="auto"/>
              <w:ind w:left="0" w:firstLine="0"/>
              <w:jc w:val="left"/>
            </w:pPr>
            <w:r>
              <w:t xml:space="preserve">Продуктивный </w:t>
            </w:r>
            <w:r>
              <w:tab/>
              <w:t xml:space="preserve">кашель, </w:t>
            </w:r>
            <w:r>
              <w:tab/>
              <w:t xml:space="preserve">рецидивирующие инфекции  </w:t>
            </w:r>
          </w:p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 xml:space="preserve">Сильный кашель с продукцией слизи  </w:t>
            </w:r>
          </w:p>
          <w:p w:rsidR="00F15F71" w:rsidRDefault="00F974CD">
            <w:pPr>
              <w:spacing w:line="259" w:lineRule="auto"/>
              <w:ind w:left="0" w:firstLine="0"/>
              <w:jc w:val="left"/>
            </w:pPr>
            <w:r>
              <w:t xml:space="preserve">Сердечные шумы  </w:t>
            </w:r>
          </w:p>
          <w:p w:rsidR="00F15F71" w:rsidRDefault="00F974CD">
            <w:pPr>
              <w:tabs>
                <w:tab w:val="center" w:pos="1854"/>
                <w:tab w:val="center" w:pos="3196"/>
                <w:tab w:val="right" w:pos="4810"/>
              </w:tabs>
              <w:spacing w:after="27" w:line="259" w:lineRule="auto"/>
              <w:ind w:left="0" w:firstLine="0"/>
              <w:jc w:val="left"/>
            </w:pPr>
            <w:r>
              <w:t xml:space="preserve">Одышка, </w:t>
            </w:r>
            <w:r>
              <w:tab/>
              <w:t xml:space="preserve">семейный </w:t>
            </w:r>
            <w:r>
              <w:tab/>
              <w:t xml:space="preserve">анамнез </w:t>
            </w:r>
            <w:r>
              <w:tab/>
              <w:t xml:space="preserve">ранней </w:t>
            </w:r>
          </w:p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 xml:space="preserve">эмфиземы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Внезапное появление симптомов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63" w:lineRule="auto"/>
              <w:ind w:left="2" w:right="61" w:firstLine="0"/>
              <w:jc w:val="left"/>
            </w:pPr>
            <w:r>
              <w:t xml:space="preserve">Хронический </w:t>
            </w:r>
            <w:r>
              <w:tab/>
              <w:t xml:space="preserve">кашель, связанный </w:t>
            </w:r>
            <w:r>
              <w:tab/>
              <w:t xml:space="preserve">с </w:t>
            </w:r>
            <w:r>
              <w:tab/>
              <w:t>верхними дыхательными путями. Индуцирован</w:t>
            </w:r>
            <w:r>
              <w:t xml:space="preserve">ная ларингеальная обструкция. Гипервентиляция, дисфункциональное дыхание. Бронхоэктазы. </w:t>
            </w:r>
          </w:p>
          <w:p w:rsidR="00F15F71" w:rsidRDefault="00F974CD">
            <w:pPr>
              <w:spacing w:after="22" w:line="259" w:lineRule="auto"/>
              <w:ind w:left="2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22" w:line="259" w:lineRule="auto"/>
              <w:ind w:left="2" w:firstLine="0"/>
              <w:jc w:val="left"/>
            </w:pPr>
            <w:r>
              <w:t xml:space="preserve">Кистозный фиброз </w:t>
            </w:r>
          </w:p>
          <w:p w:rsidR="00F15F71" w:rsidRDefault="00F974CD">
            <w:pPr>
              <w:spacing w:after="21" w:line="259" w:lineRule="auto"/>
              <w:ind w:left="2" w:firstLine="0"/>
              <w:jc w:val="left"/>
            </w:pPr>
            <w:r>
              <w:t xml:space="preserve">Врожденные пороки сердца </w:t>
            </w:r>
          </w:p>
          <w:p w:rsidR="00F15F71" w:rsidRDefault="00F974CD">
            <w:pPr>
              <w:spacing w:after="0" w:line="283" w:lineRule="auto"/>
              <w:ind w:left="2" w:firstLine="0"/>
              <w:jc w:val="left"/>
            </w:pPr>
            <w:r>
              <w:t xml:space="preserve">Дефицит </w:t>
            </w:r>
            <w:r>
              <w:tab/>
              <w:t xml:space="preserve">альфа1антитрипсина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Аспирация инородного тела </w:t>
            </w:r>
          </w:p>
        </w:tc>
      </w:tr>
      <w:tr w:rsidR="00F15F71">
        <w:trPr>
          <w:trHeight w:val="4427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40+ лет </w:t>
            </w:r>
          </w:p>
        </w:tc>
        <w:tc>
          <w:tcPr>
            <w:tcW w:w="4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Одышка, инспираторные хрипы (стридор)  </w:t>
            </w:r>
          </w:p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Головокружение, парестезии, вздохи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78" w:lineRule="auto"/>
              <w:ind w:left="0" w:firstLine="0"/>
            </w:pPr>
            <w:r>
              <w:t xml:space="preserve">Кашель, мокрота, одышка при нагрузке, курение или вредное воздействие. </w:t>
            </w:r>
          </w:p>
          <w:p w:rsidR="00F15F71" w:rsidRDefault="00F974CD">
            <w:pPr>
              <w:spacing w:after="0" w:line="283" w:lineRule="auto"/>
              <w:ind w:left="0" w:firstLine="0"/>
              <w:jc w:val="left"/>
            </w:pPr>
            <w:r>
              <w:t xml:space="preserve">Продуктивный </w:t>
            </w:r>
            <w:r>
              <w:tab/>
              <w:t xml:space="preserve">кашель, </w:t>
            </w:r>
            <w:r>
              <w:tab/>
              <w:t xml:space="preserve">рецидивирующие инфекции  </w:t>
            </w:r>
          </w:p>
          <w:p w:rsidR="00F15F71" w:rsidRDefault="00F974CD">
            <w:pPr>
              <w:spacing w:after="1" w:line="278" w:lineRule="auto"/>
              <w:ind w:left="0" w:firstLine="0"/>
            </w:pPr>
            <w:r>
              <w:t xml:space="preserve">Одышка при физнагрузке, ночные симптомы, отеки лодыжек  </w:t>
            </w:r>
          </w:p>
          <w:p w:rsidR="00F15F71" w:rsidRDefault="00F974CD">
            <w:pPr>
              <w:tabs>
                <w:tab w:val="center" w:pos="2127"/>
                <w:tab w:val="right" w:pos="4810"/>
              </w:tabs>
              <w:spacing w:after="29" w:line="259" w:lineRule="auto"/>
              <w:ind w:left="0" w:firstLine="0"/>
              <w:jc w:val="left"/>
            </w:pPr>
            <w:r>
              <w:t xml:space="preserve">Лечение </w:t>
            </w:r>
            <w:r>
              <w:tab/>
              <w:t xml:space="preserve">ингибитором </w:t>
            </w:r>
            <w:r>
              <w:tab/>
              <w:t>ангиотензин-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прев</w:t>
            </w:r>
            <w:r>
              <w:t xml:space="preserve">ращающего фермента (АПФ)  </w:t>
            </w:r>
          </w:p>
          <w:p w:rsidR="00F15F71" w:rsidRDefault="00F974CD">
            <w:pPr>
              <w:spacing w:after="24" w:line="258" w:lineRule="auto"/>
              <w:ind w:left="0" w:right="62" w:firstLine="0"/>
            </w:pPr>
            <w:r>
              <w:t xml:space="preserve">Одышка при нагрузке, непродуктивный кашель, деформация пальцев («барабанные палочки»)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Внезапное появление одышки, боли в груди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3" w:line="259" w:lineRule="auto"/>
              <w:ind w:left="2" w:firstLine="0"/>
              <w:jc w:val="left"/>
            </w:pPr>
            <w:r>
              <w:t xml:space="preserve">Индуцированная </w:t>
            </w:r>
          </w:p>
          <w:p w:rsidR="00F15F71" w:rsidRDefault="00F974CD">
            <w:pPr>
              <w:spacing w:after="47" w:line="238" w:lineRule="auto"/>
              <w:ind w:left="2" w:firstLine="0"/>
              <w:jc w:val="left"/>
            </w:pPr>
            <w:r>
              <w:t xml:space="preserve">ларингеальная обструкция Гипервентиляция, </w:t>
            </w:r>
          </w:p>
          <w:p w:rsidR="00F15F71" w:rsidRDefault="00F974CD">
            <w:pPr>
              <w:spacing w:after="0" w:line="270" w:lineRule="auto"/>
              <w:ind w:left="2" w:firstLine="0"/>
              <w:jc w:val="left"/>
            </w:pPr>
            <w:r>
              <w:t xml:space="preserve">дисфункциональное дыхание ХОБЛ* </w:t>
            </w:r>
          </w:p>
          <w:p w:rsidR="00F15F71" w:rsidRDefault="00F974CD">
            <w:pPr>
              <w:spacing w:after="21" w:line="259" w:lineRule="auto"/>
              <w:ind w:left="2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Бронхоэктазы. </w:t>
            </w:r>
          </w:p>
          <w:p w:rsidR="00F15F71" w:rsidRDefault="00F974CD">
            <w:pPr>
              <w:spacing w:after="22" w:line="259" w:lineRule="auto"/>
              <w:ind w:left="2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Сердечная недостаточность. </w:t>
            </w:r>
          </w:p>
          <w:p w:rsidR="00F15F71" w:rsidRDefault="00F974CD">
            <w:pPr>
              <w:spacing w:line="259" w:lineRule="auto"/>
              <w:ind w:left="2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20" w:line="261" w:lineRule="auto"/>
              <w:ind w:left="2" w:firstLine="0"/>
              <w:jc w:val="left"/>
            </w:pPr>
            <w:r>
              <w:t xml:space="preserve">Кашель, </w:t>
            </w:r>
            <w:r>
              <w:tab/>
              <w:t xml:space="preserve">связанный </w:t>
            </w:r>
            <w:r>
              <w:tab/>
              <w:t xml:space="preserve">с приемом лекарств. Паренхиматозное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заболевание легких </w:t>
            </w:r>
          </w:p>
          <w:p w:rsidR="00F15F71" w:rsidRDefault="00F974CD">
            <w:pPr>
              <w:spacing w:line="259" w:lineRule="auto"/>
              <w:ind w:left="2" w:firstLine="0"/>
              <w:jc w:val="left"/>
            </w:pPr>
            <w:r>
              <w:t xml:space="preserve"> </w:t>
            </w:r>
          </w:p>
          <w:p w:rsidR="00F15F71" w:rsidRDefault="00F974CD">
            <w:pPr>
              <w:tabs>
                <w:tab w:val="right" w:pos="3106"/>
              </w:tabs>
              <w:spacing w:after="0" w:line="259" w:lineRule="auto"/>
              <w:ind w:left="0" w:firstLine="0"/>
              <w:jc w:val="left"/>
            </w:pPr>
            <w:r>
              <w:t xml:space="preserve">Тромбоэмболия </w:t>
            </w:r>
            <w:r>
              <w:tab/>
              <w:t xml:space="preserve">легочной </w:t>
            </w:r>
          </w:p>
        </w:tc>
      </w:tr>
      <w:tr w:rsidR="00F15F71">
        <w:trPr>
          <w:trHeight w:val="840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Одышка, не реагирующая на бронхолитики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line="259" w:lineRule="auto"/>
              <w:ind w:left="2" w:firstLine="0"/>
              <w:jc w:val="left"/>
            </w:pPr>
            <w:r>
              <w:t xml:space="preserve">артерии.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Центральная </w:t>
            </w:r>
            <w:r>
              <w:tab/>
              <w:t xml:space="preserve">обструкция дыхательных путей </w:t>
            </w:r>
          </w:p>
        </w:tc>
      </w:tr>
      <w:tr w:rsidR="00F15F71">
        <w:trPr>
          <w:trHeight w:val="1114"/>
        </w:trPr>
        <w:tc>
          <w:tcPr>
            <w:tcW w:w="10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Все возраста </w:t>
            </w:r>
          </w:p>
        </w:tc>
        <w:tc>
          <w:tcPr>
            <w:tcW w:w="4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5" w:line="238" w:lineRule="auto"/>
              <w:ind w:left="0" w:firstLine="0"/>
            </w:pPr>
            <w:r>
              <w:t xml:space="preserve">Хронический кашель, кровохарканье, одышка; и/или утомляемость, лихорадка, </w:t>
            </w:r>
          </w:p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 xml:space="preserve">(ночная)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потливость, анорексия, потеря веса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Туберкулез </w:t>
            </w:r>
          </w:p>
        </w:tc>
      </w:tr>
      <w:tr w:rsidR="00F15F71">
        <w:trPr>
          <w:trHeight w:val="5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2154"/>
                <w:tab w:val="center" w:pos="3407"/>
                <w:tab w:val="right" w:pos="4810"/>
              </w:tabs>
              <w:spacing w:after="26" w:line="259" w:lineRule="auto"/>
              <w:ind w:left="0" w:firstLine="0"/>
              <w:jc w:val="left"/>
            </w:pPr>
            <w:r>
              <w:t xml:space="preserve">Длительные </w:t>
            </w:r>
            <w:r>
              <w:tab/>
              <w:t xml:space="preserve">пароксизмы </w:t>
            </w:r>
            <w:r>
              <w:tab/>
              <w:t xml:space="preserve">кашля, </w:t>
            </w:r>
            <w:r>
              <w:tab/>
              <w:t xml:space="preserve">иногда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стридор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Коклюш </w:t>
            </w:r>
          </w:p>
        </w:tc>
      </w:tr>
    </w:tbl>
    <w:p w:rsidR="00F15F71" w:rsidRDefault="00F974CD">
      <w:pPr>
        <w:spacing w:after="0" w:line="259" w:lineRule="auto"/>
        <w:ind w:left="0" w:firstLine="0"/>
      </w:pPr>
      <w:r>
        <w:rPr>
          <w:b/>
        </w:rPr>
        <w:t xml:space="preserve"> </w:t>
      </w:r>
      <w:r>
        <w:br w:type="page"/>
      </w:r>
    </w:p>
    <w:p w:rsidR="00F15F71" w:rsidRDefault="00F974CD">
      <w:pPr>
        <w:pStyle w:val="Heading4"/>
        <w:spacing w:after="104"/>
        <w:ind w:left="-5" w:right="10"/>
      </w:pPr>
      <w:bookmarkStart w:id="61" w:name="_Toc275218"/>
      <w:r>
        <w:t xml:space="preserve">Приложение Б10. </w:t>
      </w:r>
      <w:r>
        <w:t xml:space="preserve">Дифференциальный диагноз астмы у детей 5 лет и младше </w:t>
      </w:r>
      <w:bookmarkEnd w:id="61"/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9573" w:type="dxa"/>
        <w:tblInd w:w="-108" w:type="dxa"/>
        <w:tblCellMar>
          <w:top w:w="59" w:type="dxa"/>
          <w:left w:w="108" w:type="dxa"/>
          <w:bottom w:w="0" w:type="dxa"/>
          <w:right w:w="50" w:type="dxa"/>
        </w:tblCellMar>
        <w:tblLook w:val="04A0" w:firstRow="1" w:lastRow="0" w:firstColumn="1" w:lastColumn="0" w:noHBand="0" w:noVBand="1"/>
      </w:tblPr>
      <w:tblGrid>
        <w:gridCol w:w="3085"/>
        <w:gridCol w:w="6488"/>
      </w:tblGrid>
      <w:tr w:rsidR="00F15F71">
        <w:trPr>
          <w:trHeight w:val="286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Диагноз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Клинические проявления </w:t>
            </w:r>
          </w:p>
        </w:tc>
      </w:tr>
      <w:tr w:rsidR="00F15F71">
        <w:trPr>
          <w:trHeight w:val="562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Рецидивирующие респираторные инфекции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Кашель, насморк, заложенность носа в течение &lt;10 дней; между инфекциями симптомы отсутствуют </w:t>
            </w:r>
          </w:p>
        </w:tc>
      </w:tr>
      <w:tr w:rsidR="00F15F71">
        <w:trPr>
          <w:trHeight w:val="1114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Гастроэзофагеальный рефлюкс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4" w:line="258" w:lineRule="auto"/>
              <w:ind w:left="0" w:right="63" w:firstLine="0"/>
            </w:pPr>
            <w:r>
              <w:t xml:space="preserve">Кашель при кормлении; рецидивирующие инфекции нижних дызательных путей; легкая рвота, особенно после больших порций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кормления; отсутствие эффекта на терапию БА </w:t>
            </w:r>
          </w:p>
        </w:tc>
      </w:tr>
      <w:tr w:rsidR="00F15F71">
        <w:trPr>
          <w:trHeight w:val="841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32" w:firstLine="0"/>
              <w:jc w:val="left"/>
            </w:pPr>
            <w:r>
              <w:t xml:space="preserve">Аспирация инородного тела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8" w:line="238" w:lineRule="auto"/>
              <w:ind w:left="0" w:firstLine="0"/>
            </w:pPr>
            <w:r>
              <w:t>Эпизод резкого, сильного кашля и/или стридора во время еды или иг</w:t>
            </w:r>
            <w:r>
              <w:t xml:space="preserve">ры; рецидивирующие инфекции нижних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дыхательных путей и кашель; очаговые изменения в легких  </w:t>
            </w:r>
          </w:p>
        </w:tc>
      </w:tr>
      <w:tr w:rsidR="00F15F71">
        <w:trPr>
          <w:trHeight w:val="286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Коклюш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Затяжные пароксизмы кашля, часто со стридором и рвотой </w:t>
            </w:r>
          </w:p>
        </w:tc>
      </w:tr>
      <w:tr w:rsidR="00F15F71">
        <w:trPr>
          <w:trHeight w:val="562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Персистирующий бактериальный бронхит 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Постоянный влажный кашель; нет эффекта на терапию БА </w:t>
            </w:r>
          </w:p>
        </w:tc>
      </w:tr>
      <w:tr w:rsidR="00F15F71">
        <w:trPr>
          <w:trHeight w:val="1942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38" w:lineRule="auto"/>
              <w:ind w:left="0" w:firstLine="0"/>
              <w:jc w:val="left"/>
            </w:pPr>
            <w:r>
              <w:t xml:space="preserve">Врожденные структурные аномалии, например: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Трахеомаляция,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Врожденная бронхогенная киста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Шумное дыхание при плаче, приеме пищи или при инфекциях верхних дыхательных путей (шумный вдох (при экстраторакальной локализации) или выдох (при интраторакальной ло</w:t>
            </w:r>
            <w:r>
              <w:t xml:space="preserve">кализации); резкий кашель; втяжение уступчивых мест грудной клетки на вдозе или выдохе; симптомы часто присутствуют с рождения; отсутствие эффекта от лечения БА. </w:t>
            </w:r>
          </w:p>
        </w:tc>
      </w:tr>
      <w:tr w:rsidR="00F15F71">
        <w:trPr>
          <w:trHeight w:val="1390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Туберкулез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79" w:lineRule="auto"/>
              <w:ind w:left="0" w:firstLine="0"/>
              <w:jc w:val="left"/>
            </w:pPr>
            <w:r>
              <w:t xml:space="preserve">Постоянное шумное дыхание и кашель; лихорадка, не снижающаяся от рутинной антибиотикотерапии;  </w:t>
            </w:r>
          </w:p>
          <w:p w:rsidR="00F15F71" w:rsidRDefault="00F974CD">
            <w:pPr>
              <w:spacing w:after="3" w:line="275" w:lineRule="auto"/>
              <w:ind w:left="0" w:firstLine="0"/>
              <w:jc w:val="left"/>
            </w:pPr>
            <w:r>
              <w:t xml:space="preserve">увеличенные лимфатические узлы; нет эффекта от КДБА и ИГС;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контакт с больным туберкулезом </w:t>
            </w:r>
          </w:p>
        </w:tc>
      </w:tr>
      <w:tr w:rsidR="00F15F71">
        <w:trPr>
          <w:trHeight w:val="838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Врожденные пороки сердца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сердечный шум; цианоз при приеме пищи; неспособность к процветанию; тахикардия; тахипноэ или гепатомегалия; нет эффекта от лечения БА. </w:t>
            </w:r>
          </w:p>
        </w:tc>
      </w:tr>
      <w:tr w:rsidR="00F15F71">
        <w:trPr>
          <w:trHeight w:val="838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Кистозный фиброз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Кашель вскоре после рождения; рецидивирующие инфекции нижних дыхательных путей; мальабсорбция; рыхлый жирный объемный стул </w:t>
            </w:r>
          </w:p>
        </w:tc>
      </w:tr>
      <w:tr w:rsidR="00F15F71">
        <w:trPr>
          <w:trHeight w:val="1390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Первичная цилиарная дискинезия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кашель и рецидивирующие инфекции нижних дыхательных путей; респираторный дистресс новорожденных, хр</w:t>
            </w:r>
            <w:r>
              <w:t xml:space="preserve">онические ушные инфекции и постоянные выделения из носа с рождения; отсутствие эффекта от лечения БА; citus inversus встречается примерно у 50% детей. </w:t>
            </w:r>
          </w:p>
        </w:tc>
      </w:tr>
      <w:tr w:rsidR="00F15F71">
        <w:trPr>
          <w:trHeight w:val="288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Сосудистое кольцо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Постоянное шумное дыхание; нет ответа на терапию БА. </w:t>
            </w:r>
          </w:p>
        </w:tc>
      </w:tr>
      <w:tr w:rsidR="00F15F71">
        <w:trPr>
          <w:trHeight w:val="1114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Бронхолегочная дисплазия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78" w:lineRule="auto"/>
              <w:ind w:left="0" w:firstLine="0"/>
            </w:pPr>
            <w:r>
              <w:t xml:space="preserve">Недоношенность с очень низкой массой тела, потребность  в длительной ИВЛ  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или дополнительной дотации кислорода; проблемы с дыханием присутствуют с рождения </w:t>
            </w:r>
          </w:p>
        </w:tc>
      </w:tr>
      <w:tr w:rsidR="00F15F71">
        <w:trPr>
          <w:trHeight w:val="562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1" w:firstLine="0"/>
              <w:jc w:val="left"/>
            </w:pPr>
            <w:r>
              <w:t xml:space="preserve">Первичный иммунодефицит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Рецидивирующая лихорадка и инфекции (в том числе нереспираторные); отставание в развитии </w:t>
            </w:r>
          </w:p>
        </w:tc>
      </w:tr>
      <w:tr w:rsidR="00F15F71">
        <w:trPr>
          <w:trHeight w:val="286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Ларингеальная дисфункция </w:t>
            </w:r>
          </w:p>
        </w:tc>
        <w:tc>
          <w:tcPr>
            <w:tcW w:w="6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Стридор; аномальный крик </w:t>
            </w:r>
          </w:p>
        </w:tc>
      </w:tr>
    </w:tbl>
    <w:p w:rsidR="00F15F71" w:rsidRDefault="00F974CD">
      <w:pPr>
        <w:pStyle w:val="Heading4"/>
        <w:spacing w:after="154"/>
        <w:ind w:left="814" w:right="10"/>
      </w:pPr>
      <w:bookmarkStart w:id="62" w:name="_Toc275219"/>
      <w:r>
        <w:t xml:space="preserve">Приложение Б11. Алгоритм лечения обострения БА на амбулаторном этапе у взрослых, подростков и детей от </w:t>
      </w:r>
      <w:r>
        <w:t xml:space="preserve">6 до 11 лет </w:t>
      </w:r>
      <w:bookmarkEnd w:id="62"/>
    </w:p>
    <w:p w:rsidR="00F15F71" w:rsidRDefault="00F974CD">
      <w:pPr>
        <w:spacing w:after="107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0" w:line="259" w:lineRule="auto"/>
        <w:ind w:left="0" w:right="816" w:firstLine="0"/>
        <w:jc w:val="right"/>
      </w:pPr>
      <w:r>
        <w:rPr>
          <w:noProof/>
        </w:rPr>
        <w:drawing>
          <wp:inline distT="0" distB="0" distL="0" distR="0">
            <wp:extent cx="5922010" cy="7682866"/>
            <wp:effectExtent l="0" t="0" r="0" b="0"/>
            <wp:docPr id="31907" name="Picture 319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7" name="Picture 31907"/>
                    <pic:cNvPicPr/>
                  </pic:nvPicPr>
                  <pic:blipFill>
                    <a:blip r:embed="rId1517"/>
                    <a:stretch>
                      <a:fillRect/>
                    </a:stretch>
                  </pic:blipFill>
                  <pic:spPr>
                    <a:xfrm>
                      <a:off x="0" y="0"/>
                      <a:ext cx="5922010" cy="7682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F15F71" w:rsidRDefault="00F974CD">
      <w:pPr>
        <w:pStyle w:val="Heading4"/>
        <w:spacing w:after="0" w:line="399" w:lineRule="auto"/>
        <w:ind w:left="10" w:right="630"/>
        <w:jc w:val="center"/>
      </w:pPr>
      <w:bookmarkStart w:id="63" w:name="_Toc275220"/>
      <w:r>
        <w:t xml:space="preserve">Приложение Б12. Алгоритм ведения пациентов с обострением БА на госпитальном </w:t>
      </w:r>
      <w:bookmarkEnd w:id="63"/>
    </w:p>
    <w:p w:rsidR="00F15F71" w:rsidRDefault="00F974CD">
      <w:pPr>
        <w:pStyle w:val="Heading3"/>
        <w:spacing w:after="0" w:line="399" w:lineRule="auto"/>
        <w:ind w:left="10" w:right="630"/>
        <w:jc w:val="center"/>
      </w:pPr>
      <w:bookmarkStart w:id="64" w:name="_Toc275221"/>
      <w:r>
        <w:rPr>
          <w:u w:val="none"/>
        </w:rPr>
        <w:t xml:space="preserve">этапе </w:t>
      </w:r>
      <w:bookmarkEnd w:id="64"/>
    </w:p>
    <w:p w:rsidR="00F15F71" w:rsidRDefault="00F974CD">
      <w:pPr>
        <w:spacing w:after="60" w:line="259" w:lineRule="auto"/>
        <w:ind w:left="0" w:right="905" w:firstLine="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865495" cy="6461760"/>
                <wp:effectExtent l="0" t="0" r="0" b="0"/>
                <wp:docPr id="256600" name="Group 2566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5495" cy="6461760"/>
                          <a:chOff x="0" y="0"/>
                          <a:chExt cx="5865495" cy="6461760"/>
                        </a:xfrm>
                      </wpg:grpSpPr>
                      <pic:pic xmlns:pic="http://schemas.openxmlformats.org/drawingml/2006/picture">
                        <pic:nvPicPr>
                          <pic:cNvPr id="31935" name="Picture 31935"/>
                          <pic:cNvPicPr/>
                        </pic:nvPicPr>
                        <pic:blipFill>
                          <a:blip r:embed="rId15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65495" cy="64617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942" name="Rectangle 31942"/>
                        <wps:cNvSpPr/>
                        <wps:spPr>
                          <a:xfrm>
                            <a:off x="3915791" y="2355657"/>
                            <a:ext cx="755231" cy="1358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8"/>
                                </w:rPr>
                                <w:t xml:space="preserve">Будесонид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43" name="Rectangle 31943"/>
                        <wps:cNvSpPr/>
                        <wps:spPr>
                          <a:xfrm>
                            <a:off x="4482719" y="2331225"/>
                            <a:ext cx="38005" cy="1682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48" name="Rectangle 31948"/>
                        <wps:cNvSpPr/>
                        <wps:spPr>
                          <a:xfrm>
                            <a:off x="1289685" y="2329749"/>
                            <a:ext cx="90705" cy="1358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8"/>
                                </w:rPr>
                                <w:t xml:space="preserve">•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49" name="Rectangle 31949"/>
                        <wps:cNvSpPr/>
                        <wps:spPr>
                          <a:xfrm>
                            <a:off x="1358265" y="2329749"/>
                            <a:ext cx="755230" cy="1358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8"/>
                                </w:rPr>
                                <w:t xml:space="preserve">Будесонид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50" name="Rectangle 31950"/>
                        <wps:cNvSpPr/>
                        <wps:spPr>
                          <a:xfrm>
                            <a:off x="1925193" y="2305317"/>
                            <a:ext cx="38005" cy="1682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51" name="Rectangle 31951"/>
                        <wps:cNvSpPr/>
                        <wps:spPr>
                          <a:xfrm>
                            <a:off x="1289685" y="2419617"/>
                            <a:ext cx="50624" cy="1682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52" name="Rectangle 31952"/>
                        <wps:cNvSpPr/>
                        <wps:spPr>
                          <a:xfrm>
                            <a:off x="1327785" y="2442207"/>
                            <a:ext cx="1856760" cy="1382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суспензия через небулайзер)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53" name="Rectangle 31953"/>
                        <wps:cNvSpPr/>
                        <wps:spPr>
                          <a:xfrm>
                            <a:off x="2723769" y="2385669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55" name="Rectangle 31955"/>
                        <wps:cNvSpPr/>
                        <wps:spPr>
                          <a:xfrm>
                            <a:off x="3882263" y="2355657"/>
                            <a:ext cx="90705" cy="1358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8"/>
                                </w:rPr>
                                <w:t xml:space="preserve">•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56" name="Rectangle 31956"/>
                        <wps:cNvSpPr/>
                        <wps:spPr>
                          <a:xfrm>
                            <a:off x="3950843" y="2355657"/>
                            <a:ext cx="755231" cy="1358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8"/>
                                </w:rPr>
                                <w:t xml:space="preserve">Будесонид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57" name="Rectangle 31957"/>
                        <wps:cNvSpPr/>
                        <wps:spPr>
                          <a:xfrm>
                            <a:off x="4518152" y="2331225"/>
                            <a:ext cx="38005" cy="1682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58" name="Rectangle 31958"/>
                        <wps:cNvSpPr/>
                        <wps:spPr>
                          <a:xfrm>
                            <a:off x="3882263" y="2445525"/>
                            <a:ext cx="38005" cy="1682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59" name="Rectangle 31959"/>
                        <wps:cNvSpPr/>
                        <wps:spPr>
                          <a:xfrm>
                            <a:off x="3911219" y="2445525"/>
                            <a:ext cx="50624" cy="1682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60" name="Rectangle 31960"/>
                        <wps:cNvSpPr/>
                        <wps:spPr>
                          <a:xfrm>
                            <a:off x="3949319" y="2468115"/>
                            <a:ext cx="1856761" cy="1382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суспензия через небулайзер)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61" name="Rectangle 31961"/>
                        <wps:cNvSpPr/>
                        <wps:spPr>
                          <a:xfrm>
                            <a:off x="5345684" y="241157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5F71" w:rsidRDefault="00F974CD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56600" style="width:461.85pt;height:508.8pt;mso-position-horizontal-relative:char;mso-position-vertical-relative:line" coordsize="58654,64617">
                <v:shape id="Picture 31935" style="position:absolute;width:58654;height:64617;left:0;top:0;" filled="f">
                  <v:imagedata r:id="rId1519"/>
                </v:shape>
                <v:rect id="Rectangle 31942" style="position:absolute;width:7552;height:1358;left:39157;top:235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18"/>
                          </w:rPr>
                          <w:t xml:space="preserve">Будесонид </w:t>
                        </w:r>
                      </w:p>
                    </w:txbxContent>
                  </v:textbox>
                </v:rect>
                <v:rect id="Rectangle 31943" style="position:absolute;width:380;height:1682;left:44827;top:233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948" style="position:absolute;width:907;height:1358;left:12896;top:232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18"/>
                          </w:rPr>
                          <w:t xml:space="preserve">• </w:t>
                        </w:r>
                      </w:p>
                    </w:txbxContent>
                  </v:textbox>
                </v:rect>
                <v:rect id="Rectangle 31949" style="position:absolute;width:7552;height:1358;left:13582;top:232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18"/>
                          </w:rPr>
                          <w:t xml:space="preserve">Будесонид </w:t>
                        </w:r>
                      </w:p>
                    </w:txbxContent>
                  </v:textbox>
                </v:rect>
                <v:rect id="Rectangle 31950" style="position:absolute;width:380;height:1682;left:19251;top:230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951" style="position:absolute;width:506;height:1682;left:12896;top:241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31952" style="position:absolute;width:18567;height:1382;left:13277;top:244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суспензия через небулайзер)</w:t>
                        </w:r>
                      </w:p>
                    </w:txbxContent>
                  </v:textbox>
                </v:rect>
                <v:rect id="Rectangle 31953" style="position:absolute;width:506;height:2243;left:27237;top:238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31955" style="position:absolute;width:907;height:1358;left:38822;top:235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18"/>
                          </w:rPr>
                          <w:t xml:space="preserve">• </w:t>
                        </w:r>
                      </w:p>
                    </w:txbxContent>
                  </v:textbox>
                </v:rect>
                <v:rect id="Rectangle 31956" style="position:absolute;width:7552;height:1358;left:39508;top:235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18"/>
                          </w:rPr>
                          <w:t xml:space="preserve">Будесонид </w:t>
                        </w:r>
                      </w:p>
                    </w:txbxContent>
                  </v:textbox>
                </v:rect>
                <v:rect id="Rectangle 31957" style="position:absolute;width:380;height:1682;left:45181;top:233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958" style="position:absolute;width:380;height:1682;left:38822;top:244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959" style="position:absolute;width:506;height:1682;left:39112;top:244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31960" style="position:absolute;width:18567;height:1382;left:39493;top:246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суспензия через небулайзер)</w:t>
                        </w:r>
                      </w:p>
                    </w:txbxContent>
                  </v:textbox>
                </v:rect>
                <v:rect id="Rectangle 31961" style="position:absolute;width:506;height:2243;left:53456;top:241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t xml:space="preserve"> </w:t>
      </w:r>
    </w:p>
    <w:p w:rsidR="00F15F71" w:rsidRDefault="00F974CD">
      <w:pPr>
        <w:spacing w:after="112" w:line="259" w:lineRule="auto"/>
        <w:ind w:left="0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0" w:firstLine="0"/>
        <w:jc w:val="left"/>
      </w:pPr>
      <w:r>
        <w:t xml:space="preserve"> </w:t>
      </w:r>
    </w:p>
    <w:p w:rsidR="00F15F71" w:rsidRDefault="00F974CD">
      <w:pPr>
        <w:spacing w:after="0" w:line="259" w:lineRule="auto"/>
        <w:ind w:left="0" w:firstLine="0"/>
        <w:jc w:val="left"/>
      </w:pPr>
      <w:r>
        <w:t xml:space="preserve">  </w:t>
      </w:r>
    </w:p>
    <w:p w:rsidR="00F15F71" w:rsidRDefault="00F974CD">
      <w:pPr>
        <w:pStyle w:val="Heading4"/>
        <w:spacing w:after="104"/>
        <w:ind w:left="-5" w:right="10"/>
      </w:pPr>
      <w:bookmarkStart w:id="65" w:name="_Toc275222"/>
      <w:r>
        <w:t xml:space="preserve">Приложение Б13. План действий при обострении БА для взрослых и подростков </w:t>
      </w:r>
      <w:bookmarkEnd w:id="65"/>
    </w:p>
    <w:p w:rsidR="00F15F71" w:rsidRDefault="00F974CD">
      <w:pPr>
        <w:spacing w:after="0" w:line="259" w:lineRule="auto"/>
        <w:ind w:left="1068" w:firstLine="0"/>
        <w:jc w:val="left"/>
      </w:pPr>
      <w:r>
        <w:rPr>
          <w:b/>
          <w:i/>
        </w:rPr>
        <w:t xml:space="preserve"> </w:t>
      </w:r>
    </w:p>
    <w:tbl>
      <w:tblPr>
        <w:tblStyle w:val="TableGrid"/>
        <w:tblW w:w="9213" w:type="dxa"/>
        <w:tblInd w:w="252" w:type="dxa"/>
        <w:tblCellMar>
          <w:top w:w="57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3334"/>
        <w:gridCol w:w="5879"/>
      </w:tblGrid>
      <w:tr w:rsidR="00F15F71">
        <w:trPr>
          <w:trHeight w:val="564"/>
        </w:trPr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Исходная терапия </w:t>
            </w:r>
          </w:p>
        </w:tc>
        <w:tc>
          <w:tcPr>
            <w:tcW w:w="5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Изменение терапии (в течение 1-2 недель) при обострении БА </w:t>
            </w:r>
          </w:p>
        </w:tc>
      </w:tr>
      <w:tr w:rsidR="00F15F71">
        <w:trPr>
          <w:trHeight w:val="286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>Повышение дозы препаратов для облегчения симптомов БА</w:t>
            </w:r>
            <w:r>
              <w:t xml:space="preserve"> </w:t>
            </w:r>
          </w:p>
        </w:tc>
      </w:tr>
      <w:tr w:rsidR="00F15F71">
        <w:trPr>
          <w:trHeight w:val="1390"/>
        </w:trPr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right" w:pos="3181"/>
              </w:tabs>
              <w:spacing w:after="28" w:line="259" w:lineRule="auto"/>
              <w:ind w:left="0" w:firstLine="0"/>
              <w:jc w:val="left"/>
            </w:pPr>
            <w:r>
              <w:t xml:space="preserve">Низкие </w:t>
            </w:r>
            <w:r>
              <w:tab/>
              <w:t xml:space="preserve">дозы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ИГКС+формотерол </w:t>
            </w:r>
          </w:p>
        </w:tc>
        <w:tc>
          <w:tcPr>
            <w:tcW w:w="5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1989"/>
                <w:tab w:val="center" w:pos="3245"/>
                <w:tab w:val="center" w:pos="4470"/>
                <w:tab w:val="right" w:pos="5725"/>
              </w:tabs>
              <w:spacing w:after="0" w:line="259" w:lineRule="auto"/>
              <w:ind w:left="0" w:firstLine="0"/>
              <w:jc w:val="left"/>
            </w:pPr>
            <w:r>
              <w:t xml:space="preserve">Увеличить </w:t>
            </w:r>
            <w:r>
              <w:tab/>
              <w:t xml:space="preserve">частоту </w:t>
            </w:r>
            <w:r>
              <w:tab/>
              <w:t xml:space="preserve">приема </w:t>
            </w:r>
            <w:r>
              <w:tab/>
              <w:t xml:space="preserve">низких </w:t>
            </w:r>
            <w:r>
              <w:tab/>
              <w:t xml:space="preserve">доз </w:t>
            </w:r>
          </w:p>
          <w:p w:rsidR="00F15F71" w:rsidRDefault="00F974CD">
            <w:pPr>
              <w:spacing w:after="0" w:line="259" w:lineRule="auto"/>
              <w:ind w:left="0" w:right="60" w:firstLine="0"/>
            </w:pPr>
            <w:r>
              <w:t>ИГКС+формотерол по потребности (для пациентов, получающих ИГКС+формотерол по потребности или в качестве базисной терапии плюс ИГКС+формотерол по потребности (в режиме единого ингалятора)</w:t>
            </w:r>
            <w:r>
              <w:rPr>
                <w:vertAlign w:val="superscript"/>
              </w:rPr>
              <w:t>1</w:t>
            </w:r>
            <w:r>
              <w:t xml:space="preserve"> </w:t>
            </w:r>
          </w:p>
        </w:tc>
      </w:tr>
      <w:tr w:rsidR="00F15F71">
        <w:trPr>
          <w:trHeight w:val="562"/>
        </w:trPr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КДБА </w:t>
            </w:r>
          </w:p>
        </w:tc>
        <w:tc>
          <w:tcPr>
            <w:tcW w:w="5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2" w:line="259" w:lineRule="auto"/>
              <w:ind w:left="0" w:firstLine="0"/>
            </w:pPr>
            <w:r>
              <w:t xml:space="preserve">Увеличить частоту применения КДБА. Для ДАИ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добавить спейсер </w:t>
            </w:r>
          </w:p>
        </w:tc>
      </w:tr>
      <w:tr w:rsidR="00F15F71">
        <w:trPr>
          <w:trHeight w:val="562"/>
        </w:trPr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Комбинация ИГКС+КДБА </w:t>
            </w:r>
          </w:p>
        </w:tc>
        <w:tc>
          <w:tcPr>
            <w:tcW w:w="5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Увеличение </w:t>
            </w:r>
            <w:r>
              <w:tab/>
              <w:t xml:space="preserve">числа </w:t>
            </w:r>
            <w:r>
              <w:tab/>
              <w:t xml:space="preserve">ингаляций </w:t>
            </w:r>
            <w:r>
              <w:tab/>
              <w:t xml:space="preserve">по </w:t>
            </w:r>
            <w:r>
              <w:tab/>
              <w:t>потребности ИГКС+КДБА</w:t>
            </w:r>
            <w:r>
              <w:rPr>
                <w:vertAlign w:val="superscript"/>
              </w:rPr>
              <w:t>2</w:t>
            </w:r>
            <w:r>
              <w:t xml:space="preserve"> </w:t>
            </w:r>
          </w:p>
        </w:tc>
      </w:tr>
      <w:tr w:rsidR="00F15F71">
        <w:trPr>
          <w:trHeight w:val="286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rPr>
                <w:b/>
              </w:rPr>
              <w:t xml:space="preserve">Увеличение объема базисной терапии </w:t>
            </w:r>
          </w:p>
        </w:tc>
      </w:tr>
      <w:tr w:rsidR="00F15F71">
        <w:trPr>
          <w:trHeight w:val="838"/>
        </w:trPr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right="60" w:firstLine="0"/>
            </w:pPr>
            <w:r>
              <w:t xml:space="preserve">ИГКС+формотерол базисная </w:t>
            </w:r>
            <w:r>
              <w:t xml:space="preserve">терапия + по потребности (в режиме единого ингалятора) </w:t>
            </w:r>
          </w:p>
        </w:tc>
        <w:tc>
          <w:tcPr>
            <w:tcW w:w="5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>Продолжение базисной терапии в прежнем объеме, увеличение дозы ИГКС+формотерол по потребности</w:t>
            </w:r>
            <w:r>
              <w:rPr>
                <w:vertAlign w:val="superscript"/>
              </w:rPr>
              <w:t>1</w:t>
            </w:r>
            <w:r>
              <w:t xml:space="preserve"> </w:t>
            </w:r>
          </w:p>
        </w:tc>
      </w:tr>
      <w:tr w:rsidR="00F15F71">
        <w:trPr>
          <w:trHeight w:val="564"/>
        </w:trPr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Базисная терапия ИГКС + КДБА по потребности </w:t>
            </w:r>
          </w:p>
        </w:tc>
        <w:tc>
          <w:tcPr>
            <w:tcW w:w="5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Рассмотреть увеличение дозы ИГКС в 4 раза </w:t>
            </w:r>
          </w:p>
        </w:tc>
      </w:tr>
      <w:tr w:rsidR="00F15F71">
        <w:trPr>
          <w:trHeight w:val="838"/>
        </w:trPr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right" w:pos="3181"/>
              </w:tabs>
              <w:spacing w:after="0" w:line="259" w:lineRule="auto"/>
              <w:ind w:left="0" w:firstLine="0"/>
              <w:jc w:val="left"/>
            </w:pPr>
            <w:r>
              <w:t xml:space="preserve">Базисная </w:t>
            </w:r>
            <w:r>
              <w:tab/>
              <w:t xml:space="preserve">терапия </w:t>
            </w:r>
          </w:p>
          <w:p w:rsidR="00F15F71" w:rsidRDefault="00F974CD">
            <w:pPr>
              <w:spacing w:after="21" w:line="259" w:lineRule="auto"/>
              <w:ind w:left="2" w:firstLine="0"/>
            </w:pPr>
            <w:r>
              <w:t xml:space="preserve">ИГКС+формотерол + КДБА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по потребности </w:t>
            </w:r>
          </w:p>
        </w:tc>
        <w:tc>
          <w:tcPr>
            <w:tcW w:w="5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>Рассмотреть увеличение дозы ИГКС+формотерола в 4 раза</w:t>
            </w:r>
            <w:r>
              <w:rPr>
                <w:vertAlign w:val="superscript"/>
              </w:rPr>
              <w:t>1</w:t>
            </w:r>
            <w:r>
              <w:t xml:space="preserve"> </w:t>
            </w:r>
          </w:p>
        </w:tc>
      </w:tr>
      <w:tr w:rsidR="00F15F71">
        <w:trPr>
          <w:trHeight w:val="1114"/>
        </w:trPr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1" w:line="259" w:lineRule="auto"/>
              <w:ind w:left="2" w:firstLine="0"/>
            </w:pPr>
            <w:r>
              <w:t xml:space="preserve">ИГКС+ДДБА плюс КДБА по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потребности </w:t>
            </w:r>
          </w:p>
        </w:tc>
        <w:tc>
          <w:tcPr>
            <w:tcW w:w="5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0" w:firstLine="0"/>
            </w:pPr>
            <w:r>
              <w:t xml:space="preserve">Переход на более высокую дозу ИГКС+ДДБА. </w:t>
            </w:r>
            <w:r>
              <w:t xml:space="preserve">У взрослых рассмотреть возможность добавления отдельного ингалятора ИГКС для увеличения дозы в четыре раза. </w:t>
            </w:r>
          </w:p>
        </w:tc>
      </w:tr>
      <w:tr w:rsidR="00F15F71">
        <w:trPr>
          <w:trHeight w:val="286"/>
        </w:trPr>
        <w:tc>
          <w:tcPr>
            <w:tcW w:w="92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Добавить  СГКС и связаться с врачом; пересмотр перед отменой </w:t>
            </w:r>
          </w:p>
        </w:tc>
      </w:tr>
      <w:tr w:rsidR="00F15F71">
        <w:trPr>
          <w:trHeight w:val="2770"/>
        </w:trPr>
        <w:tc>
          <w:tcPr>
            <w:tcW w:w="3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СГКС  (преднизолон**) </w:t>
            </w:r>
          </w:p>
        </w:tc>
        <w:tc>
          <w:tcPr>
            <w:tcW w:w="5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36" w:line="248" w:lineRule="auto"/>
              <w:ind w:left="0" w:right="62" w:firstLine="0"/>
            </w:pPr>
            <w:r>
              <w:t xml:space="preserve">Добавлять СГКС </w:t>
            </w:r>
            <w:r>
              <w:t xml:space="preserve">при тяжелых обострениях (например, при ПСВ или ОФВ1 &lt;60% от индивидуального наилучшего или прогнозируемого), или если пациент не отвечает на лечение в течение 48 часов.  </w:t>
            </w:r>
          </w:p>
          <w:p w:rsidR="00F15F71" w:rsidRDefault="00F974CD">
            <w:pPr>
              <w:spacing w:after="15" w:line="259" w:lineRule="auto"/>
              <w:ind w:left="0" w:firstLine="0"/>
              <w:jc w:val="left"/>
            </w:pPr>
            <w:r>
              <w:t xml:space="preserve">Предпочтителен утренний прием </w:t>
            </w:r>
          </w:p>
          <w:p w:rsidR="00F15F71" w:rsidRDefault="00F974CD">
            <w:pPr>
              <w:spacing w:after="0" w:line="297" w:lineRule="auto"/>
              <w:ind w:left="0" w:firstLine="0"/>
            </w:pPr>
            <w:r>
              <w:t>Взрослые: преднизолон**</w:t>
            </w:r>
            <w:r>
              <w:rPr>
                <w:vertAlign w:val="superscript"/>
              </w:rPr>
              <w:t xml:space="preserve">1 </w:t>
            </w:r>
            <w:r>
              <w:t>40-</w:t>
            </w:r>
            <w:r>
              <w:t xml:space="preserve">50 мг/сут, обычно в течение 5-7 дней.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Если СГКС назначаются менее чем на 2 недели, постепенной отмены не требуется. </w:t>
            </w:r>
          </w:p>
        </w:tc>
      </w:tr>
    </w:tbl>
    <w:p w:rsidR="00F15F71" w:rsidRDefault="00F974CD">
      <w:pPr>
        <w:spacing w:line="269" w:lineRule="auto"/>
        <w:ind w:left="360" w:right="840" w:firstLine="710"/>
      </w:pPr>
      <w:r>
        <w:rPr>
          <w:i/>
          <w:vertAlign w:val="superscript"/>
        </w:rPr>
        <w:t>1</w:t>
      </w:r>
      <w:r>
        <w:rPr>
          <w:i/>
        </w:rPr>
        <w:t xml:space="preserve"> Максимальная суточная доза для взрослых и подростков составляет 12 ингаляций будесонида+формотерол** (по формотеролу** 54 мкг) или 8 ин</w:t>
      </w:r>
      <w:r>
        <w:rPr>
          <w:i/>
        </w:rPr>
        <w:t xml:space="preserve">галяций беклометазона+формотерол** (48 мкг формотерола**).  </w:t>
      </w:r>
    </w:p>
    <w:p w:rsidR="00F15F71" w:rsidRDefault="00F974CD">
      <w:pPr>
        <w:spacing w:line="258" w:lineRule="auto"/>
        <w:ind w:left="360" w:right="840" w:firstLine="710"/>
      </w:pPr>
      <w:r>
        <w:rPr>
          <w:i/>
        </w:rPr>
        <w:t>Для детей в возрасте от 6 до 11 лет, получающих терапию в режиме единого ингалятора максимальная суточная доза #будесонида+формотерол** составляет 8 ингаляций.</w:t>
      </w:r>
      <w:r>
        <w:rPr>
          <w:color w:val="0000FF"/>
        </w:rPr>
        <w:t xml:space="preserve"> </w:t>
      </w:r>
    </w:p>
    <w:p w:rsidR="00F15F71" w:rsidRDefault="00F974CD">
      <w:pPr>
        <w:spacing w:after="427" w:line="274" w:lineRule="auto"/>
        <w:ind w:left="360" w:right="840" w:firstLine="710"/>
      </w:pPr>
      <w:r>
        <w:rPr>
          <w:i/>
        </w:rPr>
        <w:t>В РФ режим единого ингалятора зарегистрирован для детей с 12 лет, таким образом, назначение в режиме по потребности для детей от 6 до 11 лет – off label</w:t>
      </w:r>
      <w:r>
        <w:rPr>
          <w:color w:val="0000FF"/>
        </w:rPr>
        <w:t xml:space="preserve">  </w:t>
      </w:r>
    </w:p>
    <w:p w:rsidR="00F15F71" w:rsidRDefault="00F974CD">
      <w:pPr>
        <w:pStyle w:val="Heading4"/>
        <w:spacing w:after="427" w:line="274" w:lineRule="auto"/>
        <w:ind w:left="360" w:right="840" w:firstLine="710"/>
      </w:pPr>
      <w:bookmarkStart w:id="66" w:name="_Toc275223"/>
      <w:r>
        <w:t xml:space="preserve">Приложение Б14. План действий при обострении БА для детей младше 5 лет  </w:t>
      </w:r>
      <w:bookmarkEnd w:id="66"/>
    </w:p>
    <w:p w:rsidR="00F15F71" w:rsidRDefault="00F974CD">
      <w:pPr>
        <w:numPr>
          <w:ilvl w:val="0"/>
          <w:numId w:val="38"/>
        </w:numPr>
        <w:spacing w:after="268" w:line="279" w:lineRule="auto"/>
        <w:ind w:right="841" w:hanging="360"/>
      </w:pPr>
      <w:r>
        <w:t>При появлении признаков обос</w:t>
      </w:r>
      <w:r>
        <w:t xml:space="preserve">трения начать с 200 мг сальбутамола** (2 ингаляции) через спейсер с лицевой маской. </w:t>
      </w:r>
    </w:p>
    <w:p w:rsidR="00F15F71" w:rsidRDefault="00F974CD">
      <w:pPr>
        <w:numPr>
          <w:ilvl w:val="0"/>
          <w:numId w:val="38"/>
        </w:numPr>
        <w:spacing w:after="291" w:line="259" w:lineRule="auto"/>
        <w:ind w:right="841" w:hanging="360"/>
      </w:pPr>
      <w:r>
        <w:t xml:space="preserve">Ингаляции можно повторить дважды с интервалом в 20 минут.  </w:t>
      </w:r>
    </w:p>
    <w:p w:rsidR="00F15F71" w:rsidRDefault="00F974CD">
      <w:pPr>
        <w:numPr>
          <w:ilvl w:val="0"/>
          <w:numId w:val="38"/>
        </w:numPr>
        <w:spacing w:after="293" w:line="259" w:lineRule="auto"/>
        <w:ind w:right="841" w:hanging="360"/>
      </w:pPr>
      <w:r>
        <w:t xml:space="preserve">При обострении БА на фоне ОРИ – высокие дозы небулированного ИГКС </w:t>
      </w:r>
    </w:p>
    <w:p w:rsidR="00F15F71" w:rsidRDefault="00F974CD">
      <w:pPr>
        <w:numPr>
          <w:ilvl w:val="0"/>
          <w:numId w:val="38"/>
        </w:numPr>
        <w:spacing w:after="271" w:line="277" w:lineRule="auto"/>
        <w:ind w:right="841" w:hanging="360"/>
      </w:pPr>
      <w:r>
        <w:t xml:space="preserve">Если ребенок получает базисную терапию ИГКС </w:t>
      </w:r>
      <w:r>
        <w:t xml:space="preserve">– удвоить дозу препарата </w:t>
      </w:r>
    </w:p>
    <w:p w:rsidR="00F15F71" w:rsidRDefault="00F974CD">
      <w:pPr>
        <w:numPr>
          <w:ilvl w:val="0"/>
          <w:numId w:val="38"/>
        </w:numPr>
        <w:spacing w:after="114" w:line="259" w:lineRule="auto"/>
        <w:ind w:right="841" w:hanging="360"/>
      </w:pPr>
      <w:r>
        <w:t xml:space="preserve">Если </w:t>
      </w:r>
      <w:r>
        <w:tab/>
        <w:t xml:space="preserve">ребенок </w:t>
      </w:r>
      <w:r>
        <w:tab/>
        <w:t xml:space="preserve">получает </w:t>
      </w:r>
      <w:r>
        <w:tab/>
        <w:t xml:space="preserve">базисную </w:t>
      </w:r>
      <w:r>
        <w:tab/>
        <w:t xml:space="preserve">терапию </w:t>
      </w:r>
      <w:r>
        <w:tab/>
        <w:t xml:space="preserve">ингбиторами антилейкотриеновых препаратов – добавить ИГКС в низких дозах.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color w:val="00B050"/>
        </w:rPr>
        <w:t xml:space="preserve"> </w:t>
      </w:r>
      <w:r>
        <w:br w:type="page"/>
      </w:r>
    </w:p>
    <w:p w:rsidR="00F15F71" w:rsidRDefault="00F974CD">
      <w:pPr>
        <w:pStyle w:val="Heading4"/>
        <w:spacing w:after="115" w:line="259" w:lineRule="auto"/>
        <w:ind w:left="10" w:right="854"/>
        <w:jc w:val="center"/>
      </w:pPr>
      <w:bookmarkStart w:id="67" w:name="_Toc275224"/>
      <w:r>
        <w:t xml:space="preserve">Приложение Б15. Выбор средства доставки лекарственного препарата </w:t>
      </w:r>
      <w:bookmarkEnd w:id="67"/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32"/>
        <w:ind w:left="0" w:right="841" w:firstLine="708"/>
      </w:pPr>
      <w:r>
        <w:t xml:space="preserve">При назначении ингаляционной терапии пациенту с БА подбор средства доставки лекарственного препарата осуществляют персонализированно с целью повышения эффективности назначенного лечения [21, 365]. </w:t>
      </w:r>
    </w:p>
    <w:p w:rsidR="00F15F71" w:rsidRDefault="00F974CD">
      <w:pPr>
        <w:spacing w:after="162" w:line="259" w:lineRule="auto"/>
        <w:ind w:left="718" w:right="841"/>
      </w:pPr>
      <w:r>
        <w:t>Основные типы для ингаляционной доставки ЛС на сегодняшний</w:t>
      </w:r>
      <w:r>
        <w:t xml:space="preserve"> день это:  </w:t>
      </w:r>
    </w:p>
    <w:p w:rsidR="00F15F71" w:rsidRDefault="00F974CD">
      <w:pPr>
        <w:numPr>
          <w:ilvl w:val="0"/>
          <w:numId w:val="39"/>
        </w:numPr>
        <w:spacing w:after="166" w:line="259" w:lineRule="auto"/>
        <w:ind w:right="841" w:hanging="708"/>
      </w:pPr>
      <w:r>
        <w:t xml:space="preserve">Дозированные </w:t>
      </w:r>
      <w:r>
        <w:tab/>
        <w:t xml:space="preserve">аэрозольные </w:t>
      </w:r>
      <w:r>
        <w:tab/>
        <w:t xml:space="preserve">ингаляторы </w:t>
      </w:r>
      <w:r>
        <w:tab/>
        <w:t xml:space="preserve">(ДАИ), </w:t>
      </w:r>
      <w:r>
        <w:tab/>
        <w:t xml:space="preserve">использующиеся </w:t>
      </w:r>
    </w:p>
    <w:p w:rsidR="00F15F71" w:rsidRDefault="00F974CD">
      <w:pPr>
        <w:spacing w:after="160" w:line="259" w:lineRule="auto"/>
        <w:ind w:left="10" w:right="841"/>
      </w:pPr>
      <w:r>
        <w:t xml:space="preserve">преимущественно со спейсеромм;  </w:t>
      </w:r>
    </w:p>
    <w:p w:rsidR="00F15F71" w:rsidRDefault="00F974CD">
      <w:pPr>
        <w:numPr>
          <w:ilvl w:val="0"/>
          <w:numId w:val="39"/>
        </w:numPr>
        <w:spacing w:after="166" w:line="259" w:lineRule="auto"/>
        <w:ind w:right="841" w:hanging="708"/>
      </w:pPr>
      <w:r>
        <w:t xml:space="preserve">ДАИ, активируемые вдохом (ДАИ-АВ);  </w:t>
      </w:r>
    </w:p>
    <w:p w:rsidR="00F15F71" w:rsidRDefault="00F974CD">
      <w:pPr>
        <w:numPr>
          <w:ilvl w:val="0"/>
          <w:numId w:val="39"/>
        </w:numPr>
        <w:spacing w:after="166" w:line="259" w:lineRule="auto"/>
        <w:ind w:right="841" w:hanging="708"/>
      </w:pPr>
      <w:r>
        <w:t xml:space="preserve">Дозированные порошковые ингаляторы (ДПИ);   </w:t>
      </w:r>
    </w:p>
    <w:p w:rsidR="00F15F71" w:rsidRDefault="00F974CD">
      <w:pPr>
        <w:numPr>
          <w:ilvl w:val="0"/>
          <w:numId w:val="39"/>
        </w:numPr>
        <w:spacing w:after="153" w:line="259" w:lineRule="auto"/>
        <w:ind w:right="841" w:hanging="708"/>
      </w:pPr>
      <w:r>
        <w:t xml:space="preserve">«мягкие» аэрозоли (soft-mist) Респимат </w:t>
      </w:r>
    </w:p>
    <w:p w:rsidR="00F15F71" w:rsidRDefault="00F974CD">
      <w:pPr>
        <w:numPr>
          <w:ilvl w:val="0"/>
          <w:numId w:val="39"/>
        </w:numPr>
        <w:spacing w:after="168" w:line="259" w:lineRule="auto"/>
        <w:ind w:right="841" w:hanging="708"/>
      </w:pPr>
      <w:r>
        <w:t xml:space="preserve">небулайзеры [365]. </w:t>
      </w:r>
    </w:p>
    <w:p w:rsidR="00F15F71" w:rsidRDefault="00F974CD">
      <w:pPr>
        <w:ind w:left="0" w:right="841" w:firstLine="708"/>
      </w:pPr>
      <w:r>
        <w:t>Выбор</w:t>
      </w:r>
      <w:r>
        <w:t xml:space="preserve"> ингаляционного устройства зависит от способности пациента правильно использовать; предпочтений пациента; объемной скорости вдоха (скорость воздушного потока на вдохе, л/мин); внутреннего сопротивления (респираторного сопротивления) устройства; возможности</w:t>
      </w:r>
      <w:r>
        <w:t xml:space="preserve"> обучить пациента технике ингаляции и контролировать ее в дальнейшем </w:t>
      </w:r>
    </w:p>
    <w:p w:rsidR="00F15F71" w:rsidRDefault="00F974CD">
      <w:pPr>
        <w:spacing w:after="26"/>
        <w:ind w:left="0" w:right="841" w:firstLine="708"/>
      </w:pPr>
      <w:r>
        <w:t xml:space="preserve">Для пациентов от 6 лет и старше предпочтительными ингаляционными устройствами являются ДПИ или ДАИ, активируемый вдохом или ДАИ со соответствующим спейсером с мундштуком [21, 365].  </w:t>
      </w:r>
    </w:p>
    <w:p w:rsidR="00F15F71" w:rsidRDefault="00F974CD">
      <w:pPr>
        <w:spacing w:after="34"/>
        <w:ind w:left="0" w:right="841" w:firstLine="708"/>
      </w:pPr>
      <w:r>
        <w:t>Для пациентов младше 5 лет оптимальным устройством доставки лекарственного препарата может быть дозированный аэрозольный ингалятор со спейсером с лицевой маской или без нее в зависимости от возраста; для самых маленьких пациентов, в случае инициации терапи</w:t>
      </w:r>
      <w:r>
        <w:t xml:space="preserve">и, а также при обострении может быть выбран небулайзер (для ингаляций с лицевой маской или с мундштуком).  </w:t>
      </w:r>
    </w:p>
    <w:p w:rsidR="00F15F71" w:rsidRDefault="00F974CD">
      <w:pPr>
        <w:spacing w:after="161" w:line="259" w:lineRule="auto"/>
        <w:ind w:left="718" w:right="841"/>
      </w:pPr>
      <w:r>
        <w:t xml:space="preserve">Алгоритм выбора средств доставки у взрослых и детей различных возрастных – </w:t>
      </w:r>
    </w:p>
    <w:p w:rsidR="00F15F71" w:rsidRDefault="00F974CD">
      <w:pPr>
        <w:spacing w:after="112" w:line="259" w:lineRule="auto"/>
        <w:ind w:left="10" w:right="841"/>
      </w:pPr>
      <w:r>
        <w:t xml:space="preserve">Приложение Б9.2.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ind w:left="0" w:right="841" w:firstLine="708"/>
      </w:pPr>
      <w:r>
        <w:t xml:space="preserve">При назначении терапии проводят обучение пациента с </w:t>
      </w:r>
      <w:r>
        <w:t xml:space="preserve">БА (а также его родителей, опекунов) технике ингаляции, в дальнейшем - контролируют ее соблюдение с целью оптимизации лечения. [21, 365]. </w:t>
      </w:r>
    </w:p>
    <w:p w:rsidR="00F15F71" w:rsidRDefault="00F974CD">
      <w:pPr>
        <w:spacing w:after="26"/>
        <w:ind w:left="0" w:right="841" w:firstLine="708"/>
      </w:pPr>
      <w:r>
        <w:t>Неправильная техника ингаляции является основной причиной недостаточного контроля над БА. Прежде чем приступить к пер</w:t>
      </w:r>
      <w:r>
        <w:t xml:space="preserve">есмотру объема терапии [21, 366]. 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94" w:line="270" w:lineRule="auto"/>
        <w:ind w:left="718" w:right="10"/>
      </w:pPr>
      <w:r>
        <w:rPr>
          <w:b/>
        </w:rPr>
        <w:t xml:space="preserve">Алгоритм выбора устройства доставки для ингаляционной терапии у детей </w:t>
      </w:r>
    </w:p>
    <w:p w:rsidR="00F15F71" w:rsidRDefault="00F974CD">
      <w:pPr>
        <w:spacing w:after="0" w:line="259" w:lineRule="auto"/>
        <w:ind w:left="0" w:right="1486" w:firstLine="0"/>
        <w:jc w:val="right"/>
      </w:pPr>
      <w:r>
        <w:rPr>
          <w:noProof/>
        </w:rPr>
        <w:drawing>
          <wp:inline distT="0" distB="0" distL="0" distR="0">
            <wp:extent cx="5046981" cy="3497580"/>
            <wp:effectExtent l="0" t="0" r="0" b="0"/>
            <wp:docPr id="32415" name="Picture 324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15" name="Picture 32415"/>
                    <pic:cNvPicPr/>
                  </pic:nvPicPr>
                  <pic:blipFill>
                    <a:blip r:embed="rId1520"/>
                    <a:stretch>
                      <a:fillRect/>
                    </a:stretch>
                  </pic:blipFill>
                  <pic:spPr>
                    <a:xfrm>
                      <a:off x="0" y="0"/>
                      <a:ext cx="5046981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br w:type="page"/>
      </w:r>
    </w:p>
    <w:p w:rsidR="00F15F71" w:rsidRDefault="00F974CD">
      <w:pPr>
        <w:pStyle w:val="Heading4"/>
        <w:spacing w:after="155"/>
        <w:ind w:left="317" w:right="10"/>
      </w:pPr>
      <w:bookmarkStart w:id="68" w:name="_Toc275225"/>
      <w:r>
        <w:t xml:space="preserve">Приложение Б16. Алгоритм перехода на нижнюю ступень лечения у взрослых и </w:t>
      </w:r>
      <w:bookmarkEnd w:id="68"/>
    </w:p>
    <w:p w:rsidR="00F15F71" w:rsidRDefault="00F974CD">
      <w:pPr>
        <w:pStyle w:val="Heading3"/>
        <w:spacing w:after="0"/>
        <w:ind w:left="10" w:right="850"/>
        <w:jc w:val="center"/>
      </w:pPr>
      <w:bookmarkStart w:id="69" w:name="_Toc275226"/>
      <w:r>
        <w:rPr>
          <w:u w:val="none"/>
        </w:rPr>
        <w:t xml:space="preserve">подростков с хорошо контролируемой астмой </w:t>
      </w:r>
      <w:bookmarkEnd w:id="69"/>
    </w:p>
    <w:tbl>
      <w:tblPr>
        <w:tblStyle w:val="TableGrid"/>
        <w:tblW w:w="9914" w:type="dxa"/>
        <w:tblInd w:w="-675" w:type="dxa"/>
        <w:tblCellMar>
          <w:top w:w="59" w:type="dxa"/>
          <w:left w:w="0" w:type="dxa"/>
          <w:bottom w:w="0" w:type="dxa"/>
          <w:right w:w="45" w:type="dxa"/>
        </w:tblCellMar>
        <w:tblLook w:val="04A0" w:firstRow="1" w:lastRow="0" w:firstColumn="1" w:lastColumn="0" w:noHBand="0" w:noVBand="1"/>
      </w:tblPr>
      <w:tblGrid>
        <w:gridCol w:w="2074"/>
        <w:gridCol w:w="2042"/>
        <w:gridCol w:w="645"/>
        <w:gridCol w:w="5154"/>
      </w:tblGrid>
      <w:tr w:rsidR="00F15F71">
        <w:trPr>
          <w:trHeight w:val="2773"/>
        </w:trPr>
        <w:tc>
          <w:tcPr>
            <w:tcW w:w="99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2" w:line="259" w:lineRule="auto"/>
              <w:ind w:left="39" w:firstLine="0"/>
              <w:jc w:val="center"/>
            </w:pPr>
            <w:r>
              <w:rPr>
                <w:b/>
              </w:rPr>
              <w:t xml:space="preserve">Основные принципы снижения объема терапии (переход на ступень вниз) БА </w:t>
            </w:r>
          </w:p>
          <w:p w:rsidR="00F15F71" w:rsidRDefault="00F974CD">
            <w:pPr>
              <w:numPr>
                <w:ilvl w:val="0"/>
                <w:numId w:val="61"/>
              </w:numPr>
              <w:spacing w:after="0" w:line="279" w:lineRule="auto"/>
              <w:ind w:firstLine="0"/>
            </w:pPr>
            <w:r>
              <w:t xml:space="preserve">рассмотреть возможность снижения дозы у пациента с хорошо контролируемой БА и стабильной функцией легких в течение 3 мес и более </w:t>
            </w:r>
          </w:p>
          <w:p w:rsidR="00F15F71" w:rsidRDefault="00F974CD">
            <w:pPr>
              <w:numPr>
                <w:ilvl w:val="0"/>
                <w:numId w:val="61"/>
              </w:numPr>
              <w:spacing w:after="0" w:line="279" w:lineRule="auto"/>
              <w:ind w:firstLine="0"/>
            </w:pPr>
            <w:r>
              <w:t>при наличии обострений в течение последнего года и сто</w:t>
            </w:r>
            <w:r>
              <w:t xml:space="preserve">йком ограничении воздушного потока снижение дозы проводится под строгим наблюдением врача </w:t>
            </w:r>
          </w:p>
          <w:p w:rsidR="00F15F71" w:rsidRDefault="00F974CD">
            <w:pPr>
              <w:numPr>
                <w:ilvl w:val="0"/>
                <w:numId w:val="61"/>
              </w:numPr>
              <w:spacing w:after="1" w:line="278" w:lineRule="auto"/>
              <w:ind w:firstLine="0"/>
            </w:pPr>
            <w:r>
              <w:t xml:space="preserve">выбирать подходящее время (вне ОРВИ, пациент не путешествует, отсутствие беременности) </w:t>
            </w:r>
          </w:p>
          <w:p w:rsidR="00F15F71" w:rsidRDefault="00F974CD">
            <w:pPr>
              <w:numPr>
                <w:ilvl w:val="0"/>
                <w:numId w:val="61"/>
              </w:numPr>
              <w:spacing w:after="23" w:line="259" w:lineRule="auto"/>
              <w:ind w:firstLine="0"/>
            </w:pPr>
            <w:r>
              <w:t xml:space="preserve">контроль и фиксация симптомов, оценка факторов риска, четкий план действий </w:t>
            </w:r>
          </w:p>
          <w:p w:rsidR="00F15F71" w:rsidRDefault="00F974CD">
            <w:pPr>
              <w:numPr>
                <w:ilvl w:val="0"/>
                <w:numId w:val="61"/>
              </w:numPr>
              <w:spacing w:after="0" w:line="259" w:lineRule="auto"/>
              <w:ind w:firstLine="0"/>
            </w:pPr>
            <w:r>
              <w:t>с</w:t>
            </w:r>
            <w:r>
              <w:t>нижение дозы ИГКС на 25-50% с интервалом в 3 месяца возможно и безопасно для большинства пациентов [361]</w:t>
            </w:r>
            <w:r>
              <w:rPr>
                <w:b/>
              </w:rPr>
              <w:t xml:space="preserve"> </w:t>
            </w:r>
          </w:p>
        </w:tc>
      </w:tr>
      <w:tr w:rsidR="00F15F71">
        <w:trPr>
          <w:trHeight w:val="838"/>
        </w:trPr>
        <w:tc>
          <w:tcPr>
            <w:tcW w:w="2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06" w:right="34" w:firstLine="0"/>
              <w:jc w:val="left"/>
            </w:pPr>
            <w:r>
              <w:rPr>
                <w:b/>
              </w:rPr>
              <w:t xml:space="preserve">Текущая ступень  </w:t>
            </w:r>
          </w:p>
        </w:tc>
        <w:tc>
          <w:tcPr>
            <w:tcW w:w="2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rPr>
                <w:b/>
              </w:rPr>
              <w:t xml:space="preserve">Текущая терап дозы </w:t>
            </w:r>
          </w:p>
        </w:tc>
        <w:tc>
          <w:tcPr>
            <w:tcW w:w="6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106" w:firstLine="0"/>
              <w:jc w:val="left"/>
            </w:pPr>
            <w:r>
              <w:rPr>
                <w:b/>
              </w:rPr>
              <w:t xml:space="preserve">ия и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rPr>
                <w:b/>
              </w:rPr>
              <w:t xml:space="preserve">Опции для снижения дозы </w:t>
            </w:r>
          </w:p>
        </w:tc>
      </w:tr>
      <w:tr w:rsidR="00F15F71">
        <w:trPr>
          <w:trHeight w:val="2218"/>
        </w:trPr>
        <w:tc>
          <w:tcPr>
            <w:tcW w:w="20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06" w:firstLine="0"/>
              <w:jc w:val="left"/>
            </w:pPr>
            <w:r>
              <w:t xml:space="preserve">5 ступень </w:t>
            </w:r>
          </w:p>
        </w:tc>
        <w:tc>
          <w:tcPr>
            <w:tcW w:w="2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 xml:space="preserve">Высокая </w:t>
            </w:r>
          </w:p>
          <w:p w:rsidR="00F15F71" w:rsidRDefault="00F974CD">
            <w:pPr>
              <w:spacing w:after="19" w:line="259" w:lineRule="auto"/>
              <w:ind w:left="108" w:firstLine="0"/>
              <w:jc w:val="left"/>
            </w:pPr>
            <w:r>
              <w:t xml:space="preserve">ИГКС+ДДБА </w:t>
            </w:r>
          </w:p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 xml:space="preserve">СГКС </w:t>
            </w:r>
          </w:p>
        </w:tc>
        <w:tc>
          <w:tcPr>
            <w:tcW w:w="6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91"/>
              <w:jc w:val="left"/>
            </w:pPr>
            <w:r>
              <w:t xml:space="preserve">доза плюс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62"/>
              </w:numPr>
              <w:spacing w:after="0" w:line="278" w:lineRule="auto"/>
              <w:ind w:firstLine="0"/>
            </w:pPr>
            <w:r>
              <w:t xml:space="preserve">Оптимизировать ингаляционную терапию и снизить дозу СГКС: </w:t>
            </w:r>
          </w:p>
          <w:p w:rsidR="00F15F71" w:rsidRDefault="00F974CD">
            <w:pPr>
              <w:numPr>
                <w:ilvl w:val="0"/>
                <w:numId w:val="62"/>
              </w:numPr>
              <w:spacing w:after="28" w:line="259" w:lineRule="auto"/>
              <w:ind w:firstLine="0"/>
            </w:pPr>
            <w:r>
              <w:t xml:space="preserve">Снизить </w:t>
            </w:r>
            <w:r>
              <w:tab/>
              <w:t xml:space="preserve">дозу </w:t>
            </w:r>
            <w:r>
              <w:tab/>
              <w:t xml:space="preserve">СГКС </w:t>
            </w:r>
            <w:r>
              <w:tab/>
              <w:t xml:space="preserve">под </w:t>
            </w:r>
            <w:r>
              <w:tab/>
              <w:t xml:space="preserve">контролем </w:t>
            </w:r>
          </w:p>
          <w:p w:rsidR="00F15F71" w:rsidRDefault="00F974CD">
            <w:pPr>
              <w:spacing w:after="20" w:line="259" w:lineRule="auto"/>
              <w:ind w:left="108" w:firstLine="0"/>
              <w:jc w:val="left"/>
            </w:pPr>
            <w:r>
              <w:t xml:space="preserve">эозинофилов мокроты </w:t>
            </w:r>
          </w:p>
          <w:p w:rsidR="00F15F71" w:rsidRDefault="00F974CD">
            <w:pPr>
              <w:numPr>
                <w:ilvl w:val="0"/>
                <w:numId w:val="62"/>
              </w:numPr>
              <w:spacing w:after="21" w:line="259" w:lineRule="auto"/>
              <w:ind w:firstLine="0"/>
            </w:pPr>
            <w:r>
              <w:t xml:space="preserve">Альтернирующее лечение СГКС </w:t>
            </w:r>
          </w:p>
          <w:p w:rsidR="00F15F71" w:rsidRDefault="00F974CD">
            <w:pPr>
              <w:numPr>
                <w:ilvl w:val="0"/>
                <w:numId w:val="62"/>
              </w:numPr>
              <w:spacing w:after="21" w:line="259" w:lineRule="auto"/>
              <w:ind w:firstLine="0"/>
            </w:pPr>
            <w:r>
              <w:t xml:space="preserve">Заменить СГКС на высокодозные ИГКС </w:t>
            </w:r>
          </w:p>
          <w:p w:rsidR="00F15F71" w:rsidRDefault="00F974CD">
            <w:pPr>
              <w:numPr>
                <w:ilvl w:val="0"/>
                <w:numId w:val="62"/>
              </w:numPr>
              <w:spacing w:after="29" w:line="259" w:lineRule="auto"/>
              <w:ind w:firstLine="0"/>
            </w:pPr>
            <w:r>
              <w:t xml:space="preserve">При </w:t>
            </w:r>
            <w:r>
              <w:tab/>
              <w:t xml:space="preserve">тяжелой </w:t>
            </w:r>
            <w:r>
              <w:tab/>
              <w:t xml:space="preserve">астме </w:t>
            </w:r>
            <w:r>
              <w:tab/>
              <w:t xml:space="preserve">Т2 </w:t>
            </w:r>
            <w:r>
              <w:tab/>
              <w:t xml:space="preserve">добавить </w:t>
            </w:r>
          </w:p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>биологическую терапию и снизить дозу СГ</w:t>
            </w:r>
            <w:r>
              <w:t xml:space="preserve">КС </w:t>
            </w:r>
          </w:p>
        </w:tc>
      </w:tr>
      <w:tr w:rsidR="00F15F71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 xml:space="preserve">Высокая </w:t>
            </w:r>
          </w:p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 xml:space="preserve">ИГКС+ДДБА </w:t>
            </w:r>
          </w:p>
          <w:p w:rsidR="00F15F71" w:rsidRDefault="00F974CD">
            <w:pPr>
              <w:spacing w:after="0" w:line="259" w:lineRule="auto"/>
              <w:ind w:left="108" w:firstLine="0"/>
            </w:pPr>
            <w:r>
              <w:t>другой вид терапи</w:t>
            </w:r>
          </w:p>
        </w:tc>
        <w:tc>
          <w:tcPr>
            <w:tcW w:w="6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32" w:line="238" w:lineRule="auto"/>
              <w:ind w:left="0" w:firstLine="91"/>
              <w:jc w:val="left"/>
            </w:pPr>
            <w:r>
              <w:t xml:space="preserve">доза плюс </w:t>
            </w:r>
          </w:p>
          <w:p w:rsidR="00F15F71" w:rsidRDefault="00F974CD">
            <w:pPr>
              <w:spacing w:after="0" w:line="259" w:lineRule="auto"/>
              <w:ind w:left="-46" w:firstLine="0"/>
              <w:jc w:val="left"/>
            </w:pPr>
            <w:r>
              <w:t xml:space="preserve">и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 xml:space="preserve">- Обратиться за консультацией к специалисту </w:t>
            </w:r>
          </w:p>
        </w:tc>
      </w:tr>
      <w:tr w:rsidR="00F15F71">
        <w:trPr>
          <w:trHeight w:val="2218"/>
        </w:trPr>
        <w:tc>
          <w:tcPr>
            <w:tcW w:w="20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06" w:firstLine="0"/>
              <w:jc w:val="left"/>
            </w:pPr>
            <w:r>
              <w:t xml:space="preserve">4 ступень </w:t>
            </w:r>
          </w:p>
        </w:tc>
        <w:tc>
          <w:tcPr>
            <w:tcW w:w="26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38" w:lineRule="auto"/>
              <w:ind w:left="108" w:firstLine="0"/>
            </w:pPr>
            <w:r>
              <w:t xml:space="preserve">Средние или высокие дозы ИГКС+ДДБА </w:t>
            </w:r>
          </w:p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 xml:space="preserve">(поддерживающая терапия)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63"/>
              </w:numPr>
              <w:spacing w:after="0" w:line="278" w:lineRule="auto"/>
              <w:ind w:firstLine="0"/>
              <w:jc w:val="left"/>
            </w:pPr>
            <w:r>
              <w:t xml:space="preserve">Продолжить комбинацию ИГКС+ДДБА с 50% снижением ИГКС,  </w:t>
            </w:r>
          </w:p>
          <w:p w:rsidR="00F15F71" w:rsidRDefault="00F974CD">
            <w:pPr>
              <w:numPr>
                <w:ilvl w:val="0"/>
                <w:numId w:val="63"/>
              </w:numPr>
              <w:spacing w:after="1" w:line="277" w:lineRule="auto"/>
              <w:ind w:firstLine="0"/>
              <w:jc w:val="left"/>
            </w:pPr>
            <w:r>
              <w:t xml:space="preserve">Отмена ДДБА может привести к ухудшению состояния </w:t>
            </w:r>
          </w:p>
          <w:p w:rsidR="00F15F71" w:rsidRDefault="00F974CD">
            <w:pPr>
              <w:numPr>
                <w:ilvl w:val="0"/>
                <w:numId w:val="63"/>
              </w:numPr>
              <w:spacing w:after="0" w:line="259" w:lineRule="auto"/>
              <w:ind w:firstLine="0"/>
              <w:jc w:val="left"/>
            </w:pPr>
            <w:r>
              <w:t xml:space="preserve">Переход на терапию с использованием ИГКС+формотерол </w:t>
            </w:r>
            <w:r>
              <w:tab/>
              <w:t xml:space="preserve">в </w:t>
            </w:r>
            <w:r>
              <w:tab/>
              <w:t xml:space="preserve">режиме </w:t>
            </w:r>
            <w:r>
              <w:tab/>
              <w:t xml:space="preserve">единого ингалятора с более низкой поддерживающей дозой </w:t>
            </w:r>
          </w:p>
        </w:tc>
      </w:tr>
      <w:tr w:rsidR="00F15F71">
        <w:trPr>
          <w:trHeight w:val="13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right" w:pos="2642"/>
              </w:tabs>
              <w:spacing w:after="0" w:line="259" w:lineRule="auto"/>
              <w:ind w:left="0" w:firstLine="0"/>
              <w:jc w:val="left"/>
            </w:pPr>
            <w:r>
              <w:t xml:space="preserve">Средняя </w:t>
            </w:r>
            <w:r>
              <w:tab/>
              <w:t xml:space="preserve">доза </w:t>
            </w:r>
          </w:p>
          <w:p w:rsidR="00F15F71" w:rsidRDefault="00F974CD">
            <w:pPr>
              <w:spacing w:after="29" w:line="238" w:lineRule="auto"/>
              <w:ind w:left="108" w:firstLine="0"/>
              <w:jc w:val="left"/>
            </w:pPr>
            <w:r>
              <w:t xml:space="preserve">ИГКС+формотерол поддерживающая </w:t>
            </w:r>
          </w:p>
          <w:p w:rsidR="00F15F71" w:rsidRDefault="00F974CD">
            <w:pPr>
              <w:tabs>
                <w:tab w:val="center" w:pos="1621"/>
                <w:tab w:val="right" w:pos="2642"/>
              </w:tabs>
              <w:spacing w:after="14" w:line="259" w:lineRule="auto"/>
              <w:ind w:left="0" w:firstLine="0"/>
              <w:jc w:val="left"/>
            </w:pPr>
            <w:r>
              <w:t xml:space="preserve">терапия </w:t>
            </w:r>
            <w:r>
              <w:tab/>
              <w:t xml:space="preserve">и </w:t>
            </w:r>
            <w:r>
              <w:tab/>
              <w:t xml:space="preserve">по </w:t>
            </w:r>
          </w:p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>потребности</w:t>
            </w:r>
            <w:r>
              <w:rPr>
                <w:vertAlign w:val="superscript"/>
              </w:rPr>
              <w:t>1</w:t>
            </w:r>
            <w:r>
              <w:t xml:space="preserve">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1165"/>
                <w:tab w:val="center" w:pos="3089"/>
                <w:tab w:val="right" w:pos="5109"/>
              </w:tabs>
              <w:spacing w:after="26" w:line="259" w:lineRule="auto"/>
              <w:ind w:left="0" w:firstLine="0"/>
              <w:jc w:val="left"/>
            </w:pPr>
            <w:r>
              <w:t xml:space="preserve">- </w:t>
            </w:r>
            <w:r>
              <w:tab/>
            </w:r>
            <w:r>
              <w:t xml:space="preserve">Снизить </w:t>
            </w:r>
            <w:r>
              <w:tab/>
              <w:t xml:space="preserve">поддерживающую </w:t>
            </w:r>
            <w:r>
              <w:tab/>
              <w:t xml:space="preserve">дозу </w:t>
            </w:r>
          </w:p>
          <w:p w:rsidR="00F15F71" w:rsidRDefault="00F974CD">
            <w:pPr>
              <w:spacing w:after="0" w:line="259" w:lineRule="auto"/>
              <w:ind w:left="108" w:firstLine="0"/>
            </w:pPr>
            <w:r>
              <w:t>ИГКС+формотерола</w:t>
            </w:r>
            <w:r>
              <w:rPr>
                <w:vertAlign w:val="superscript"/>
              </w:rPr>
              <w:t>1</w:t>
            </w:r>
            <w:r>
              <w:t xml:space="preserve"> до низкой и продолжать прием в режиме по потребности </w:t>
            </w:r>
          </w:p>
        </w:tc>
      </w:tr>
      <w:tr w:rsidR="00F15F71">
        <w:trPr>
          <w:trHeight w:val="83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6" w:line="238" w:lineRule="auto"/>
              <w:ind w:left="108" w:firstLine="0"/>
            </w:pPr>
            <w:r>
              <w:t xml:space="preserve">Высокая доза ИГКС + второй препарат </w:t>
            </w:r>
          </w:p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 xml:space="preserve">базисной терапии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08" w:firstLine="0"/>
            </w:pPr>
            <w:r>
              <w:t xml:space="preserve">- Снизить дозу ИГКС на 50% и продолжить прием второго препарата. </w:t>
            </w:r>
          </w:p>
        </w:tc>
      </w:tr>
      <w:tr w:rsidR="00F15F71">
        <w:trPr>
          <w:trHeight w:val="1114"/>
        </w:trPr>
        <w:tc>
          <w:tcPr>
            <w:tcW w:w="20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06" w:firstLine="0"/>
              <w:jc w:val="left"/>
            </w:pPr>
            <w:r>
              <w:t xml:space="preserve">3 ступень </w:t>
            </w:r>
          </w:p>
        </w:tc>
        <w:tc>
          <w:tcPr>
            <w:tcW w:w="26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right" w:pos="2642"/>
              </w:tabs>
              <w:spacing w:after="0" w:line="259" w:lineRule="auto"/>
              <w:ind w:left="0" w:firstLine="0"/>
              <w:jc w:val="left"/>
            </w:pPr>
            <w:r>
              <w:t xml:space="preserve">Низкие </w:t>
            </w:r>
            <w:r>
              <w:tab/>
              <w:t xml:space="preserve">дозы </w:t>
            </w:r>
          </w:p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 xml:space="preserve">ИГКС+ДДБА </w:t>
            </w:r>
          </w:p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 xml:space="preserve">(поддерживающая терапия)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64"/>
              </w:numPr>
              <w:spacing w:after="4" w:line="274" w:lineRule="auto"/>
              <w:ind w:firstLine="0"/>
              <w:jc w:val="left"/>
            </w:pPr>
            <w:r>
              <w:t xml:space="preserve">Снизить дозу ИГКС+ДДБА до одного раза в день </w:t>
            </w:r>
          </w:p>
          <w:p w:rsidR="00F15F71" w:rsidRDefault="00F974CD">
            <w:pPr>
              <w:numPr>
                <w:ilvl w:val="0"/>
                <w:numId w:val="64"/>
              </w:numPr>
              <w:spacing w:after="0" w:line="259" w:lineRule="auto"/>
              <w:ind w:firstLine="0"/>
              <w:jc w:val="left"/>
            </w:pPr>
            <w:r>
              <w:t xml:space="preserve">Отмена ДДБА может привести к ухудшению состояния  </w:t>
            </w:r>
          </w:p>
        </w:tc>
      </w:tr>
      <w:tr w:rsidR="00F15F71">
        <w:trPr>
          <w:trHeight w:val="84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right" w:pos="2642"/>
              </w:tabs>
              <w:spacing w:after="0" w:line="259" w:lineRule="auto"/>
              <w:ind w:left="0" w:firstLine="0"/>
              <w:jc w:val="left"/>
            </w:pPr>
            <w:r>
              <w:t xml:space="preserve">Низкая </w:t>
            </w:r>
            <w:r>
              <w:tab/>
              <w:t xml:space="preserve">доза </w:t>
            </w:r>
          </w:p>
          <w:p w:rsidR="00F15F71" w:rsidRDefault="00F974CD">
            <w:pPr>
              <w:spacing w:after="0" w:line="259" w:lineRule="auto"/>
              <w:ind w:left="108" w:firstLine="0"/>
              <w:jc w:val="left"/>
            </w:pPr>
            <w:r>
              <w:t xml:space="preserve">ИГКС+формотерол поддерживающая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1165"/>
                <w:tab w:val="center" w:pos="3089"/>
                <w:tab w:val="right" w:pos="5109"/>
              </w:tabs>
              <w:spacing w:after="0" w:line="259" w:lineRule="auto"/>
              <w:ind w:left="0" w:firstLine="0"/>
              <w:jc w:val="left"/>
            </w:pPr>
            <w:r>
              <w:t xml:space="preserve">- </w:t>
            </w:r>
            <w:r>
              <w:tab/>
              <w:t xml:space="preserve">Снизить </w:t>
            </w:r>
            <w:r>
              <w:tab/>
              <w:t xml:space="preserve">поддерживающую </w:t>
            </w:r>
            <w:r>
              <w:tab/>
              <w:t xml:space="preserve">дозу </w:t>
            </w:r>
          </w:p>
          <w:p w:rsidR="00F15F71" w:rsidRDefault="00F974CD">
            <w:pPr>
              <w:spacing w:after="0" w:line="259" w:lineRule="auto"/>
              <w:ind w:left="108" w:firstLine="0"/>
            </w:pPr>
            <w:r>
              <w:t>ИГКС+формотерола</w:t>
            </w:r>
            <w:r>
              <w:rPr>
                <w:vertAlign w:val="superscript"/>
              </w:rPr>
              <w:t xml:space="preserve">1 </w:t>
            </w:r>
            <w:r>
              <w:t>до одного раза в день + низкие дозы ИГКС+формотерола</w:t>
            </w:r>
            <w:r>
              <w:rPr>
                <w:vertAlign w:val="superscript"/>
              </w:rPr>
              <w:t>1</w:t>
            </w:r>
            <w:r>
              <w:t xml:space="preserve"> по </w:t>
            </w:r>
          </w:p>
        </w:tc>
      </w:tr>
    </w:tbl>
    <w:p w:rsidR="00F15F71" w:rsidRDefault="00F15F71">
      <w:pPr>
        <w:spacing w:after="0" w:line="259" w:lineRule="auto"/>
        <w:ind w:left="-1702" w:right="965" w:firstLine="0"/>
        <w:jc w:val="left"/>
      </w:pPr>
    </w:p>
    <w:tbl>
      <w:tblPr>
        <w:tblStyle w:val="TableGrid"/>
        <w:tblW w:w="9914" w:type="dxa"/>
        <w:tblInd w:w="-675" w:type="dxa"/>
        <w:tblCellMar>
          <w:top w:w="14" w:type="dxa"/>
          <w:left w:w="106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2074"/>
        <w:gridCol w:w="2686"/>
        <w:gridCol w:w="5154"/>
      </w:tblGrid>
      <w:tr w:rsidR="00F15F71">
        <w:trPr>
          <w:trHeight w:val="1392"/>
        </w:trPr>
        <w:tc>
          <w:tcPr>
            <w:tcW w:w="20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right" w:pos="2533"/>
              </w:tabs>
              <w:spacing w:after="14" w:line="259" w:lineRule="auto"/>
              <w:ind w:left="0" w:firstLine="0"/>
              <w:jc w:val="left"/>
            </w:pPr>
            <w:r>
              <w:t xml:space="preserve">терапия </w:t>
            </w:r>
            <w:r>
              <w:tab/>
              <w:t xml:space="preserve">+по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>потребности</w:t>
            </w:r>
            <w:r>
              <w:rPr>
                <w:vertAlign w:val="superscript"/>
              </w:rPr>
              <w:footnoteReference w:id="6"/>
            </w:r>
            <w:r>
              <w:t xml:space="preserve">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2" w:line="259" w:lineRule="auto"/>
              <w:ind w:left="2" w:firstLine="0"/>
              <w:jc w:val="left"/>
            </w:pPr>
            <w:r>
              <w:t xml:space="preserve">потребности. </w:t>
            </w:r>
          </w:p>
          <w:p w:rsidR="00F15F71" w:rsidRDefault="00F974CD">
            <w:pPr>
              <w:spacing w:after="0" w:line="290" w:lineRule="auto"/>
              <w:ind w:left="2" w:firstLine="0"/>
              <w:jc w:val="left"/>
            </w:pPr>
            <w:r>
              <w:t xml:space="preserve">- Рассмотреть возможность перехода на низкие дозы </w:t>
            </w:r>
            <w:r>
              <w:tab/>
              <w:t>ИГКС+формотерола</w:t>
            </w:r>
            <w:r>
              <w:rPr>
                <w:vertAlign w:val="superscript"/>
              </w:rPr>
              <w:t>1</w:t>
            </w:r>
            <w:r>
              <w:t xml:space="preserve"> </w:t>
            </w:r>
            <w:r>
              <w:tab/>
              <w:t xml:space="preserve">только </w:t>
            </w:r>
            <w:r>
              <w:tab/>
              <w:t xml:space="preserve">по потребности.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</w:tr>
      <w:tr w:rsidR="00F15F71">
        <w:trPr>
          <w:trHeight w:val="111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" w:firstLine="0"/>
            </w:pPr>
            <w:r>
              <w:t xml:space="preserve">Средние или высокие дозы ИГКС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65"/>
              </w:numPr>
              <w:spacing w:after="21" w:line="259" w:lineRule="auto"/>
              <w:ind w:right="31" w:firstLine="0"/>
              <w:jc w:val="left"/>
            </w:pPr>
            <w:r>
              <w:t xml:space="preserve">Снизить дозу ИГКС на 50% </w:t>
            </w:r>
          </w:p>
          <w:p w:rsidR="00F15F71" w:rsidRDefault="00F974CD">
            <w:pPr>
              <w:numPr>
                <w:ilvl w:val="0"/>
                <w:numId w:val="65"/>
              </w:numPr>
              <w:spacing w:after="0" w:line="259" w:lineRule="auto"/>
              <w:ind w:right="31" w:firstLine="0"/>
              <w:jc w:val="left"/>
            </w:pPr>
            <w:r>
              <w:t xml:space="preserve">Добавление антилейкотриеновых препаратов или ДДБА может позволить снизить дозу ИГКС </w:t>
            </w:r>
          </w:p>
        </w:tc>
      </w:tr>
      <w:tr w:rsidR="00F15F71">
        <w:trPr>
          <w:trHeight w:val="1666"/>
        </w:trPr>
        <w:tc>
          <w:tcPr>
            <w:tcW w:w="2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2 ступень </w:t>
            </w:r>
          </w:p>
        </w:tc>
        <w:tc>
          <w:tcPr>
            <w:tcW w:w="2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1295"/>
                <w:tab w:val="right" w:pos="2533"/>
              </w:tabs>
              <w:spacing w:after="0" w:line="259" w:lineRule="auto"/>
              <w:ind w:left="0" w:firstLine="0"/>
              <w:jc w:val="left"/>
            </w:pPr>
            <w:r>
              <w:t xml:space="preserve">Низкие </w:t>
            </w:r>
            <w:r>
              <w:tab/>
              <w:t xml:space="preserve">дозы </w:t>
            </w:r>
            <w:r>
              <w:tab/>
              <w:t xml:space="preserve">ИГКС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(поддерживающая терапия)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66"/>
              </w:numPr>
              <w:spacing w:after="29" w:line="259" w:lineRule="auto"/>
              <w:ind w:hanging="502"/>
            </w:pPr>
            <w:r>
              <w:t xml:space="preserve">Однократная </w:t>
            </w:r>
            <w:r>
              <w:tab/>
              <w:t xml:space="preserve">ежедневная </w:t>
            </w:r>
            <w:r>
              <w:tab/>
              <w:t xml:space="preserve">ингаляция </w:t>
            </w:r>
          </w:p>
          <w:p w:rsidR="00F15F71" w:rsidRDefault="00F974CD">
            <w:pPr>
              <w:spacing w:after="0" w:line="278" w:lineRule="auto"/>
              <w:ind w:left="2" w:right="64" w:firstLine="0"/>
            </w:pPr>
            <w:r>
              <w:t xml:space="preserve">(будесонид**, циклесонид, мометазон**). - </w:t>
            </w:r>
            <w:r>
              <w:t xml:space="preserve">Переход на низкодозовый ИГКС+формотерол по потребности. </w:t>
            </w:r>
          </w:p>
          <w:p w:rsidR="00F15F71" w:rsidRDefault="00F974CD">
            <w:pPr>
              <w:numPr>
                <w:ilvl w:val="0"/>
                <w:numId w:val="66"/>
              </w:numPr>
              <w:spacing w:after="29" w:line="259" w:lineRule="auto"/>
              <w:ind w:hanging="502"/>
            </w:pPr>
            <w:r>
              <w:t xml:space="preserve">Переход </w:t>
            </w:r>
            <w:r>
              <w:tab/>
              <w:t xml:space="preserve">на </w:t>
            </w:r>
            <w:r>
              <w:tab/>
              <w:t xml:space="preserve">ингаляции </w:t>
            </w:r>
            <w:r>
              <w:tab/>
              <w:t xml:space="preserve">ИГКС </w:t>
            </w:r>
            <w:r>
              <w:tab/>
              <w:t xml:space="preserve">при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использовании КДБА по потребности </w:t>
            </w:r>
          </w:p>
        </w:tc>
      </w:tr>
      <w:tr w:rsidR="00F15F71">
        <w:trPr>
          <w:trHeight w:val="1666"/>
        </w:trPr>
        <w:tc>
          <w:tcPr>
            <w:tcW w:w="2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 </w:t>
            </w:r>
          </w:p>
        </w:tc>
        <w:tc>
          <w:tcPr>
            <w:tcW w:w="2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1295"/>
                <w:tab w:val="right" w:pos="2533"/>
              </w:tabs>
              <w:spacing w:after="0" w:line="259" w:lineRule="auto"/>
              <w:ind w:left="0" w:firstLine="0"/>
              <w:jc w:val="left"/>
            </w:pPr>
            <w:r>
              <w:t xml:space="preserve">Низкие </w:t>
            </w:r>
            <w:r>
              <w:tab/>
              <w:t xml:space="preserve">дозы </w:t>
            </w:r>
            <w:r>
              <w:tab/>
              <w:t xml:space="preserve">ИГКС </w:t>
            </w:r>
          </w:p>
          <w:p w:rsidR="00F15F71" w:rsidRDefault="00F974CD">
            <w:pPr>
              <w:spacing w:line="259" w:lineRule="auto"/>
              <w:ind w:left="2" w:firstLine="0"/>
              <w:jc w:val="left"/>
            </w:pPr>
            <w:r>
              <w:t xml:space="preserve">(поддерживающая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терапия) </w:t>
            </w:r>
            <w:r>
              <w:tab/>
              <w:t xml:space="preserve">или антилейкотриеновые препараты </w:t>
            </w:r>
          </w:p>
        </w:tc>
        <w:tc>
          <w:tcPr>
            <w:tcW w:w="5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67"/>
              </w:numPr>
              <w:spacing w:after="0" w:line="278" w:lineRule="auto"/>
              <w:ind w:right="31" w:firstLine="0"/>
            </w:pPr>
            <w:r>
              <w:t xml:space="preserve">Переход на низкодозовый ИГКС+формотерол по потребности. </w:t>
            </w:r>
          </w:p>
          <w:p w:rsidR="00F15F71" w:rsidRDefault="00F974CD">
            <w:pPr>
              <w:numPr>
                <w:ilvl w:val="0"/>
                <w:numId w:val="67"/>
              </w:numPr>
              <w:spacing w:after="46" w:line="238" w:lineRule="auto"/>
              <w:ind w:right="31" w:firstLine="0"/>
            </w:pPr>
            <w:r>
              <w:t xml:space="preserve">Полный отказ от применения ИГКС у взрослых и подростков не рекомендуется, так как повышается риск обострений при </w:t>
            </w:r>
          </w:p>
          <w:p w:rsidR="00F15F71" w:rsidRDefault="00F974CD">
            <w:pPr>
              <w:spacing w:after="0" w:line="259" w:lineRule="auto"/>
              <w:ind w:left="2" w:firstLine="0"/>
              <w:jc w:val="left"/>
            </w:pPr>
            <w:r>
              <w:t xml:space="preserve">использовании только КДБА </w:t>
            </w:r>
          </w:p>
        </w:tc>
      </w:tr>
    </w:tbl>
    <w:p w:rsidR="00F15F71" w:rsidRDefault="00F974CD">
      <w:r>
        <w:br w:type="page"/>
      </w:r>
    </w:p>
    <w:p w:rsidR="00F15F71" w:rsidRDefault="00F974CD">
      <w:pPr>
        <w:pStyle w:val="Heading4"/>
        <w:ind w:left="538" w:right="10"/>
      </w:pPr>
      <w:bookmarkStart w:id="70" w:name="_Toc275227"/>
      <w:r>
        <w:t xml:space="preserve">Приложение Б17. </w:t>
      </w:r>
      <w:r>
        <w:t xml:space="preserve">Вторичная профилактика БА (взрослые, подростки, дети) </w:t>
      </w:r>
      <w:bookmarkEnd w:id="70"/>
    </w:p>
    <w:tbl>
      <w:tblPr>
        <w:tblStyle w:val="TableGrid"/>
        <w:tblW w:w="9573" w:type="dxa"/>
        <w:tblInd w:w="-108" w:type="dxa"/>
        <w:tblCellMar>
          <w:top w:w="6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2991"/>
        <w:gridCol w:w="6582"/>
      </w:tblGrid>
      <w:tr w:rsidR="00F15F71">
        <w:trPr>
          <w:trHeight w:val="286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Меры профилактики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Рекомендации </w:t>
            </w:r>
          </w:p>
        </w:tc>
      </w:tr>
      <w:tr w:rsidR="00F15F71">
        <w:trPr>
          <w:trHeight w:val="3046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6" w:line="238" w:lineRule="auto"/>
              <w:ind w:left="0" w:firstLine="0"/>
            </w:pPr>
            <w:r>
              <w:t xml:space="preserve">Прекращение курения, пассивного курения и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использования вэйпов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68"/>
              </w:numPr>
              <w:spacing w:after="0" w:line="295" w:lineRule="auto"/>
              <w:ind w:firstLine="0"/>
              <w:jc w:val="left"/>
            </w:pPr>
            <w:r>
              <w:t xml:space="preserve">Настоятельно рекомендовать пациентам с БА отказаться от курения  </w:t>
            </w:r>
          </w:p>
          <w:p w:rsidR="00F15F71" w:rsidRDefault="00F974CD">
            <w:pPr>
              <w:numPr>
                <w:ilvl w:val="0"/>
                <w:numId w:val="68"/>
              </w:numPr>
              <w:spacing w:after="18" w:line="267" w:lineRule="auto"/>
              <w:ind w:firstLine="0"/>
              <w:jc w:val="left"/>
            </w:pPr>
            <w:r>
              <w:t xml:space="preserve">Рекомендовать родителям детей с БА не курить и не разрешать другим курить в присутствии ребенка (в помещении, автомобиле и проч)  </w:t>
            </w:r>
          </w:p>
          <w:p w:rsidR="00F15F71" w:rsidRDefault="00F974CD">
            <w:pPr>
              <w:numPr>
                <w:ilvl w:val="0"/>
                <w:numId w:val="68"/>
              </w:numPr>
              <w:spacing w:after="0" w:line="259" w:lineRule="auto"/>
              <w:ind w:firstLine="0"/>
              <w:jc w:val="left"/>
            </w:pPr>
            <w:r>
              <w:t xml:space="preserve">Настоятельно рекомендовать пациентам с БА избегать воздействия окружающего дыма.  </w:t>
            </w: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ab/>
            </w:r>
            <w:r>
              <w:t xml:space="preserve">Обследовать курильщиков/бывших курильщиков на предмет наличия ХОБЛ или сочетания БА и ХОБЛ, поскольку может возникнуть необходимость дополнительной стратегии лечения.  </w:t>
            </w:r>
          </w:p>
        </w:tc>
      </w:tr>
      <w:tr w:rsidR="00F15F71">
        <w:trPr>
          <w:trHeight w:val="5530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Физическая активность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69"/>
              </w:numPr>
              <w:spacing w:after="28" w:line="257" w:lineRule="auto"/>
              <w:ind w:right="32" w:firstLine="0"/>
              <w:jc w:val="left"/>
            </w:pPr>
            <w:r>
              <w:t xml:space="preserve">Поощрять пациентов с БА к регулярным занятиям физической культурой, так как это полезно для здоровья в целом. </w:t>
            </w:r>
          </w:p>
          <w:p w:rsidR="00F15F71" w:rsidRDefault="00F974CD">
            <w:pPr>
              <w:numPr>
                <w:ilvl w:val="0"/>
                <w:numId w:val="69"/>
              </w:numPr>
              <w:spacing w:after="20" w:line="261" w:lineRule="auto"/>
              <w:ind w:right="32" w:firstLine="0"/>
              <w:jc w:val="left"/>
            </w:pPr>
            <w:r>
              <w:t xml:space="preserve">Предоставить </w:t>
            </w:r>
            <w:r>
              <w:tab/>
              <w:t xml:space="preserve">пациенту </w:t>
            </w:r>
            <w:r>
              <w:tab/>
              <w:t xml:space="preserve">рекомендации </w:t>
            </w:r>
            <w:r>
              <w:tab/>
              <w:t xml:space="preserve">по профилактике бронхоконстрикции, вызванной физической нагрузкой, с помощью  </w:t>
            </w:r>
          </w:p>
          <w:p w:rsidR="00F15F71" w:rsidRDefault="00F974CD">
            <w:pPr>
              <w:numPr>
                <w:ilvl w:val="0"/>
                <w:numId w:val="70"/>
              </w:numPr>
              <w:spacing w:after="0" w:line="259" w:lineRule="auto"/>
              <w:ind w:firstLine="0"/>
              <w:jc w:val="left"/>
            </w:pPr>
            <w:r>
              <w:t>разминки перед физической на</w:t>
            </w:r>
            <w:r>
              <w:t xml:space="preserve">грузкой </w:t>
            </w:r>
          </w:p>
          <w:p w:rsidR="00F15F71" w:rsidRDefault="00F974CD">
            <w:pPr>
              <w:numPr>
                <w:ilvl w:val="0"/>
                <w:numId w:val="70"/>
              </w:numPr>
              <w:spacing w:after="0" w:line="277" w:lineRule="auto"/>
              <w:ind w:firstLine="0"/>
              <w:jc w:val="left"/>
            </w:pPr>
            <w:r>
              <w:t xml:space="preserve">применения КДБА (или ИГКС+КДБА) перед физической нагрузкой </w:t>
            </w:r>
          </w:p>
          <w:p w:rsidR="00F15F71" w:rsidRDefault="00F974CD">
            <w:pPr>
              <w:numPr>
                <w:ilvl w:val="0"/>
                <w:numId w:val="70"/>
              </w:numPr>
              <w:spacing w:after="3" w:line="278" w:lineRule="auto"/>
              <w:ind w:firstLine="0"/>
              <w:jc w:val="left"/>
            </w:pPr>
            <w:r>
              <w:t xml:space="preserve">применения низкодозового ИГКС+формотерол перед физической нагрузкой; </w:t>
            </w:r>
          </w:p>
          <w:p w:rsidR="00F15F71" w:rsidRDefault="00F974CD">
            <w:pPr>
              <w:numPr>
                <w:ilvl w:val="0"/>
                <w:numId w:val="71"/>
              </w:numPr>
              <w:spacing w:after="19" w:line="265" w:lineRule="auto"/>
              <w:ind w:right="58" w:firstLine="0"/>
            </w:pPr>
            <w:r>
              <w:t>Регулярная физическая активность улучшает сердечно-</w:t>
            </w:r>
            <w:r>
              <w:t xml:space="preserve">легочную функцию и положительно сказывается на контроле БА, в т.ч. при занятиях плаванием у молодых людей с астмой. </w:t>
            </w:r>
          </w:p>
          <w:p w:rsidR="00F15F71" w:rsidRDefault="00F974CD">
            <w:pPr>
              <w:numPr>
                <w:ilvl w:val="0"/>
                <w:numId w:val="71"/>
              </w:numPr>
              <w:spacing w:after="3" w:line="278" w:lineRule="auto"/>
              <w:ind w:right="58" w:firstLine="0"/>
            </w:pPr>
            <w:r>
              <w:t xml:space="preserve">Внедрение физической активности в повседневную жизнь взрослых пациентов с средне-тяжелой/тяжелой БА приводит к улучшению состояния. </w:t>
            </w:r>
          </w:p>
          <w:p w:rsidR="00F15F71" w:rsidRDefault="00F974CD">
            <w:pPr>
              <w:numPr>
                <w:ilvl w:val="0"/>
                <w:numId w:val="71"/>
              </w:numPr>
              <w:spacing w:after="0" w:line="259" w:lineRule="auto"/>
              <w:ind w:right="58" w:firstLine="0"/>
            </w:pPr>
            <w:r>
              <w:t>Отсутс</w:t>
            </w:r>
            <w:r>
              <w:t xml:space="preserve">твуют доказательства о предпочтительном типе физической активности при БА </w:t>
            </w:r>
          </w:p>
        </w:tc>
      </w:tr>
      <w:tr w:rsidR="00F15F71">
        <w:trPr>
          <w:trHeight w:val="2823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0" w:firstLine="0"/>
            </w:pPr>
            <w:r>
              <w:t xml:space="preserve">Минимизация экспозиции аллергенов </w:t>
            </w:r>
            <w:r>
              <w:tab/>
              <w:t xml:space="preserve">и раздражителей на рабочем месте и дома (ПБА)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72"/>
              </w:numPr>
              <w:spacing w:after="52" w:line="251" w:lineRule="auto"/>
              <w:ind w:right="62" w:firstLine="0"/>
            </w:pPr>
            <w:r>
              <w:t xml:space="preserve">Рекомендовано у пациентов с поздним дебютом БА уточнить информацию о возможном воздействии раздражающих газов или частиц как на рабочем месте, так и дома.  </w:t>
            </w:r>
          </w:p>
          <w:p w:rsidR="00F15F71" w:rsidRDefault="00F974CD">
            <w:pPr>
              <w:numPr>
                <w:ilvl w:val="0"/>
                <w:numId w:val="72"/>
              </w:numPr>
              <w:spacing w:after="42" w:line="260" w:lineRule="auto"/>
              <w:ind w:right="62" w:firstLine="0"/>
            </w:pPr>
            <w:r>
              <w:t>При установлении диагноза ПБА как можно скорее выявить и устранить воздействие на пациента сенсибил</w:t>
            </w:r>
            <w:r>
              <w:t xml:space="preserve">изирующих агентов, вызывавших заболевание.  </w:t>
            </w:r>
          </w:p>
          <w:p w:rsidR="00F15F71" w:rsidRDefault="00F974CD">
            <w:pPr>
              <w:numPr>
                <w:ilvl w:val="0"/>
                <w:numId w:val="72"/>
              </w:numPr>
              <w:spacing w:after="0" w:line="259" w:lineRule="auto"/>
              <w:ind w:right="62" w:firstLine="0"/>
            </w:pPr>
            <w:r>
              <w:t xml:space="preserve">Пациентов с подозрением на ПБА или подтвержденным диагнозом следует незамедлительно направить в специализированное медицинское учреждение. </w:t>
            </w:r>
          </w:p>
        </w:tc>
      </w:tr>
      <w:tr w:rsidR="00F15F71">
        <w:trPr>
          <w:trHeight w:val="1942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2" w:firstLine="0"/>
            </w:pPr>
            <w:r>
              <w:t xml:space="preserve">Отказ от лекарственных средств, которые могут ухудшить течение БА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73"/>
              </w:numPr>
              <w:spacing w:after="27" w:line="258" w:lineRule="auto"/>
              <w:ind w:firstLine="0"/>
            </w:pPr>
            <w:r>
              <w:t xml:space="preserve">Рекомендовано перед назначением НПВП уточнить у пациента наличие диагноза БА. Советуйте пациентам прекратить их применение, если БА обостряется.  </w:t>
            </w:r>
          </w:p>
          <w:p w:rsidR="00F15F71" w:rsidRDefault="00F974CD">
            <w:pPr>
              <w:numPr>
                <w:ilvl w:val="0"/>
                <w:numId w:val="73"/>
              </w:numPr>
              <w:spacing w:after="2" w:line="278" w:lineRule="auto"/>
              <w:ind w:firstLine="0"/>
            </w:pPr>
            <w:r>
              <w:t xml:space="preserve">Рекомендовано уточнять у пациентов с БА о сопутствующей терапии.  </w:t>
            </w:r>
          </w:p>
          <w:p w:rsidR="00F15F71" w:rsidRDefault="00F974CD">
            <w:pPr>
              <w:numPr>
                <w:ilvl w:val="0"/>
                <w:numId w:val="73"/>
              </w:numPr>
              <w:spacing w:after="0" w:line="259" w:lineRule="auto"/>
              <w:ind w:firstLine="0"/>
            </w:pPr>
            <w:r>
              <w:t>Аспирин и НПВП обычно не противопоказаны п</w:t>
            </w:r>
            <w:r>
              <w:t xml:space="preserve">ри БА за исключением случаев, когда в анамнезе у пациента </w:t>
            </w:r>
          </w:p>
        </w:tc>
      </w:tr>
    </w:tbl>
    <w:p w:rsidR="00F15F71" w:rsidRDefault="00F15F71">
      <w:pPr>
        <w:spacing w:after="0" w:line="259" w:lineRule="auto"/>
        <w:ind w:left="-1702" w:right="740" w:firstLine="0"/>
        <w:jc w:val="left"/>
      </w:pPr>
    </w:p>
    <w:tbl>
      <w:tblPr>
        <w:tblStyle w:val="TableGrid"/>
        <w:tblW w:w="9573" w:type="dxa"/>
        <w:tblInd w:w="-108" w:type="dxa"/>
        <w:tblCellMar>
          <w:top w:w="60" w:type="dxa"/>
          <w:left w:w="108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2991"/>
        <w:gridCol w:w="6582"/>
      </w:tblGrid>
      <w:tr w:rsidR="00F15F71">
        <w:trPr>
          <w:trHeight w:val="2496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5" w:line="259" w:lineRule="auto"/>
              <w:ind w:left="0" w:firstLine="0"/>
              <w:jc w:val="left"/>
            </w:pPr>
            <w:r>
              <w:t xml:space="preserve">имеется неблагоприятная реакция на эти препараты. </w:t>
            </w:r>
          </w:p>
          <w:p w:rsidR="00F15F71" w:rsidRDefault="00F974CD">
            <w:pPr>
              <w:numPr>
                <w:ilvl w:val="0"/>
                <w:numId w:val="74"/>
              </w:numPr>
              <w:spacing w:after="34" w:line="252" w:lineRule="auto"/>
              <w:ind w:right="59" w:firstLine="0"/>
            </w:pPr>
            <w:r>
              <w:t>Решение о назначении бета-</w:t>
            </w:r>
            <w:r>
              <w:t xml:space="preserve">блокаторов (пероральных или применяемых в офтальмологии) принимается в каждом конкретном случае. Начинать лечение нужно под наблюдением врача.  </w:t>
            </w:r>
          </w:p>
          <w:p w:rsidR="00F15F71" w:rsidRDefault="00F974CD">
            <w:pPr>
              <w:numPr>
                <w:ilvl w:val="0"/>
                <w:numId w:val="74"/>
              </w:numPr>
              <w:spacing w:after="0" w:line="259" w:lineRule="auto"/>
              <w:ind w:right="59" w:firstLine="0"/>
            </w:pPr>
            <w:r>
              <w:t>БА не является абсолютным противопоказанием в случае необходимости назначения  кардиоселективных бетаблокаторов</w:t>
            </w:r>
            <w:r>
              <w:t xml:space="preserve">. Однако, следует учитывать относительные риски/пользы. </w:t>
            </w:r>
          </w:p>
        </w:tc>
      </w:tr>
      <w:tr w:rsidR="00F15F71">
        <w:trPr>
          <w:trHeight w:val="1114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Здоровое питание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8" w:firstLine="0"/>
            </w:pPr>
            <w:r>
              <w:t xml:space="preserve">Следует рекомендовать пациентам с БА придерживаться диеты с высоким содержанием овощей и фруктов с учетом общей пользы для здоровья. </w:t>
            </w:r>
          </w:p>
        </w:tc>
      </w:tr>
      <w:tr w:rsidR="00F15F71">
        <w:trPr>
          <w:trHeight w:val="3598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center" w:pos="457"/>
                <w:tab w:val="center" w:pos="1792"/>
                <w:tab w:val="center" w:pos="2718"/>
              </w:tabs>
              <w:spacing w:after="28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 xml:space="preserve">Избегать </w:t>
            </w:r>
            <w:r>
              <w:tab/>
              <w:t xml:space="preserve">контакта </w:t>
            </w:r>
            <w:r>
              <w:tab/>
              <w:t xml:space="preserve">с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аллергенами в помещении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75"/>
              </w:numPr>
              <w:spacing w:after="3" w:line="279" w:lineRule="auto"/>
              <w:ind w:right="60" w:firstLine="0"/>
            </w:pPr>
            <w:r>
              <w:t xml:space="preserve">Избегание аллергенов не рекомендуется в качестве основной стратегии при лечении БА. </w:t>
            </w:r>
          </w:p>
          <w:p w:rsidR="00F15F71" w:rsidRDefault="00F974CD">
            <w:pPr>
              <w:numPr>
                <w:ilvl w:val="0"/>
                <w:numId w:val="75"/>
              </w:numPr>
              <w:spacing w:after="27" w:line="258" w:lineRule="auto"/>
              <w:ind w:right="60" w:firstLine="0"/>
            </w:pPr>
            <w:r>
              <w:t xml:space="preserve">Устранение сырости или плесени в доме уменьшает симптомы астмы и использование лекарственных препаратов у взрослых.  </w:t>
            </w:r>
          </w:p>
          <w:p w:rsidR="00F15F71" w:rsidRDefault="00F974CD">
            <w:pPr>
              <w:numPr>
                <w:ilvl w:val="0"/>
                <w:numId w:val="75"/>
              </w:numPr>
              <w:spacing w:after="34" w:line="252" w:lineRule="auto"/>
              <w:ind w:right="60" w:firstLine="0"/>
            </w:pPr>
            <w:r>
              <w:t xml:space="preserve">Для пациентов, сенсибилизированных к клещам домашней пыли и/или домашним животным, имеются ограниченные данные о клинической пользе данной стратегии при БА (только у детей) </w:t>
            </w:r>
          </w:p>
          <w:p w:rsidR="00F15F71" w:rsidRDefault="00F974CD">
            <w:pPr>
              <w:numPr>
                <w:ilvl w:val="0"/>
                <w:numId w:val="75"/>
              </w:numPr>
              <w:spacing w:after="0" w:line="259" w:lineRule="auto"/>
              <w:ind w:right="60" w:firstLine="0"/>
            </w:pPr>
            <w:r>
              <w:t>Стратегии по снижению экспозиции аллергенов часто сложны и дорогостоящи. Отсутству</w:t>
            </w:r>
            <w:r>
              <w:t xml:space="preserve">ют валилированные методы идентификации пациентов, которым данная стратегия может принести реальную пользу. </w:t>
            </w:r>
          </w:p>
        </w:tc>
      </w:tr>
      <w:tr w:rsidR="00F15F71">
        <w:trPr>
          <w:trHeight w:val="1699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Снижение веса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76"/>
              </w:numPr>
              <w:spacing w:after="14" w:line="284" w:lineRule="auto"/>
              <w:ind w:right="32" w:firstLine="0"/>
              <w:jc w:val="left"/>
            </w:pPr>
            <w:r>
              <w:t xml:space="preserve">Рекомендовано включенить программу снижения веса в план лечения пациентов с ожирением и БА.  </w:t>
            </w:r>
          </w:p>
          <w:p w:rsidR="00F15F71" w:rsidRDefault="00F974CD">
            <w:pPr>
              <w:numPr>
                <w:ilvl w:val="0"/>
                <w:numId w:val="76"/>
              </w:numPr>
              <w:spacing w:after="0" w:line="259" w:lineRule="auto"/>
              <w:ind w:right="32" w:firstLine="0"/>
              <w:jc w:val="left"/>
            </w:pPr>
            <w:r>
              <w:t xml:space="preserve">Для взрослых пациентов с ожирением и БА диета для снижения веса плюс аэробные и силовые упражнения два раза в неделю более эффективны  для контроля симптомов, чем только диета.  </w:t>
            </w:r>
          </w:p>
        </w:tc>
      </w:tr>
      <w:tr w:rsidR="00F15F71">
        <w:trPr>
          <w:trHeight w:val="1114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Дыхательные упражнения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1" w:firstLine="0"/>
            </w:pPr>
            <w:r>
              <w:t>Дыхательные упражнения могут быть полезным дополнени</w:t>
            </w:r>
            <w:r>
              <w:t xml:space="preserve">ем к фармакотерапии БА относительно симптомов и качества жизни, однако, не снижают риск обострений и не оказывают влияния на функцию легких </w:t>
            </w:r>
          </w:p>
        </w:tc>
      </w:tr>
      <w:tr w:rsidR="00F15F71">
        <w:trPr>
          <w:trHeight w:val="1114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6" w:line="238" w:lineRule="auto"/>
              <w:ind w:left="0" w:right="60" w:firstLine="0"/>
            </w:pPr>
            <w:r>
              <w:t xml:space="preserve">Избегать контакта с факторами загрязнения окружающей среды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(поллютанты) в доме.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9" w:firstLine="0"/>
            </w:pPr>
            <w:r>
              <w:t xml:space="preserve">Рекомендовать пациентам с БА использовать экологичные источники тепла и оборудование для приготовления пищи. ПО возможности указанные приборы должны выводить вещества, загрязняющие воздух на улицу. </w:t>
            </w:r>
          </w:p>
        </w:tc>
      </w:tr>
      <w:tr w:rsidR="00F15F71">
        <w:trPr>
          <w:trHeight w:val="1392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3" w:line="238" w:lineRule="auto"/>
              <w:ind w:left="0" w:firstLine="0"/>
            </w:pPr>
            <w:r>
              <w:t xml:space="preserve">Избегать контакта с аллергенами внешней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среды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4" w:firstLine="0"/>
            </w:pPr>
            <w:r>
              <w:t xml:space="preserve">Для сенсибилизированных пациентов при повышенной концентрации пыльцы и плесени в кокружающей среде рекомендовано держать окна закрытыми, меньше выходить на улицу, пользоваться кондиционером. Это помогает снизить воздействие аллергенов.  </w:t>
            </w:r>
          </w:p>
        </w:tc>
      </w:tr>
      <w:tr w:rsidR="00F15F71">
        <w:trPr>
          <w:trHeight w:val="1666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Работа </w:t>
            </w:r>
            <w:r>
              <w:tab/>
              <w:t xml:space="preserve">со </w:t>
            </w:r>
            <w:r>
              <w:tab/>
              <w:t>стрес</w:t>
            </w:r>
            <w:r>
              <w:t xml:space="preserve">совым фактором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79" w:lineRule="auto"/>
              <w:ind w:left="0" w:firstLine="0"/>
            </w:pPr>
            <w:r>
              <w:t xml:space="preserve">Рекомендовано объяснить пациенту о необходимости работы с эмоциональным стрессом, если он ухудшает течение БА.  </w:t>
            </w:r>
          </w:p>
          <w:p w:rsidR="00F15F71" w:rsidRDefault="00F974CD">
            <w:pPr>
              <w:spacing w:after="0" w:line="277" w:lineRule="auto"/>
              <w:ind w:left="0" w:firstLine="0"/>
              <w:jc w:val="left"/>
            </w:pPr>
            <w:r>
              <w:t xml:space="preserve">Методы релаксации и дыхательные упражнения могут быть полезны. 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t>Рекомендовано направить пациента с симптомами тревоги и депрес</w:t>
            </w:r>
            <w:r>
              <w:t xml:space="preserve">сии к специалисту для оценки психического здоровья.  </w:t>
            </w:r>
          </w:p>
        </w:tc>
      </w:tr>
      <w:tr w:rsidR="00F15F71">
        <w:trPr>
          <w:trHeight w:val="1116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Устранение социальных  риска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1" w:firstLine="0"/>
            </w:pPr>
            <w:r>
              <w:t xml:space="preserve">Исследованиями подтверждено, что комплексные меры по устранению социальных рисков могут помочь снизить у пациентов детского возраста потребность в обращениях за неотложной помощью и госпитализациях  </w:t>
            </w:r>
          </w:p>
        </w:tc>
      </w:tr>
      <w:tr w:rsidR="00F15F71">
        <w:trPr>
          <w:trHeight w:val="1975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38" w:lineRule="auto"/>
              <w:ind w:left="0" w:right="58" w:firstLine="0"/>
            </w:pPr>
            <w:r>
              <w:t xml:space="preserve">Избегать контакта с факторами загрязнения окружающей среды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(поллютанты) на улице/ или погодными факторами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77"/>
              </w:numPr>
              <w:spacing w:after="43" w:line="259" w:lineRule="auto"/>
              <w:ind w:right="30" w:firstLine="0"/>
            </w:pPr>
            <w:r>
              <w:t>При неблагоприятных условиях окружающей среды (очень холодная погода или высокая загрязненность воздуха) рекомендуется по возможности оставаться в п</w:t>
            </w:r>
            <w:r>
              <w:t xml:space="preserve">омещении с контролируемым климатом и избегать повышенной физической активности на открытом воздухе. </w:t>
            </w:r>
          </w:p>
          <w:p w:rsidR="00F15F71" w:rsidRDefault="00F974CD">
            <w:pPr>
              <w:numPr>
                <w:ilvl w:val="0"/>
                <w:numId w:val="77"/>
              </w:numPr>
              <w:spacing w:after="0" w:line="259" w:lineRule="auto"/>
              <w:ind w:right="30" w:firstLine="0"/>
            </w:pPr>
            <w:r>
              <w:t xml:space="preserve">Избегать пребывание в загрязненной окружающей среде во время ОРВИ. </w:t>
            </w:r>
          </w:p>
        </w:tc>
      </w:tr>
      <w:tr w:rsidR="00F15F71">
        <w:trPr>
          <w:trHeight w:val="3322"/>
        </w:trPr>
        <w:tc>
          <w:tcPr>
            <w:tcW w:w="2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4" w:line="238" w:lineRule="auto"/>
              <w:ind w:left="0" w:right="62" w:firstLine="0"/>
            </w:pPr>
            <w:r>
              <w:t xml:space="preserve">Избегать пищевых продуктов при пищевой сенсибилизации и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аллергии </w:t>
            </w:r>
          </w:p>
        </w:tc>
        <w:tc>
          <w:tcPr>
            <w:tcW w:w="6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numPr>
                <w:ilvl w:val="0"/>
                <w:numId w:val="78"/>
              </w:numPr>
              <w:spacing w:after="34" w:line="252" w:lineRule="auto"/>
              <w:ind w:right="61" w:firstLine="0"/>
            </w:pPr>
            <w:r>
              <w:t xml:space="preserve">Отказ от пищи не рекомендуется, если только не доказана аллергия или сенсибилизация к пищевым химическим компонентам с помощью оральных провокационных проб. </w:t>
            </w:r>
          </w:p>
          <w:p w:rsidR="00F15F71" w:rsidRDefault="00F974CD">
            <w:pPr>
              <w:numPr>
                <w:ilvl w:val="0"/>
                <w:numId w:val="78"/>
              </w:numPr>
              <w:spacing w:after="26" w:line="258" w:lineRule="auto"/>
              <w:ind w:right="61" w:firstLine="0"/>
            </w:pPr>
            <w:r>
              <w:t>Для пациентов с подтвержденной пищевой аллергией отказ от пищевых аллергенов может уменьшить колич</w:t>
            </w:r>
            <w:r>
              <w:t xml:space="preserve">ество обострений БА </w:t>
            </w:r>
          </w:p>
          <w:p w:rsidR="00F15F71" w:rsidRDefault="00F974CD">
            <w:pPr>
              <w:numPr>
                <w:ilvl w:val="0"/>
                <w:numId w:val="78"/>
              </w:numPr>
              <w:spacing w:after="26" w:line="258" w:lineRule="auto"/>
              <w:ind w:right="61" w:firstLine="0"/>
            </w:pPr>
            <w:r>
              <w:t xml:space="preserve">При подтвержденной сенсибилизации к пищевым химическим компонентам, полный отказ от них обычно не требуется, так как  </w:t>
            </w:r>
          </w:p>
          <w:p w:rsidR="00F15F71" w:rsidRDefault="00F974CD">
            <w:pPr>
              <w:numPr>
                <w:ilvl w:val="0"/>
                <w:numId w:val="78"/>
              </w:numPr>
              <w:spacing w:after="0" w:line="259" w:lineRule="auto"/>
              <w:ind w:right="61" w:firstLine="0"/>
            </w:pPr>
            <w:r>
              <w:t xml:space="preserve">чувствительность часто снижается при улучшении контроля над БА.  </w:t>
            </w:r>
          </w:p>
        </w:tc>
      </w:tr>
    </w:tbl>
    <w:p w:rsidR="00F15F71" w:rsidRDefault="00F974CD">
      <w:pPr>
        <w:spacing w:after="115" w:line="259" w:lineRule="auto"/>
        <w:ind w:left="708" w:firstLine="0"/>
      </w:pPr>
      <w:r>
        <w:t xml:space="preserve"> </w:t>
      </w:r>
    </w:p>
    <w:p w:rsidR="00F15F71" w:rsidRDefault="00F974CD">
      <w:pPr>
        <w:spacing w:after="0" w:line="259" w:lineRule="auto"/>
        <w:ind w:left="708" w:firstLine="0"/>
      </w:pPr>
      <w:r>
        <w:t xml:space="preserve"> </w:t>
      </w:r>
    </w:p>
    <w:p w:rsidR="00F15F71" w:rsidRDefault="00F974CD">
      <w:pPr>
        <w:pStyle w:val="Heading1"/>
        <w:ind w:right="852"/>
      </w:pPr>
      <w:bookmarkStart w:id="71" w:name="_Toc275228"/>
      <w:r>
        <w:t xml:space="preserve">Приложение В. Информация для пациента </w:t>
      </w:r>
      <w:bookmarkEnd w:id="71"/>
    </w:p>
    <w:p w:rsidR="00F15F71" w:rsidRDefault="00F974CD">
      <w:pPr>
        <w:spacing w:after="179" w:line="259" w:lineRule="auto"/>
        <w:ind w:left="0" w:firstLine="0"/>
        <w:jc w:val="left"/>
      </w:pPr>
      <w:r>
        <w:rPr>
          <w:b/>
          <w:sz w:val="28"/>
        </w:rPr>
        <w:t xml:space="preserve"> </w:t>
      </w:r>
    </w:p>
    <w:p w:rsidR="00F15F71" w:rsidRDefault="00F974CD">
      <w:pPr>
        <w:ind w:left="0" w:right="841" w:firstLine="708"/>
      </w:pPr>
      <w:r>
        <w:rPr>
          <w:b/>
        </w:rPr>
        <w:t>Бронхиальная астма (БА)</w:t>
      </w:r>
      <w:r>
        <w:t xml:space="preserve"> – хроническое заболевание, при котором в нижних дыхательных путях (бронхах) происходит воспаление. Это воспаление не вызвано микробами, а возникает в результате контакта человека с аллергенами, раздражающими веществами, профессионал</w:t>
      </w:r>
      <w:r>
        <w:t xml:space="preserve">ьными факторами, а также в результате некоторых иных обстоятельств. </w:t>
      </w:r>
    </w:p>
    <w:p w:rsidR="00F15F71" w:rsidRDefault="00F974CD">
      <w:pPr>
        <w:ind w:left="0" w:right="841" w:firstLine="708"/>
      </w:pPr>
      <w:r>
        <w:t xml:space="preserve">В результате такого воспаления выделяются различные вещества, которые приводят к сокращению мышц вокруг стенок дыхательных путей, отеку, накоплению слизи (мокроты), в связи с чем просвет </w:t>
      </w:r>
      <w:r>
        <w:t>дыхательных путей становится узким, что затрудняет движение воздуха. У человека, болеющего БА, возникает ощущение затруднения дыхания, чувства тяжести в груди, появляются свисты и хрипы в грудной клетке, кашель. Наиболее тяжелым проявлением БА является уду</w:t>
      </w:r>
      <w:r>
        <w:t xml:space="preserve">шье. Не у каждого больного имеются все эти симптомы. Некоторые люди испытывают их время от времени при контакте с провоцирующим фактором; некоторые испытывают их все время, если БА не контролируется. </w:t>
      </w:r>
    </w:p>
    <w:p w:rsidR="00F15F71" w:rsidRDefault="00F974CD">
      <w:pPr>
        <w:ind w:left="0" w:right="841" w:firstLine="708"/>
      </w:pPr>
      <w:r>
        <w:t xml:space="preserve">Наиболее частой (но не единственной) причиной развития </w:t>
      </w:r>
      <w:r>
        <w:t>БА является аллергия. Аллергены, которые могут вызывать БА, разнообразны – шерсть, перхоть и слюна животных, пыльца растений, домашняя пыль, споры плесневых грибков, профессиональные аллергены, пищевые продукты и пищевые добавки. Нередко при этом БА сопутс</w:t>
      </w:r>
      <w:r>
        <w:t xml:space="preserve">твуют другие аллергические заболевания, в том числе аллергический ринит (насморк), который возникает как следствие аллергического воспаления в слизистой оболочке носа. БА развивается чаще в детстве или у подростков, однако может начаться в любом возрасте. </w:t>
      </w:r>
    </w:p>
    <w:p w:rsidR="00F15F71" w:rsidRDefault="00F974CD">
      <w:pPr>
        <w:ind w:left="0" w:right="841" w:firstLine="708"/>
      </w:pPr>
      <w:r>
        <w:t>Врач диагностирует БА на основании жалоб пациента, его истории болезни, данных осмотра, а также ряда исследований. Важнейшим из них является спирометрия (исследование функции легких), которое выявляет сужение бронхов и часто – их расширение после применен</w:t>
      </w:r>
      <w:r>
        <w:t xml:space="preserve">ия бронхорасширяющих препаратов. Также пациентам с БА может быть рекомендовано проведение аллергологического тестирования (путем кожных проб или определения аллерген-специфических иммуноглобулинов Е в крови) с целью выявления аллергена, на который человек </w:t>
      </w:r>
      <w:r>
        <w:t xml:space="preserve">реагирует. Кроме того, при обследовании пациентов с БА в анализах крови и мокроты может быть выявлено повышение особых клеток – эозинофилов, играющих в важную роль в развитии БА. </w:t>
      </w:r>
    </w:p>
    <w:p w:rsidR="00F15F71" w:rsidRDefault="00F974CD">
      <w:pPr>
        <w:spacing w:after="34"/>
        <w:ind w:left="0" w:right="841" w:firstLine="708"/>
      </w:pPr>
      <w:r>
        <w:t>После установления диагноза врач назначает лечение. В случае аллергической Б</w:t>
      </w:r>
      <w:r>
        <w:t>А оно начинается с ограничения контакта с виновным аллергеном. При подтвержденной аллергии на домашнего животного пациента рекомендуется минимизировать общение с ним (лучшим вариантом является «отдать в хорошие руки»). Пациентам с бытовой аллергией рекомен</w:t>
      </w:r>
      <w:r>
        <w:t>дуется использовать только синтетические постельные принадлежности, не держать цветы в горшках с открытой землей, убирать ковры, книги держать под стеклом, а также использовать пылесос и очиститель воздуха с фильтром HEPA. Во время уборки человеку, страдаю</w:t>
      </w:r>
      <w:r>
        <w:t xml:space="preserve">щему аллергией к домашней пыли, следует уходить из помещения или надевать маску. Болеющему БА следует обсудить со специалистом возможность профессиональной вредности на рабочем месте. </w:t>
      </w:r>
    </w:p>
    <w:p w:rsidR="00F15F71" w:rsidRDefault="00F974CD">
      <w:pPr>
        <w:ind w:left="0" w:right="841" w:firstLine="708"/>
      </w:pPr>
      <w:r>
        <w:t>Важны также общие мероприятия по укреплению здоровья – борьба с курение</w:t>
      </w:r>
      <w:r>
        <w:t xml:space="preserve">м, избыточным весом, заболеваниями носа, физические тренировки, профилактическая вакцинация (в т.ч. против вируса гриппа, пневмококковой инфекции). </w:t>
      </w:r>
    </w:p>
    <w:p w:rsidR="00F15F71" w:rsidRDefault="00F974CD">
      <w:pPr>
        <w:ind w:left="0" w:right="841" w:firstLine="708"/>
      </w:pPr>
      <w:r>
        <w:t>Лекарственное лечение БА состоит из назначения ингаляционной терапии, содержащей вещества, расширяющие брон</w:t>
      </w:r>
      <w:r>
        <w:t xml:space="preserve">хи и подавляющие аллергическое воспаление. Лечебным (противовоспалительным) компонентом такой терапии являются ингаляционные кортикостероиды (ингаляционные «гормоны»). Ингаляционные гормоны безопасны и не вызывают каких-либо значимых осложнений. Основными </w:t>
      </w:r>
      <w:r>
        <w:t>неприятностями, которые могут возникать при их применении, являются осиплость голоса и «молочница» во рту. Для профилактики этих осложнений рекомендуется полоскание рта и горла каждый раз после ингаляции таких лекарств. Бронхорасширяющие вещества, в свою о</w:t>
      </w:r>
      <w:r>
        <w:t xml:space="preserve">чередь, расслабляют мышечный слой стенки дыхательных путей, снимая их спазм. </w:t>
      </w:r>
    </w:p>
    <w:p w:rsidR="00F15F71" w:rsidRDefault="00F974CD">
      <w:pPr>
        <w:spacing w:after="28"/>
        <w:ind w:left="0" w:right="841" w:firstLine="708"/>
      </w:pPr>
      <w:r>
        <w:t xml:space="preserve">Современные ингаляторы (как в виде порошка, так и в виде аэрозоля) являются комбинированными и содержат в одном устройстве сразу два или три лекарства – </w:t>
      </w:r>
      <w:r>
        <w:t>ингаляционные кортикостероиды и бронхорасширяющие компоненты 12-ти или 24-ти часового действия. Эти комбинированные ингаляторы используются в качестве базисного лечения и применяются ежедневно и длительно. Они уменьшают выраженность воспаления и помогают п</w:t>
      </w:r>
      <w:r>
        <w:t>редотвратить симптомы. Более того, некоторые из таких ингаляторов могут использоваться и как препарат скорой помощи по потребности (так называемая терапия единым ингалятором, в настоящее время являющаяся предпочтительной). Также возможны стратегии использо</w:t>
      </w:r>
      <w:r>
        <w:t>вания различных ингаляторов для базисной терапии и терапии по потребности, при этом в качестве препаратов скорой помощи применяют ингаляторы, содержащие только быстродействующие бронхорасширяющие лекарства. Более того, в базисной терапии БА возможно сочета</w:t>
      </w:r>
      <w:r>
        <w:t xml:space="preserve">нное использования нескольких ингаляторов, содержащих лекарственные вещества различных групп. </w:t>
      </w:r>
    </w:p>
    <w:p w:rsidR="00F15F71" w:rsidRDefault="00F974CD">
      <w:pPr>
        <w:spacing w:after="35"/>
        <w:ind w:left="0" w:right="841" w:firstLine="708"/>
      </w:pPr>
      <w:r>
        <w:t>В некоторых случаях пациентам с БА могут назначаться дополнительные противовоспалительные препараты в таблетированных формах. Врач-аллергологиммунолог, выявив пр</w:t>
      </w:r>
      <w:r>
        <w:t>ичинный аллерген, может назначить особый вид лечения – аллерген-специфическую иммунотерапию, когда в виде подкожных инъекций или в виде капель или быстрорастворимых таблеток под язык, пациенту вводится аллерген, виновный в аллергической реакции. Иммунная с</w:t>
      </w:r>
      <w:r>
        <w:t>истема пациента «переучивается», формируется иммунная толерантность, что приводит к уменьшению выраженности проявлений аллергии вплоть до полного избавления от симптомов на длительных срок. При тяжелом течении БА, когда ни один другой метод лечения не позв</w:t>
      </w:r>
      <w:r>
        <w:t xml:space="preserve">оляет достичь контроля, может быть назначена современная иммунобиологическая терапия. </w:t>
      </w:r>
    </w:p>
    <w:p w:rsidR="00F15F71" w:rsidRDefault="00F974CD">
      <w:pPr>
        <w:ind w:left="0" w:right="841" w:firstLine="708"/>
      </w:pPr>
      <w:r>
        <w:t xml:space="preserve">Обострение БА – грозная ситуация, недооценивать которую нельзя. Если использование препаратов скорой помощи становится неэффективным, интервал между их приемом начинает </w:t>
      </w:r>
      <w:r>
        <w:t xml:space="preserve">сокращаться – необходимо незамедлительно обратиться к врачу или вызвать скорую помощь. Промедление в этом случае чревато серьезными осложнениями. </w:t>
      </w:r>
    </w:p>
    <w:p w:rsidR="00F15F71" w:rsidRDefault="00F974CD">
      <w:pPr>
        <w:spacing w:after="29"/>
        <w:ind w:left="0" w:right="841" w:firstLine="708"/>
      </w:pPr>
      <w:r>
        <w:t>Залогом успеха лечения бронхиальной астмы является дисциплинированное соблюдение рекомендаций и назначений вр</w:t>
      </w:r>
      <w:r>
        <w:t xml:space="preserve">ача в полном объеме.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3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t xml:space="preserve">  </w:t>
      </w:r>
    </w:p>
    <w:p w:rsidR="00F15F71" w:rsidRDefault="00F974CD">
      <w:pPr>
        <w:pStyle w:val="Heading1"/>
        <w:spacing w:after="199" w:line="395" w:lineRule="auto"/>
        <w:ind w:right="855"/>
      </w:pPr>
      <w:bookmarkStart w:id="72" w:name="_Toc275229"/>
      <w:r>
        <w:t xml:space="preserve">Приложение Г. Шкалы оценки, вопросники и другие оценочные инструменты состояния пациента, приведенные в клинических рекомендациях </w:t>
      </w:r>
      <w:bookmarkEnd w:id="72"/>
    </w:p>
    <w:p w:rsidR="00F15F71" w:rsidRDefault="00F974CD">
      <w:pPr>
        <w:pStyle w:val="Heading4"/>
        <w:spacing w:after="188"/>
        <w:ind w:left="2154" w:right="10"/>
      </w:pPr>
      <w:bookmarkStart w:id="73" w:name="_Toc275230"/>
      <w:r>
        <w:t xml:space="preserve">Приложение Г1. Тест по контролю над астмой (АСТ) </w:t>
      </w:r>
      <w:bookmarkEnd w:id="73"/>
    </w:p>
    <w:p w:rsidR="00F15F71" w:rsidRDefault="00F974CD">
      <w:pPr>
        <w:spacing w:after="86" w:line="270" w:lineRule="auto"/>
        <w:ind w:left="411" w:right="10"/>
      </w:pPr>
      <w:r>
        <w:t>Название на русском языке:</w:t>
      </w:r>
      <w:r>
        <w:rPr>
          <w:sz w:val="28"/>
        </w:rPr>
        <w:t xml:space="preserve"> </w:t>
      </w:r>
      <w:r>
        <w:rPr>
          <w:b/>
        </w:rPr>
        <w:t xml:space="preserve">Тест по контролю над астмой </w:t>
      </w:r>
    </w:p>
    <w:p w:rsidR="00F15F71" w:rsidRDefault="00F974CD">
      <w:pPr>
        <w:spacing w:after="186" w:line="270" w:lineRule="auto"/>
        <w:ind w:left="411" w:right="10"/>
      </w:pPr>
      <w:r>
        <w:t xml:space="preserve">Оригинальное название: </w:t>
      </w:r>
      <w:r>
        <w:rPr>
          <w:b/>
        </w:rPr>
        <w:t xml:space="preserve">Asthma Control test (АСТ)  </w:t>
      </w:r>
    </w:p>
    <w:p w:rsidR="00F15F71" w:rsidRDefault="00F974CD">
      <w:pPr>
        <w:spacing w:after="71" w:line="259" w:lineRule="auto"/>
        <w:ind w:left="411" w:right="841"/>
      </w:pPr>
      <w:r>
        <w:t>Источник (официальный сайт разработчиков, публикация с валидацией):</w:t>
      </w:r>
      <w:r>
        <w:rPr>
          <w:sz w:val="28"/>
        </w:rPr>
        <w:t xml:space="preserve">  </w:t>
      </w:r>
    </w:p>
    <w:p w:rsidR="00F15F71" w:rsidRDefault="00F974CD">
      <w:pPr>
        <w:spacing w:line="358" w:lineRule="auto"/>
        <w:ind w:left="-15" w:right="852" w:firstLine="403"/>
      </w:pPr>
      <w:r>
        <w:rPr>
          <w:b/>
        </w:rPr>
        <w:t>Schatz M., Sorkness C.A., Li J.T. et al. Asthma Control Test: reliability, validity, and responsiveness in</w:t>
      </w:r>
      <w:r>
        <w:rPr>
          <w:b/>
        </w:rPr>
        <w:t xml:space="preserve"> patients not previously followed by asthma specialists. J. Allergy Clin.Immunol. 2006; 117: 549–556 </w:t>
      </w:r>
      <w:r>
        <w:t>[367]</w:t>
      </w:r>
      <w:r>
        <w:rPr>
          <w:b/>
        </w:rPr>
        <w:t xml:space="preserve">.  </w:t>
      </w:r>
    </w:p>
    <w:p w:rsidR="00F15F71" w:rsidRDefault="00F974CD">
      <w:pPr>
        <w:spacing w:after="48" w:line="357" w:lineRule="auto"/>
        <w:ind w:left="-15" w:right="10" w:firstLine="403"/>
      </w:pPr>
      <w:r>
        <w:rPr>
          <w:b/>
        </w:rPr>
        <w:t xml:space="preserve">Schatz M., Mosen D.M., Kosinski M., et al. Validity of the Asthma Control Test completed at home. Am. J. Manag.Care 2007; 13: 661–667 </w:t>
      </w:r>
      <w:r>
        <w:t>[368]</w:t>
      </w:r>
      <w:r>
        <w:rPr>
          <w:b/>
        </w:rPr>
        <w:t xml:space="preserve">. </w:t>
      </w:r>
    </w:p>
    <w:p w:rsidR="00F15F71" w:rsidRDefault="00F974CD">
      <w:pPr>
        <w:spacing w:after="228" w:line="259" w:lineRule="auto"/>
        <w:ind w:left="411" w:right="841"/>
      </w:pPr>
      <w:r>
        <w:t xml:space="preserve">Тип (подчеркнуть): </w:t>
      </w:r>
    </w:p>
    <w:p w:rsidR="00F15F71" w:rsidRDefault="00F974CD">
      <w:pPr>
        <w:numPr>
          <w:ilvl w:val="0"/>
          <w:numId w:val="40"/>
        </w:numPr>
        <w:spacing w:after="177" w:line="259" w:lineRule="auto"/>
        <w:ind w:right="841" w:hanging="276"/>
      </w:pPr>
      <w:r>
        <w:t xml:space="preserve">шкала оценки </w:t>
      </w:r>
    </w:p>
    <w:p w:rsidR="00F15F71" w:rsidRDefault="00F974CD">
      <w:pPr>
        <w:numPr>
          <w:ilvl w:val="0"/>
          <w:numId w:val="40"/>
        </w:numPr>
        <w:spacing w:after="186" w:line="259" w:lineRule="auto"/>
        <w:ind w:right="841" w:hanging="276"/>
      </w:pPr>
      <w:r>
        <w:t xml:space="preserve">индекс </w:t>
      </w:r>
    </w:p>
    <w:p w:rsidR="00F15F71" w:rsidRDefault="00F974CD">
      <w:pPr>
        <w:pStyle w:val="Heading6"/>
        <w:ind w:left="1551"/>
      </w:pPr>
      <w:r>
        <w:rPr>
          <w:b w:val="0"/>
          <w:sz w:val="28"/>
          <w:u w:val="none"/>
        </w:rPr>
        <w:t>-</w:t>
      </w:r>
      <w:r>
        <w:rPr>
          <w:rFonts w:ascii="Arial" w:eastAsia="Arial" w:hAnsi="Arial" w:cs="Arial"/>
          <w:b w:val="0"/>
          <w:sz w:val="28"/>
          <w:u w:val="none"/>
        </w:rPr>
        <w:t xml:space="preserve"> </w:t>
      </w:r>
      <w:r>
        <w:t>вопросник</w:t>
      </w:r>
      <w:r>
        <w:rPr>
          <w:u w:val="none"/>
        </w:rPr>
        <w:t xml:space="preserve"> </w:t>
      </w:r>
    </w:p>
    <w:p w:rsidR="00F15F71" w:rsidRDefault="00F974CD">
      <w:pPr>
        <w:spacing w:after="120" w:line="259" w:lineRule="auto"/>
        <w:ind w:left="1551" w:right="841"/>
      </w:pPr>
      <w:r>
        <w:rPr>
          <w:sz w:val="28"/>
        </w:rPr>
        <w:t>-</w:t>
      </w:r>
      <w:r>
        <w:rPr>
          <w:rFonts w:ascii="Arial" w:eastAsia="Arial" w:hAnsi="Arial" w:cs="Arial"/>
          <w:sz w:val="28"/>
        </w:rPr>
        <w:t xml:space="preserve"> </w:t>
      </w:r>
      <w:r>
        <w:t xml:space="preserve">другое (уточнить): ______________________ </w:t>
      </w:r>
    </w:p>
    <w:p w:rsidR="00F15F71" w:rsidRDefault="00F974CD">
      <w:pPr>
        <w:spacing w:line="399" w:lineRule="auto"/>
        <w:ind w:left="-15" w:right="850" w:firstLine="401"/>
      </w:pPr>
      <w:r>
        <w:t xml:space="preserve">Назначение: </w:t>
      </w:r>
      <w:r>
        <w:rPr>
          <w:b/>
        </w:rPr>
        <w:t xml:space="preserve">инструмент для оценки контроля бронхиальной астмы у взрослых пациентов и подростков старше 12 лет </w:t>
      </w:r>
      <w:r>
        <w:t xml:space="preserve">Содержание (шаблон): </w:t>
      </w:r>
    </w:p>
    <w:p w:rsidR="00F15F71" w:rsidRDefault="00F974CD">
      <w:pPr>
        <w:tabs>
          <w:tab w:val="center" w:pos="8678"/>
        </w:tabs>
        <w:spacing w:after="3" w:line="286" w:lineRule="auto"/>
        <w:ind w:left="-15" w:firstLine="0"/>
        <w:jc w:val="left"/>
      </w:pPr>
      <w:r>
        <w:rPr>
          <w:b/>
          <w:i/>
          <w:color w:val="141414"/>
        </w:rPr>
        <w:t xml:space="preserve">Вопросы </w:t>
      </w:r>
      <w:r>
        <w:rPr>
          <w:b/>
          <w:i/>
          <w:color w:val="141414"/>
        </w:rPr>
        <w:tab/>
      </w:r>
      <w:r>
        <w:rPr>
          <w:i/>
          <w:color w:val="141414"/>
        </w:rPr>
        <w:t xml:space="preserve">Баллы </w:t>
      </w:r>
    </w:p>
    <w:p w:rsidR="00F15F71" w:rsidRDefault="00F974CD">
      <w:pPr>
        <w:numPr>
          <w:ilvl w:val="0"/>
          <w:numId w:val="41"/>
        </w:numPr>
        <w:spacing w:after="3" w:line="286" w:lineRule="auto"/>
        <w:ind w:right="818" w:hanging="240"/>
        <w:jc w:val="left"/>
      </w:pPr>
      <w:r>
        <w:rPr>
          <w:b/>
          <w:i/>
          <w:color w:val="141414"/>
        </w:rPr>
        <w:t xml:space="preserve">Как часто за последние </w:t>
      </w:r>
      <w:r>
        <w:rPr>
          <w:b/>
          <w:i/>
          <w:color w:val="141414"/>
          <w:u w:val="single" w:color="141414"/>
        </w:rPr>
        <w:t>4 недели</w:t>
      </w:r>
      <w:r>
        <w:rPr>
          <w:b/>
          <w:i/>
          <w:color w:val="141414"/>
        </w:rPr>
        <w:t xml:space="preserve"> астма мешала Вам выполнять </w:t>
      </w:r>
      <w:r>
        <w:rPr>
          <w:b/>
          <w:i/>
          <w:color w:val="141414"/>
        </w:rPr>
        <w:tab/>
      </w:r>
      <w:r>
        <w:rPr>
          <w:i/>
          <w:color w:val="141414"/>
        </w:rPr>
        <w:t xml:space="preserve"> </w:t>
      </w:r>
      <w:r>
        <w:rPr>
          <w:b/>
          <w:i/>
          <w:color w:val="141414"/>
        </w:rPr>
        <w:t>обычный объем работы в учебном заведении, на работе или дома?</w:t>
      </w:r>
      <w:r>
        <w:rPr>
          <w:color w:val="141414"/>
        </w:rPr>
        <w:t xml:space="preserve"> </w:t>
      </w:r>
    </w:p>
    <w:p w:rsidR="00F15F71" w:rsidRDefault="00F974CD">
      <w:pPr>
        <w:tabs>
          <w:tab w:val="center" w:pos="743"/>
          <w:tab w:val="center" w:pos="2449"/>
          <w:tab w:val="center" w:pos="4160"/>
          <w:tab w:val="center" w:pos="5864"/>
          <w:tab w:val="center" w:pos="7485"/>
        </w:tabs>
        <w:spacing w:after="11" w:line="271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color w:val="141414"/>
        </w:rPr>
        <w:t>все время</w:t>
      </w:r>
      <w:r>
        <w:rPr>
          <w:i/>
          <w:color w:val="141414"/>
        </w:rPr>
        <w:t xml:space="preserve"> </w:t>
      </w:r>
      <w:r>
        <w:rPr>
          <w:i/>
          <w:color w:val="141414"/>
        </w:rPr>
        <w:tab/>
      </w:r>
      <w:r>
        <w:rPr>
          <w:color w:val="141414"/>
        </w:rPr>
        <w:t>очень часто</w:t>
      </w:r>
      <w:r>
        <w:rPr>
          <w:i/>
          <w:color w:val="141414"/>
        </w:rPr>
        <w:t xml:space="preserve"> </w:t>
      </w:r>
      <w:r>
        <w:rPr>
          <w:i/>
          <w:color w:val="141414"/>
        </w:rPr>
        <w:tab/>
      </w:r>
      <w:r>
        <w:rPr>
          <w:color w:val="141414"/>
        </w:rPr>
        <w:t>иногда</w:t>
      </w:r>
      <w:r>
        <w:rPr>
          <w:i/>
          <w:color w:val="141414"/>
        </w:rPr>
        <w:t xml:space="preserve"> </w:t>
      </w:r>
      <w:r>
        <w:rPr>
          <w:i/>
          <w:color w:val="141414"/>
        </w:rPr>
        <w:tab/>
      </w:r>
      <w:r>
        <w:rPr>
          <w:color w:val="141414"/>
        </w:rPr>
        <w:t>редко</w:t>
      </w:r>
      <w:r>
        <w:rPr>
          <w:i/>
          <w:color w:val="141414"/>
        </w:rPr>
        <w:t xml:space="preserve"> </w:t>
      </w:r>
      <w:r>
        <w:rPr>
          <w:i/>
          <w:color w:val="141414"/>
        </w:rPr>
        <w:tab/>
      </w:r>
      <w:r>
        <w:rPr>
          <w:color w:val="141414"/>
        </w:rPr>
        <w:t>никогда</w:t>
      </w:r>
      <w:r>
        <w:rPr>
          <w:i/>
          <w:color w:val="141414"/>
        </w:rPr>
        <w:t xml:space="preserve"> </w:t>
      </w:r>
    </w:p>
    <w:p w:rsidR="00F15F71" w:rsidRDefault="00F974CD">
      <w:pPr>
        <w:tabs>
          <w:tab w:val="center" w:pos="744"/>
          <w:tab w:val="center" w:pos="2451"/>
          <w:tab w:val="center" w:pos="4157"/>
          <w:tab w:val="center" w:pos="5864"/>
          <w:tab w:val="center" w:pos="7485"/>
        </w:tabs>
        <w:spacing w:after="42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  <w:color w:val="C00000"/>
        </w:rPr>
        <w:t xml:space="preserve">1 </w:t>
      </w:r>
      <w:r>
        <w:rPr>
          <w:b/>
          <w:color w:val="C00000"/>
        </w:rPr>
        <w:tab/>
        <w:t xml:space="preserve">2 </w:t>
      </w:r>
      <w:r>
        <w:rPr>
          <w:b/>
          <w:color w:val="C00000"/>
        </w:rPr>
        <w:tab/>
        <w:t xml:space="preserve">3 </w:t>
      </w:r>
      <w:r>
        <w:rPr>
          <w:b/>
          <w:color w:val="C00000"/>
        </w:rPr>
        <w:tab/>
        <w:t xml:space="preserve">4 </w:t>
      </w:r>
      <w:r>
        <w:rPr>
          <w:b/>
          <w:color w:val="C00000"/>
        </w:rPr>
        <w:tab/>
        <w:t xml:space="preserve">5 </w:t>
      </w:r>
    </w:p>
    <w:p w:rsidR="00F15F71" w:rsidRDefault="00F974CD">
      <w:pPr>
        <w:numPr>
          <w:ilvl w:val="0"/>
          <w:numId w:val="41"/>
        </w:numPr>
        <w:spacing w:after="3" w:line="286" w:lineRule="auto"/>
        <w:ind w:right="818" w:hanging="240"/>
        <w:jc w:val="left"/>
      </w:pPr>
      <w:r>
        <w:rPr>
          <w:b/>
          <w:i/>
          <w:color w:val="141414"/>
        </w:rPr>
        <w:t xml:space="preserve">Как часто за последние </w:t>
      </w:r>
      <w:r>
        <w:rPr>
          <w:b/>
          <w:i/>
          <w:color w:val="141414"/>
          <w:u w:val="single" w:color="141414"/>
        </w:rPr>
        <w:t>4 недели</w:t>
      </w:r>
      <w:r>
        <w:rPr>
          <w:b/>
          <w:i/>
          <w:color w:val="141414"/>
        </w:rPr>
        <w:t xml:space="preserve"> Вы отмечали у себя затрудненное </w:t>
      </w:r>
      <w:r>
        <w:rPr>
          <w:b/>
          <w:i/>
          <w:color w:val="141414"/>
        </w:rPr>
        <w:tab/>
      </w:r>
      <w:r>
        <w:rPr>
          <w:i/>
          <w:color w:val="141414"/>
        </w:rPr>
        <w:t xml:space="preserve"> </w:t>
      </w:r>
      <w:r>
        <w:rPr>
          <w:b/>
          <w:i/>
          <w:color w:val="141414"/>
        </w:rPr>
        <w:t>дыхание?</w:t>
      </w:r>
      <w:r>
        <w:rPr>
          <w:i/>
          <w:color w:val="141414"/>
        </w:rPr>
        <w:t xml:space="preserve"> </w:t>
      </w:r>
    </w:p>
    <w:p w:rsidR="00F15F71" w:rsidRDefault="00F974CD">
      <w:pPr>
        <w:spacing w:after="11" w:line="271" w:lineRule="auto"/>
        <w:ind w:left="420" w:right="2167" w:hanging="389"/>
        <w:jc w:val="left"/>
      </w:pPr>
      <w:r>
        <w:rPr>
          <w:color w:val="141414"/>
        </w:rPr>
        <w:t xml:space="preserve">чаще, чем раз </w:t>
      </w:r>
      <w:r>
        <w:rPr>
          <w:color w:val="141414"/>
        </w:rPr>
        <w:tab/>
        <w:t>1 раз в день</w:t>
      </w:r>
      <w:r>
        <w:rPr>
          <w:i/>
          <w:color w:val="141414"/>
        </w:rPr>
        <w:t xml:space="preserve"> </w:t>
      </w:r>
      <w:r>
        <w:rPr>
          <w:i/>
          <w:color w:val="141414"/>
        </w:rPr>
        <w:tab/>
      </w:r>
      <w:r>
        <w:rPr>
          <w:color w:val="141414"/>
        </w:rPr>
        <w:t xml:space="preserve">от 3 до 6 раз в </w:t>
      </w:r>
      <w:r>
        <w:rPr>
          <w:color w:val="141414"/>
        </w:rPr>
        <w:tab/>
        <w:t xml:space="preserve">1 или два раза </w:t>
      </w:r>
      <w:r>
        <w:rPr>
          <w:color w:val="141414"/>
        </w:rPr>
        <w:tab/>
        <w:t>ни разу</w:t>
      </w:r>
      <w:r>
        <w:rPr>
          <w:i/>
          <w:color w:val="141414"/>
        </w:rPr>
        <w:t xml:space="preserve"> </w:t>
      </w:r>
      <w:r>
        <w:rPr>
          <w:color w:val="141414"/>
        </w:rPr>
        <w:t>в день</w:t>
      </w:r>
      <w:r>
        <w:rPr>
          <w:i/>
          <w:color w:val="141414"/>
        </w:rPr>
        <w:t xml:space="preserve"> </w:t>
      </w:r>
      <w:r>
        <w:rPr>
          <w:i/>
          <w:color w:val="141414"/>
        </w:rPr>
        <w:tab/>
      </w:r>
      <w:r>
        <w:rPr>
          <w:color w:val="141414"/>
        </w:rPr>
        <w:t>неделю</w:t>
      </w:r>
      <w:r>
        <w:rPr>
          <w:i/>
          <w:color w:val="141414"/>
        </w:rPr>
        <w:t xml:space="preserve"> </w:t>
      </w:r>
      <w:r>
        <w:rPr>
          <w:i/>
          <w:color w:val="141414"/>
        </w:rPr>
        <w:tab/>
      </w:r>
      <w:r>
        <w:rPr>
          <w:color w:val="141414"/>
        </w:rPr>
        <w:t>в неделю</w:t>
      </w:r>
      <w:r>
        <w:rPr>
          <w:i/>
          <w:color w:val="141414"/>
        </w:rPr>
        <w:t xml:space="preserve"> </w:t>
      </w:r>
    </w:p>
    <w:p w:rsidR="00F15F71" w:rsidRDefault="00F974CD">
      <w:pPr>
        <w:tabs>
          <w:tab w:val="center" w:pos="744"/>
          <w:tab w:val="center" w:pos="2451"/>
          <w:tab w:val="center" w:pos="4157"/>
          <w:tab w:val="center" w:pos="5864"/>
          <w:tab w:val="center" w:pos="7485"/>
        </w:tabs>
        <w:spacing w:after="42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  <w:color w:val="C00000"/>
        </w:rPr>
        <w:t xml:space="preserve">1 </w:t>
      </w:r>
      <w:r>
        <w:rPr>
          <w:b/>
          <w:color w:val="C00000"/>
        </w:rPr>
        <w:tab/>
        <w:t xml:space="preserve">2 </w:t>
      </w:r>
      <w:r>
        <w:rPr>
          <w:b/>
          <w:color w:val="C00000"/>
        </w:rPr>
        <w:tab/>
        <w:t xml:space="preserve">3 </w:t>
      </w:r>
      <w:r>
        <w:rPr>
          <w:b/>
          <w:color w:val="C00000"/>
        </w:rPr>
        <w:tab/>
        <w:t xml:space="preserve">4 </w:t>
      </w:r>
      <w:r>
        <w:rPr>
          <w:b/>
          <w:color w:val="C00000"/>
        </w:rPr>
        <w:tab/>
        <w:t xml:space="preserve">5 </w:t>
      </w:r>
    </w:p>
    <w:p w:rsidR="00F15F71" w:rsidRDefault="00F974CD">
      <w:pPr>
        <w:numPr>
          <w:ilvl w:val="0"/>
          <w:numId w:val="41"/>
        </w:numPr>
        <w:spacing w:after="3" w:line="286" w:lineRule="auto"/>
        <w:ind w:right="818" w:hanging="240"/>
        <w:jc w:val="left"/>
      </w:pPr>
      <w:r>
        <w:rPr>
          <w:noProof/>
        </w:rPr>
        <w:drawing>
          <wp:anchor distT="0" distB="0" distL="114300" distR="114300" simplePos="0" relativeHeight="251661312" behindDoc="1" locked="0" layoutInCell="1" allowOverlap="0">
            <wp:simplePos x="0" y="0"/>
            <wp:positionH relativeFrom="column">
              <wp:posOffset>-75996</wp:posOffset>
            </wp:positionH>
            <wp:positionV relativeFrom="paragraph">
              <wp:posOffset>-1846301</wp:posOffset>
            </wp:positionV>
            <wp:extent cx="5949696" cy="3233928"/>
            <wp:effectExtent l="0" t="0" r="0" b="0"/>
            <wp:wrapNone/>
            <wp:docPr id="270434" name="Picture 2704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434" name="Picture 270434"/>
                    <pic:cNvPicPr/>
                  </pic:nvPicPr>
                  <pic:blipFill>
                    <a:blip r:embed="rId1521"/>
                    <a:stretch>
                      <a:fillRect/>
                    </a:stretch>
                  </pic:blipFill>
                  <pic:spPr>
                    <a:xfrm>
                      <a:off x="0" y="0"/>
                      <a:ext cx="5949696" cy="32339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color w:val="141414"/>
        </w:rPr>
        <w:t xml:space="preserve">Как часто за последние </w:t>
      </w:r>
      <w:r>
        <w:rPr>
          <w:b/>
          <w:i/>
          <w:color w:val="141414"/>
          <w:u w:val="single" w:color="141414"/>
        </w:rPr>
        <w:t>4 недели</w:t>
      </w:r>
      <w:r>
        <w:rPr>
          <w:b/>
          <w:i/>
          <w:color w:val="141414"/>
        </w:rPr>
        <w:t xml:space="preserve"> Вы просыпались ночью или раньше, чем </w:t>
      </w:r>
      <w:r>
        <w:rPr>
          <w:b/>
          <w:i/>
          <w:color w:val="141414"/>
        </w:rPr>
        <w:tab/>
      </w:r>
      <w:r>
        <w:rPr>
          <w:i/>
          <w:color w:val="141414"/>
        </w:rPr>
        <w:t xml:space="preserve"> </w:t>
      </w:r>
      <w:r>
        <w:rPr>
          <w:b/>
          <w:i/>
          <w:color w:val="141414"/>
        </w:rPr>
        <w:t>обычно, из-за симптомов астмы (свистящего дыхания, кашля, затр</w:t>
      </w:r>
      <w:r>
        <w:rPr>
          <w:b/>
          <w:i/>
          <w:color w:val="141414"/>
        </w:rPr>
        <w:t>удненного дыхания, чувства стеснения или боли в груди)?</w:t>
      </w:r>
      <w:r>
        <w:rPr>
          <w:i/>
          <w:color w:val="141414"/>
        </w:rPr>
        <w:t xml:space="preserve"> </w:t>
      </w:r>
    </w:p>
    <w:p w:rsidR="00F15F71" w:rsidRDefault="00F974CD">
      <w:pPr>
        <w:spacing w:after="11" w:line="271" w:lineRule="auto"/>
        <w:ind w:left="144" w:right="2167" w:firstLine="175"/>
        <w:jc w:val="left"/>
      </w:pPr>
      <w:r>
        <w:rPr>
          <w:color w:val="141414"/>
        </w:rPr>
        <w:t xml:space="preserve">4 ночи в </w:t>
      </w:r>
      <w:r>
        <w:rPr>
          <w:color w:val="141414"/>
        </w:rPr>
        <w:tab/>
        <w:t xml:space="preserve">2-3 ночи в </w:t>
      </w:r>
      <w:r>
        <w:rPr>
          <w:color w:val="141414"/>
        </w:rPr>
        <w:tab/>
        <w:t xml:space="preserve">1 раз в </w:t>
      </w:r>
      <w:r>
        <w:rPr>
          <w:color w:val="141414"/>
        </w:rPr>
        <w:tab/>
        <w:t>1 или 2 раза</w:t>
      </w:r>
      <w:r>
        <w:rPr>
          <w:i/>
          <w:color w:val="141414"/>
        </w:rPr>
        <w:t xml:space="preserve"> </w:t>
      </w:r>
      <w:r>
        <w:rPr>
          <w:i/>
          <w:color w:val="141414"/>
        </w:rPr>
        <w:tab/>
      </w:r>
      <w:r>
        <w:rPr>
          <w:color w:val="141414"/>
        </w:rPr>
        <w:t>ни разу</w:t>
      </w:r>
      <w:r>
        <w:rPr>
          <w:i/>
          <w:color w:val="141414"/>
        </w:rPr>
        <w:t xml:space="preserve"> </w:t>
      </w:r>
      <w:r>
        <w:rPr>
          <w:color w:val="141414"/>
        </w:rPr>
        <w:t xml:space="preserve">неделю или </w:t>
      </w:r>
      <w:r>
        <w:rPr>
          <w:color w:val="141414"/>
        </w:rPr>
        <w:tab/>
        <w:t>неделю</w:t>
      </w:r>
      <w:r>
        <w:rPr>
          <w:i/>
          <w:color w:val="141414"/>
        </w:rPr>
        <w:t xml:space="preserve"> </w:t>
      </w:r>
      <w:r>
        <w:rPr>
          <w:i/>
          <w:color w:val="141414"/>
        </w:rPr>
        <w:tab/>
      </w:r>
      <w:r>
        <w:rPr>
          <w:color w:val="141414"/>
        </w:rPr>
        <w:t>неделю</w:t>
      </w:r>
      <w:r>
        <w:rPr>
          <w:i/>
          <w:color w:val="141414"/>
        </w:rPr>
        <w:t xml:space="preserve"> </w:t>
      </w:r>
      <w:r>
        <w:rPr>
          <w:color w:val="141414"/>
        </w:rPr>
        <w:t>чаще</w:t>
      </w:r>
      <w:r>
        <w:rPr>
          <w:i/>
          <w:color w:val="141414"/>
        </w:rPr>
        <w:t xml:space="preserve"> </w:t>
      </w:r>
    </w:p>
    <w:p w:rsidR="00F15F71" w:rsidRDefault="00F974CD">
      <w:pPr>
        <w:tabs>
          <w:tab w:val="center" w:pos="744"/>
          <w:tab w:val="center" w:pos="2451"/>
          <w:tab w:val="center" w:pos="4157"/>
          <w:tab w:val="center" w:pos="5864"/>
          <w:tab w:val="center" w:pos="7485"/>
        </w:tabs>
        <w:spacing w:after="42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  <w:color w:val="C00000"/>
        </w:rPr>
        <w:t xml:space="preserve">1 </w:t>
      </w:r>
      <w:r>
        <w:rPr>
          <w:b/>
          <w:color w:val="C00000"/>
        </w:rPr>
        <w:tab/>
        <w:t xml:space="preserve">2 </w:t>
      </w:r>
      <w:r>
        <w:rPr>
          <w:b/>
          <w:color w:val="C00000"/>
        </w:rPr>
        <w:tab/>
        <w:t xml:space="preserve">3 </w:t>
      </w:r>
      <w:r>
        <w:rPr>
          <w:b/>
          <w:color w:val="C00000"/>
        </w:rPr>
        <w:tab/>
        <w:t xml:space="preserve">4 </w:t>
      </w:r>
      <w:r>
        <w:rPr>
          <w:b/>
          <w:color w:val="C00000"/>
        </w:rPr>
        <w:tab/>
        <w:t xml:space="preserve">5 </w:t>
      </w:r>
    </w:p>
    <w:p w:rsidR="00F15F71" w:rsidRDefault="00F974CD">
      <w:pPr>
        <w:numPr>
          <w:ilvl w:val="0"/>
          <w:numId w:val="41"/>
        </w:numPr>
        <w:spacing w:after="3" w:line="286" w:lineRule="auto"/>
        <w:ind w:right="818" w:hanging="240"/>
        <w:jc w:val="left"/>
      </w:pPr>
      <w:r>
        <w:rPr>
          <w:b/>
          <w:i/>
          <w:color w:val="141414"/>
        </w:rPr>
        <w:t xml:space="preserve">Как часто за последние </w:t>
      </w:r>
      <w:r>
        <w:rPr>
          <w:b/>
          <w:i/>
          <w:color w:val="141414"/>
          <w:u w:val="single" w:color="141414"/>
        </w:rPr>
        <w:t>4 недели</w:t>
      </w:r>
      <w:r>
        <w:rPr>
          <w:b/>
          <w:i/>
          <w:color w:val="141414"/>
        </w:rPr>
        <w:t xml:space="preserve"> Вы использовали быстродействующий </w:t>
      </w:r>
      <w:r>
        <w:rPr>
          <w:b/>
          <w:i/>
          <w:color w:val="141414"/>
        </w:rPr>
        <w:tab/>
      </w:r>
      <w:r>
        <w:rPr>
          <w:i/>
          <w:color w:val="141414"/>
        </w:rPr>
        <w:t xml:space="preserve"> </w:t>
      </w:r>
    </w:p>
    <w:tbl>
      <w:tblPr>
        <w:tblStyle w:val="TableGrid"/>
        <w:tblW w:w="9346" w:type="dxa"/>
        <w:tblInd w:w="-107" w:type="dxa"/>
        <w:tblCellMar>
          <w:top w:w="9" w:type="dxa"/>
          <w:left w:w="0" w:type="dxa"/>
          <w:bottom w:w="1" w:type="dxa"/>
          <w:right w:w="0" w:type="dxa"/>
        </w:tblCellMar>
        <w:tblLook w:val="04A0" w:firstRow="1" w:lastRow="0" w:firstColumn="1" w:lastColumn="0" w:noHBand="0" w:noVBand="1"/>
      </w:tblPr>
      <w:tblGrid>
        <w:gridCol w:w="170"/>
        <w:gridCol w:w="186"/>
        <w:gridCol w:w="457"/>
        <w:gridCol w:w="146"/>
        <w:gridCol w:w="386"/>
        <w:gridCol w:w="188"/>
        <w:gridCol w:w="172"/>
        <w:gridCol w:w="149"/>
        <w:gridCol w:w="192"/>
        <w:gridCol w:w="207"/>
        <w:gridCol w:w="72"/>
        <w:gridCol w:w="195"/>
        <w:gridCol w:w="146"/>
        <w:gridCol w:w="125"/>
        <w:gridCol w:w="72"/>
        <w:gridCol w:w="206"/>
        <w:gridCol w:w="194"/>
        <w:gridCol w:w="149"/>
        <w:gridCol w:w="149"/>
        <w:gridCol w:w="84"/>
        <w:gridCol w:w="108"/>
        <w:gridCol w:w="118"/>
        <w:gridCol w:w="356"/>
        <w:gridCol w:w="146"/>
        <w:gridCol w:w="286"/>
        <w:gridCol w:w="118"/>
        <w:gridCol w:w="110"/>
        <w:gridCol w:w="84"/>
        <w:gridCol w:w="149"/>
        <w:gridCol w:w="144"/>
        <w:gridCol w:w="108"/>
        <w:gridCol w:w="89"/>
        <w:gridCol w:w="148"/>
        <w:gridCol w:w="114"/>
        <w:gridCol w:w="212"/>
        <w:gridCol w:w="146"/>
        <w:gridCol w:w="142"/>
        <w:gridCol w:w="116"/>
        <w:gridCol w:w="145"/>
        <w:gridCol w:w="91"/>
        <w:gridCol w:w="108"/>
        <w:gridCol w:w="146"/>
        <w:gridCol w:w="108"/>
        <w:gridCol w:w="120"/>
        <w:gridCol w:w="157"/>
        <w:gridCol w:w="218"/>
        <w:gridCol w:w="161"/>
        <w:gridCol w:w="161"/>
        <w:gridCol w:w="218"/>
        <w:gridCol w:w="156"/>
        <w:gridCol w:w="120"/>
        <w:gridCol w:w="112"/>
        <w:gridCol w:w="988"/>
      </w:tblGrid>
      <w:tr w:rsidR="00F15F71">
        <w:trPr>
          <w:trHeight w:val="838"/>
        </w:trPr>
        <w:tc>
          <w:tcPr>
            <w:tcW w:w="8358" w:type="dxa"/>
            <w:gridSpan w:val="5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/>
          </w:tcPr>
          <w:p w:rsidR="00F15F71" w:rsidRDefault="00F974CD">
            <w:pPr>
              <w:spacing w:after="0" w:line="259" w:lineRule="auto"/>
              <w:ind w:left="107" w:firstLine="0"/>
              <w:jc w:val="left"/>
            </w:pPr>
            <w:r>
              <w:rPr>
                <w:b/>
                <w:i/>
                <w:color w:val="141414"/>
              </w:rPr>
              <w:t>ингалятор (например, Вентолин, Беродуал, Атровент, Сальбутамол) или небулайзер (аэрозольный аппарат) с лекарством (например, Беротек, Беродуал, Вентолин небулы)?</w:t>
            </w: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9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281"/>
        </w:trPr>
        <w:tc>
          <w:tcPr>
            <w:tcW w:w="1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3" w:type="dxa"/>
            <w:gridSpan w:val="5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28" w:firstLine="0"/>
            </w:pPr>
            <w:r>
              <w:rPr>
                <w:color w:val="141414"/>
              </w:rPr>
              <w:t>3 раза в день</w:t>
            </w:r>
          </w:p>
        </w:tc>
        <w:tc>
          <w:tcPr>
            <w:tcW w:w="172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28" w:firstLine="0"/>
              <w:jc w:val="left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1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09" w:type="dxa"/>
            <w:gridSpan w:val="9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5" w:firstLine="0"/>
            </w:pPr>
            <w:r>
              <w:rPr>
                <w:color w:val="141414"/>
              </w:rPr>
              <w:t>1 или 2 раза в</w:t>
            </w:r>
          </w:p>
        </w:tc>
        <w:tc>
          <w:tcPr>
            <w:tcW w:w="149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6" w:firstLine="0"/>
              <w:jc w:val="left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1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09" w:type="dxa"/>
            <w:gridSpan w:val="9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5" w:firstLine="0"/>
            </w:pPr>
            <w:r>
              <w:rPr>
                <w:color w:val="141414"/>
              </w:rPr>
              <w:t>2 или 3 раза в</w:t>
            </w:r>
          </w:p>
        </w:tc>
        <w:tc>
          <w:tcPr>
            <w:tcW w:w="149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5" w:firstLine="0"/>
              <w:jc w:val="left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488" w:type="dxa"/>
            <w:gridSpan w:val="4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30" w:type="dxa"/>
            <w:gridSpan w:val="5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28" w:firstLine="0"/>
            </w:pPr>
            <w:r>
              <w:rPr>
                <w:color w:val="141414"/>
              </w:rPr>
              <w:t>1 раз в</w:t>
            </w:r>
          </w:p>
        </w:tc>
        <w:tc>
          <w:tcPr>
            <w:tcW w:w="491" w:type="dxa"/>
            <w:gridSpan w:val="4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27" w:firstLine="0"/>
              <w:jc w:val="left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38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58" w:type="dxa"/>
            <w:gridSpan w:val="4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right="-2" w:firstLine="0"/>
            </w:pPr>
            <w:r>
              <w:rPr>
                <w:color w:val="141414"/>
              </w:rPr>
              <w:t>ни разу</w:t>
            </w:r>
          </w:p>
        </w:tc>
        <w:tc>
          <w:tcPr>
            <w:tcW w:w="388" w:type="dxa"/>
            <w:gridSpan w:val="3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27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8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17" w:firstLine="0"/>
            </w:pPr>
            <w:r>
              <w:rPr>
                <w:color w:val="141414"/>
              </w:rPr>
              <w:t>или чаще</w:t>
            </w:r>
          </w:p>
        </w:tc>
        <w:tc>
          <w:tcPr>
            <w:tcW w:w="188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-17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71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right="-1" w:firstLine="0"/>
            </w:pPr>
            <w:r>
              <w:rPr>
                <w:color w:val="141414"/>
              </w:rPr>
              <w:t>день</w:t>
            </w:r>
          </w:p>
        </w:tc>
        <w:tc>
          <w:tcPr>
            <w:tcW w:w="473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0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8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12" w:firstLine="0"/>
            </w:pPr>
            <w:r>
              <w:rPr>
                <w:color w:val="141414"/>
              </w:rPr>
              <w:t>неделю</w:t>
            </w:r>
          </w:p>
        </w:tc>
        <w:tc>
          <w:tcPr>
            <w:tcW w:w="312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-12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2" w:type="dxa"/>
            <w:gridSpan w:val="2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0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color w:val="141414"/>
              </w:rPr>
              <w:t>неделю или</w:t>
            </w:r>
          </w:p>
        </w:tc>
        <w:tc>
          <w:tcPr>
            <w:tcW w:w="254" w:type="dxa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1" w:firstLine="0"/>
              <w:jc w:val="left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0" w:type="auto"/>
            <w:gridSpan w:val="3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58" w:type="dxa"/>
            <w:gridSpan w:val="4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2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66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87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9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color w:val="141414"/>
              </w:rPr>
              <w:t>реже</w:t>
            </w:r>
          </w:p>
        </w:tc>
        <w:tc>
          <w:tcPr>
            <w:tcW w:w="353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4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288"/>
        </w:trPr>
        <w:tc>
          <w:tcPr>
            <w:tcW w:w="8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8" w:space="0" w:color="FCFCFF"/>
            </w:tcBorders>
            <w:vAlign w:val="bottom"/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92" w:type="dxa"/>
            <w:gridSpan w:val="4"/>
            <w:tcBorders>
              <w:top w:val="single" w:sz="4" w:space="0" w:color="000000"/>
              <w:left w:val="single" w:sz="48" w:space="0" w:color="FCFCFF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22" w:firstLine="0"/>
              <w:jc w:val="left"/>
            </w:pPr>
            <w:r>
              <w:rPr>
                <w:b/>
                <w:color w:val="C00000"/>
              </w:rPr>
              <w:t xml:space="preserve">1 </w:t>
            </w:r>
          </w:p>
        </w:tc>
        <w:tc>
          <w:tcPr>
            <w:tcW w:w="81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8" w:space="0" w:color="FCFCFF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92" w:type="dxa"/>
            <w:gridSpan w:val="6"/>
            <w:tcBorders>
              <w:top w:val="single" w:sz="4" w:space="0" w:color="000000"/>
              <w:left w:val="single" w:sz="48" w:space="0" w:color="FCFCFF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22" w:firstLine="0"/>
              <w:jc w:val="left"/>
            </w:pPr>
            <w:r>
              <w:rPr>
                <w:b/>
                <w:color w:val="C00000"/>
              </w:rPr>
              <w:t xml:space="preserve">2 </w:t>
            </w:r>
          </w:p>
        </w:tc>
        <w:tc>
          <w:tcPr>
            <w:tcW w:w="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8" w:space="0" w:color="FCFCFF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93" w:type="dxa"/>
            <w:gridSpan w:val="6"/>
            <w:tcBorders>
              <w:top w:val="single" w:sz="4" w:space="0" w:color="000000"/>
              <w:left w:val="single" w:sz="48" w:space="0" w:color="FCFCFF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22" w:firstLine="0"/>
              <w:jc w:val="left"/>
            </w:pPr>
            <w:r>
              <w:rPr>
                <w:b/>
                <w:color w:val="C00000"/>
              </w:rPr>
              <w:t xml:space="preserve">3 </w:t>
            </w:r>
          </w:p>
        </w:tc>
        <w:tc>
          <w:tcPr>
            <w:tcW w:w="8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8" w:space="0" w:color="FCFCFF"/>
            </w:tcBorders>
            <w:vAlign w:val="bottom"/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95" w:type="dxa"/>
            <w:gridSpan w:val="7"/>
            <w:tcBorders>
              <w:top w:val="single" w:sz="4" w:space="0" w:color="000000"/>
              <w:left w:val="single" w:sz="48" w:space="0" w:color="FCFCFF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22" w:firstLine="0"/>
              <w:jc w:val="left"/>
            </w:pPr>
            <w:r>
              <w:rPr>
                <w:b/>
                <w:color w:val="C00000"/>
              </w:rPr>
              <w:t xml:space="preserve">4 </w:t>
            </w:r>
          </w:p>
        </w:tc>
        <w:tc>
          <w:tcPr>
            <w:tcW w:w="76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8" w:space="0" w:color="FCFCFF"/>
            </w:tcBorders>
          </w:tcPr>
          <w:p w:rsidR="00F15F71" w:rsidRDefault="00F974CD">
            <w:pPr>
              <w:spacing w:after="0" w:line="259" w:lineRule="auto"/>
              <w:ind w:left="0" w:right="-60" w:firstLine="0"/>
              <w:jc w:val="right"/>
            </w:pPr>
            <w:r>
              <w:rPr>
                <w:b/>
                <w:color w:val="C00000"/>
              </w:rPr>
              <w:t>5</w:t>
            </w:r>
          </w:p>
        </w:tc>
        <w:tc>
          <w:tcPr>
            <w:tcW w:w="767" w:type="dxa"/>
            <w:gridSpan w:val="5"/>
            <w:tcBorders>
              <w:top w:val="single" w:sz="4" w:space="0" w:color="000000"/>
              <w:left w:val="single" w:sz="48" w:space="0" w:color="FCFCFF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60" w:firstLine="0"/>
              <w:jc w:val="left"/>
            </w:pPr>
            <w:r>
              <w:rPr>
                <w:b/>
                <w:color w:val="C00000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560"/>
        </w:trPr>
        <w:tc>
          <w:tcPr>
            <w:tcW w:w="8358" w:type="dxa"/>
            <w:gridSpan w:val="5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/>
          </w:tcPr>
          <w:p w:rsidR="00F15F71" w:rsidRDefault="00F974CD">
            <w:pPr>
              <w:spacing w:after="0" w:line="259" w:lineRule="auto"/>
              <w:ind w:left="107" w:firstLine="0"/>
              <w:jc w:val="left"/>
            </w:pPr>
            <w:r>
              <w:rPr>
                <w:b/>
                <w:i/>
                <w:color w:val="141414"/>
              </w:rPr>
              <w:t xml:space="preserve">5. Как бы Вы оценили, насколько Вам удавалось контролировать астму за последние </w:t>
            </w:r>
            <w:r>
              <w:rPr>
                <w:b/>
                <w:i/>
                <w:color w:val="141414"/>
                <w:u w:val="single" w:color="141414"/>
              </w:rPr>
              <w:t>4 недели</w:t>
            </w:r>
            <w:r>
              <w:rPr>
                <w:b/>
                <w:i/>
                <w:color w:val="141414"/>
              </w:rPr>
              <w:t>?</w:t>
            </w: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9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09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</w:tr>
      <w:tr w:rsidR="00F15F71">
        <w:trPr>
          <w:trHeight w:val="281"/>
        </w:trPr>
        <w:tc>
          <w:tcPr>
            <w:tcW w:w="35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89" w:type="dxa"/>
            <w:gridSpan w:val="3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-5" w:right="-5" w:firstLine="0"/>
            </w:pPr>
            <w:r>
              <w:rPr>
                <w:color w:val="141414"/>
              </w:rPr>
              <w:t xml:space="preserve">совсем не </w:t>
            </w:r>
          </w:p>
        </w:tc>
        <w:tc>
          <w:tcPr>
            <w:tcW w:w="360" w:type="dxa"/>
            <w:gridSpan w:val="2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48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10" w:type="dxa"/>
            <w:gridSpan w:val="5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color w:val="141414"/>
              </w:rPr>
              <w:t>плохо</w:t>
            </w:r>
          </w:p>
        </w:tc>
        <w:tc>
          <w:tcPr>
            <w:tcW w:w="550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23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41" w:type="dxa"/>
            <w:gridSpan w:val="7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color w:val="141414"/>
              </w:rPr>
              <w:t>в некоторой</w:t>
            </w:r>
          </w:p>
        </w:tc>
        <w:tc>
          <w:tcPr>
            <w:tcW w:w="233" w:type="dxa"/>
            <w:gridSpan w:val="2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1" w:firstLine="0"/>
              <w:jc w:val="left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488" w:type="dxa"/>
            <w:gridSpan w:val="4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30" w:type="dxa"/>
            <w:gridSpan w:val="5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-28" w:right="-28" w:firstLine="0"/>
            </w:pPr>
            <w:r>
              <w:rPr>
                <w:color w:val="141414"/>
              </w:rPr>
              <w:t xml:space="preserve">хорошо </w:t>
            </w:r>
          </w:p>
        </w:tc>
        <w:tc>
          <w:tcPr>
            <w:tcW w:w="491" w:type="dxa"/>
            <w:gridSpan w:val="4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71" w:type="dxa"/>
            <w:gridSpan w:val="6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-24" w:right="-22" w:firstLine="0"/>
            </w:pPr>
            <w:r>
              <w:rPr>
                <w:color w:val="141414"/>
              </w:rPr>
              <w:t xml:space="preserve">полностью </w:t>
            </w:r>
          </w:p>
        </w:tc>
        <w:tc>
          <w:tcPr>
            <w:tcW w:w="232" w:type="dxa"/>
            <w:gridSpan w:val="2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vAlign w:val="bottom"/>
          </w:tcPr>
          <w:p w:rsidR="00F15F71" w:rsidRDefault="00F974CD">
            <w:pPr>
              <w:spacing w:after="0" w:line="259" w:lineRule="auto"/>
              <w:ind w:left="-25" w:firstLine="0"/>
              <w:jc w:val="left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276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8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-17" w:right="-16" w:firstLine="0"/>
            </w:pPr>
            <w:r>
              <w:rPr>
                <w:color w:val="141414"/>
              </w:rPr>
              <w:t>удавал</w:t>
            </w:r>
            <w:r>
              <w:rPr>
                <w:color w:val="141414"/>
              </w:rPr>
              <w:t xml:space="preserve">ось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1" w:type="dxa"/>
            <w:gridSpan w:val="2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2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color w:val="141414"/>
              </w:rPr>
              <w:t>удавалось</w:t>
            </w:r>
          </w:p>
        </w:tc>
        <w:tc>
          <w:tcPr>
            <w:tcW w:w="343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1" w:firstLine="0"/>
              <w:jc w:val="left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8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-12" w:right="-10" w:firstLine="0"/>
            </w:pPr>
            <w:r>
              <w:rPr>
                <w:color w:val="141414"/>
              </w:rPr>
              <w:t xml:space="preserve">степени </w:t>
            </w:r>
          </w:p>
        </w:tc>
        <w:tc>
          <w:tcPr>
            <w:tcW w:w="2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41" w:type="dxa"/>
            <w:gridSpan w:val="3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2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color w:val="141414"/>
              </w:rPr>
              <w:t>удавалось</w:t>
            </w:r>
          </w:p>
        </w:tc>
        <w:tc>
          <w:tcPr>
            <w:tcW w:w="346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7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24" w:firstLine="0"/>
            </w:pPr>
            <w:r>
              <w:rPr>
                <w:color w:val="141414"/>
              </w:rPr>
              <w:t>удавалось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276"/>
        </w:trPr>
        <w:tc>
          <w:tcPr>
            <w:tcW w:w="17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-28" w:right="-28" w:firstLine="0"/>
            </w:pPr>
            <w:r>
              <w:rPr>
                <w:color w:val="141414"/>
              </w:rPr>
              <w:t>контролирова</w:t>
            </w:r>
          </w:p>
        </w:tc>
        <w:tc>
          <w:tcPr>
            <w:tcW w:w="172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9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0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-5" w:right="-5" w:firstLine="0"/>
            </w:pPr>
            <w:r>
              <w:rPr>
                <w:color w:val="141414"/>
              </w:rPr>
              <w:t>контролирова</w:t>
            </w:r>
          </w:p>
        </w:tc>
        <w:tc>
          <w:tcPr>
            <w:tcW w:w="14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8" w:type="dxa"/>
            <w:tcBorders>
              <w:top w:val="nil"/>
              <w:left w:val="nil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2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color w:val="141414"/>
              </w:rPr>
              <w:t>удавалось</w:t>
            </w:r>
          </w:p>
        </w:tc>
        <w:tc>
          <w:tcPr>
            <w:tcW w:w="110" w:type="dxa"/>
            <w:tcBorders>
              <w:top w:val="nil"/>
              <w:left w:val="nil"/>
              <w:bottom w:val="nil"/>
              <w:right w:val="nil"/>
            </w:tcBorders>
          </w:tcPr>
          <w:p w:rsidR="00F15F71" w:rsidRDefault="00F974CD">
            <w:pPr>
              <w:spacing w:after="0" w:line="259" w:lineRule="auto"/>
              <w:ind w:left="-1" w:firstLine="0"/>
            </w:pPr>
            <w:r>
              <w:rPr>
                <w:color w:val="141414"/>
              </w:rPr>
              <w:t xml:space="preserve">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4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1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right="-1" w:firstLine="0"/>
            </w:pPr>
            <w:r>
              <w:rPr>
                <w:color w:val="141414"/>
              </w:rPr>
              <w:t>контролирова</w:t>
            </w:r>
          </w:p>
        </w:tc>
        <w:tc>
          <w:tcPr>
            <w:tcW w:w="146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8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1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right="-2" w:firstLine="0"/>
            </w:pPr>
            <w:r>
              <w:rPr>
                <w:color w:val="141414"/>
              </w:rPr>
              <w:t>контролиров</w:t>
            </w:r>
          </w:p>
        </w:tc>
        <w:tc>
          <w:tcPr>
            <w:tcW w:w="112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277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43" w:type="dxa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right="-37" w:firstLine="0"/>
              <w:jc w:val="right"/>
            </w:pPr>
            <w:r>
              <w:rPr>
                <w:color w:val="141414"/>
              </w:rPr>
              <w:t>т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38" w:right="-1" w:firstLine="0"/>
            </w:pPr>
            <w:r>
              <w:rPr>
                <w:color w:val="141414"/>
              </w:rPr>
              <w:t>ь</w:t>
            </w:r>
          </w:p>
        </w:tc>
        <w:tc>
          <w:tcPr>
            <w:tcW w:w="575" w:type="dxa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66" w:type="dxa"/>
            <w:gridSpan w:val="4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right="-37" w:firstLine="0"/>
              <w:jc w:val="right"/>
            </w:pPr>
            <w:r>
              <w:rPr>
                <w:color w:val="141414"/>
              </w:rPr>
              <w:t>т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38" w:right="-1" w:firstLine="0"/>
            </w:pPr>
            <w:r>
              <w:rPr>
                <w:color w:val="141414"/>
              </w:rPr>
              <w:t>ь</w:t>
            </w:r>
          </w:p>
        </w:tc>
        <w:tc>
          <w:tcPr>
            <w:tcW w:w="597" w:type="dxa"/>
            <w:gridSpan w:val="4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9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0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-5" w:right="-5" w:firstLine="0"/>
            </w:pPr>
            <w:r>
              <w:rPr>
                <w:color w:val="141414"/>
              </w:rPr>
              <w:t>контролирова</w:t>
            </w:r>
          </w:p>
        </w:tc>
        <w:tc>
          <w:tcPr>
            <w:tcW w:w="14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70" w:type="dxa"/>
            <w:gridSpan w:val="5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right="-37" w:firstLine="0"/>
              <w:jc w:val="right"/>
            </w:pPr>
            <w:r>
              <w:rPr>
                <w:color w:val="141414"/>
              </w:rPr>
              <w:t>т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38" w:right="-1" w:firstLine="0"/>
            </w:pPr>
            <w:r>
              <w:rPr>
                <w:color w:val="141414"/>
              </w:rPr>
              <w:t>ь</w:t>
            </w:r>
          </w:p>
        </w:tc>
        <w:tc>
          <w:tcPr>
            <w:tcW w:w="602" w:type="dxa"/>
            <w:gridSpan w:val="5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95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0" w:firstLine="0"/>
            </w:pPr>
            <w:r>
              <w:rPr>
                <w:color w:val="141414"/>
              </w:rPr>
              <w:t>ать</w:t>
            </w:r>
          </w:p>
        </w:tc>
        <w:tc>
          <w:tcPr>
            <w:tcW w:w="494" w:type="dxa"/>
            <w:gridSpan w:val="3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28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6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4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6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4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665" w:type="dxa"/>
            <w:gridSpan w:val="4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right="-37" w:firstLine="0"/>
              <w:jc w:val="right"/>
            </w:pPr>
            <w:r>
              <w:rPr>
                <w:color w:val="141414"/>
              </w:rPr>
              <w:t>т</w:t>
            </w:r>
          </w:p>
        </w:tc>
        <w:tc>
          <w:tcPr>
            <w:tcW w:w="146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FCFCFF"/>
          </w:tcPr>
          <w:p w:rsidR="00F15F71" w:rsidRDefault="00F974CD">
            <w:pPr>
              <w:spacing w:after="0" w:line="259" w:lineRule="auto"/>
              <w:ind w:left="38" w:right="-1" w:firstLine="0"/>
            </w:pPr>
            <w:r>
              <w:rPr>
                <w:color w:val="141414"/>
              </w:rPr>
              <w:t>ь</w:t>
            </w:r>
          </w:p>
        </w:tc>
        <w:tc>
          <w:tcPr>
            <w:tcW w:w="598" w:type="dxa"/>
            <w:gridSpan w:val="4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5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6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5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2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288"/>
        </w:trPr>
        <w:tc>
          <w:tcPr>
            <w:tcW w:w="8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8" w:space="0" w:color="FCFCFF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92" w:type="dxa"/>
            <w:gridSpan w:val="4"/>
            <w:tcBorders>
              <w:top w:val="single" w:sz="4" w:space="0" w:color="000000"/>
              <w:left w:val="single" w:sz="48" w:space="0" w:color="FCFCFF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22" w:firstLine="0"/>
              <w:jc w:val="left"/>
            </w:pPr>
            <w:r>
              <w:rPr>
                <w:b/>
                <w:color w:val="C00000"/>
              </w:rPr>
              <w:t xml:space="preserve">1 </w:t>
            </w:r>
          </w:p>
        </w:tc>
        <w:tc>
          <w:tcPr>
            <w:tcW w:w="81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8" w:space="0" w:color="FCFCFF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92" w:type="dxa"/>
            <w:gridSpan w:val="6"/>
            <w:tcBorders>
              <w:top w:val="single" w:sz="4" w:space="0" w:color="000000"/>
              <w:left w:val="single" w:sz="48" w:space="0" w:color="FCFCFF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22" w:firstLine="0"/>
              <w:jc w:val="left"/>
            </w:pPr>
            <w:r>
              <w:rPr>
                <w:b/>
                <w:color w:val="C00000"/>
              </w:rPr>
              <w:t xml:space="preserve">2 </w:t>
            </w:r>
          </w:p>
        </w:tc>
        <w:tc>
          <w:tcPr>
            <w:tcW w:w="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8" w:space="0" w:color="FCFCFF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93" w:type="dxa"/>
            <w:gridSpan w:val="6"/>
            <w:tcBorders>
              <w:top w:val="single" w:sz="4" w:space="0" w:color="000000"/>
              <w:left w:val="single" w:sz="48" w:space="0" w:color="FCFCFF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22" w:firstLine="0"/>
              <w:jc w:val="left"/>
            </w:pPr>
            <w:r>
              <w:rPr>
                <w:b/>
                <w:color w:val="C00000"/>
              </w:rPr>
              <w:t xml:space="preserve">3 </w:t>
            </w:r>
          </w:p>
        </w:tc>
        <w:tc>
          <w:tcPr>
            <w:tcW w:w="8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8" w:space="0" w:color="FCFCFF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95" w:type="dxa"/>
            <w:gridSpan w:val="7"/>
            <w:tcBorders>
              <w:top w:val="single" w:sz="4" w:space="0" w:color="000000"/>
              <w:left w:val="single" w:sz="48" w:space="0" w:color="FCFCFF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-22" w:firstLine="0"/>
              <w:jc w:val="left"/>
            </w:pPr>
            <w:r>
              <w:rPr>
                <w:b/>
                <w:color w:val="C00000"/>
              </w:rPr>
              <w:t xml:space="preserve">4 </w:t>
            </w:r>
          </w:p>
        </w:tc>
        <w:tc>
          <w:tcPr>
            <w:tcW w:w="76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8" w:space="0" w:color="FCFCFF"/>
            </w:tcBorders>
          </w:tcPr>
          <w:p w:rsidR="00F15F71" w:rsidRDefault="00F974CD">
            <w:pPr>
              <w:spacing w:after="0" w:line="259" w:lineRule="auto"/>
              <w:ind w:left="0" w:right="-60" w:firstLine="0"/>
              <w:jc w:val="right"/>
            </w:pPr>
            <w:r>
              <w:rPr>
                <w:b/>
                <w:color w:val="C00000"/>
              </w:rPr>
              <w:t>5</w:t>
            </w:r>
          </w:p>
        </w:tc>
        <w:tc>
          <w:tcPr>
            <w:tcW w:w="767" w:type="dxa"/>
            <w:gridSpan w:val="5"/>
            <w:tcBorders>
              <w:top w:val="single" w:sz="4" w:space="0" w:color="000000"/>
              <w:left w:val="single" w:sz="48" w:space="0" w:color="FCFCFF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60" w:firstLine="0"/>
              <w:jc w:val="left"/>
            </w:pPr>
            <w:r>
              <w:rPr>
                <w:b/>
                <w:color w:val="C00000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trHeight w:val="560"/>
        </w:trPr>
        <w:tc>
          <w:tcPr>
            <w:tcW w:w="8358" w:type="dxa"/>
            <w:gridSpan w:val="5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4C6E7"/>
          </w:tcPr>
          <w:p w:rsidR="00F15F71" w:rsidRDefault="00F974CD">
            <w:pPr>
              <w:spacing w:after="0" w:line="259" w:lineRule="auto"/>
              <w:ind w:left="107" w:firstLine="0"/>
              <w:jc w:val="left"/>
            </w:pPr>
            <w:r>
              <w:rPr>
                <w:b/>
                <w:i/>
                <w:color w:val="141414"/>
              </w:rPr>
              <w:t xml:space="preserve">Итого </w:t>
            </w:r>
          </w:p>
        </w:tc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109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  <w:p w:rsidR="00F15F71" w:rsidRDefault="00F974CD">
            <w:pPr>
              <w:spacing w:after="0" w:line="259" w:lineRule="auto"/>
              <w:ind w:left="109" w:firstLine="0"/>
              <w:jc w:val="left"/>
            </w:pPr>
            <w:r>
              <w:rPr>
                <w:i/>
                <w:color w:val="141414"/>
              </w:rPr>
              <w:t xml:space="preserve"> </w:t>
            </w:r>
          </w:p>
        </w:tc>
      </w:tr>
    </w:tbl>
    <w:p w:rsidR="00F15F71" w:rsidRDefault="00F974CD">
      <w:pPr>
        <w:spacing w:after="198" w:line="259" w:lineRule="auto"/>
        <w:ind w:left="401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72" w:line="259" w:lineRule="auto"/>
        <w:ind w:left="10" w:right="839"/>
        <w:jc w:val="right"/>
      </w:pPr>
      <w:r>
        <w:t>Ключ (интерпретация):</w:t>
      </w:r>
      <w:r>
        <w:rPr>
          <w:sz w:val="28"/>
        </w:rPr>
        <w:t xml:space="preserve"> </w:t>
      </w:r>
      <w:r>
        <w:rPr>
          <w:b/>
        </w:rPr>
        <w:t xml:space="preserve">шкала ACT включает в себя 5 пунктов для </w:t>
      </w:r>
    </w:p>
    <w:p w:rsidR="00F15F71" w:rsidRDefault="00F974CD">
      <w:pPr>
        <w:spacing w:line="390" w:lineRule="auto"/>
        <w:ind w:left="-5" w:right="850"/>
      </w:pPr>
      <w:r>
        <w:rPr>
          <w:b/>
        </w:rPr>
        <w:t>самостоятельного заполнения пациентом, каждому пункту присваивается значение от 1 до 5 баллов, которые затем суммируются (общее значение шкалы – 5–</w:t>
      </w:r>
      <w:r>
        <w:rPr>
          <w:b/>
        </w:rPr>
        <w:t xml:space="preserve">25 баллов). Сумма 25 баллов означает полный контроль; сумма 20-24 балла означает, что астма контролируется хорошо; сумма 19 баллов и меньше свидетельствует о неконтролируемой астме. </w:t>
      </w:r>
    </w:p>
    <w:p w:rsidR="00F15F71" w:rsidRDefault="00F974CD">
      <w:pPr>
        <w:spacing w:after="185" w:line="259" w:lineRule="auto"/>
        <w:ind w:left="718" w:right="841"/>
      </w:pPr>
      <w:r>
        <w:t>Пояснения:</w:t>
      </w:r>
      <w:r>
        <w:rPr>
          <w:b/>
        </w:rPr>
        <w:t xml:space="preserve">  </w:t>
      </w:r>
    </w:p>
    <w:p w:rsidR="00F15F71" w:rsidRDefault="00F974CD">
      <w:pPr>
        <w:numPr>
          <w:ilvl w:val="2"/>
          <w:numId w:val="42"/>
        </w:numPr>
        <w:spacing w:after="66" w:line="259" w:lineRule="auto"/>
        <w:ind w:right="850" w:hanging="348"/>
      </w:pPr>
      <w:r>
        <w:rPr>
          <w:b/>
        </w:rPr>
        <w:t xml:space="preserve">25 баллов - Вы ПОЛНОСТЬЮ КОНТРОЛИРОВАЛИ астму за </w:t>
      </w:r>
    </w:p>
    <w:p w:rsidR="00F15F71" w:rsidRDefault="00F974CD">
      <w:pPr>
        <w:spacing w:line="402" w:lineRule="auto"/>
        <w:ind w:left="1438" w:right="10"/>
      </w:pPr>
      <w:r>
        <w:rPr>
          <w:b/>
        </w:rPr>
        <w:t xml:space="preserve">последние 4 недели. У Вас не было симптомов астмы и связанных с ней ограничений. Проконсультируйтесь с врачом, если ситуация изменится </w:t>
      </w:r>
    </w:p>
    <w:p w:rsidR="00F15F71" w:rsidRDefault="00F974CD">
      <w:pPr>
        <w:numPr>
          <w:ilvl w:val="2"/>
          <w:numId w:val="42"/>
        </w:numPr>
        <w:spacing w:line="401" w:lineRule="auto"/>
        <w:ind w:right="850" w:hanging="348"/>
      </w:pPr>
      <w:r>
        <w:rPr>
          <w:b/>
        </w:rPr>
        <w:t>от 20 до 24 баллов - за последние 4 недели Вы ХОРОШО КОНТРОЛИРОВАЛИ астму, но не ПОЛНОСТЬЮ. Ваш врач поможет Вам добитьс</w:t>
      </w:r>
      <w:r>
        <w:rPr>
          <w:b/>
        </w:rPr>
        <w:t xml:space="preserve">я ПОЛНОГО КОНТРОЛЯ </w:t>
      </w:r>
    </w:p>
    <w:p w:rsidR="00F15F71" w:rsidRDefault="00F974CD">
      <w:pPr>
        <w:numPr>
          <w:ilvl w:val="2"/>
          <w:numId w:val="42"/>
        </w:numPr>
        <w:spacing w:after="50" w:line="357" w:lineRule="auto"/>
        <w:ind w:right="850" w:hanging="348"/>
      </w:pPr>
      <w:r>
        <w:rPr>
          <w:b/>
        </w:rPr>
        <w:t xml:space="preserve">менее 20 баллов - за последние 4 недели Вам НЕ удавалось КОНТРОЛИРОВАТЬ астму. Ваш врач может посоветовать Вам, какие меры нужно применять, чтобы добиться улучшения контроля над </w:t>
      </w:r>
    </w:p>
    <w:p w:rsidR="00F15F71" w:rsidRDefault="00F974CD">
      <w:pPr>
        <w:spacing w:after="104" w:line="270" w:lineRule="auto"/>
        <w:ind w:left="1438" w:right="10"/>
      </w:pPr>
      <w:r>
        <w:rPr>
          <w:b/>
        </w:rPr>
        <w:t xml:space="preserve">Вашим заболеванием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0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pStyle w:val="Heading2"/>
        <w:spacing w:after="189"/>
        <w:ind w:left="1644" w:right="10"/>
      </w:pPr>
      <w:bookmarkStart w:id="74" w:name="_Toc275231"/>
      <w:r>
        <w:t>Приложение Г2. Тест по контролю</w:t>
      </w:r>
      <w:r>
        <w:t xml:space="preserve"> над астмой у детей (с-АСТ) </w:t>
      </w:r>
      <w:bookmarkEnd w:id="74"/>
    </w:p>
    <w:p w:rsidR="00F15F71" w:rsidRDefault="00F974CD">
      <w:pPr>
        <w:spacing w:after="80" w:line="270" w:lineRule="auto"/>
        <w:ind w:left="411" w:right="10"/>
      </w:pPr>
      <w:r>
        <w:t>Название на русском языке:</w:t>
      </w:r>
      <w:r>
        <w:rPr>
          <w:sz w:val="28"/>
        </w:rPr>
        <w:t xml:space="preserve"> </w:t>
      </w:r>
      <w:r>
        <w:rPr>
          <w:b/>
        </w:rPr>
        <w:t xml:space="preserve">Тест по контролю над астмой у детей </w:t>
      </w:r>
    </w:p>
    <w:p w:rsidR="00F15F71" w:rsidRDefault="00F974CD">
      <w:pPr>
        <w:spacing w:after="186" w:line="270" w:lineRule="auto"/>
        <w:ind w:left="411" w:right="10"/>
      </w:pPr>
      <w:r>
        <w:t xml:space="preserve">Оригинальное название: </w:t>
      </w:r>
      <w:r>
        <w:rPr>
          <w:b/>
        </w:rPr>
        <w:t xml:space="preserve">Children Asthma Control test (c-АСТ)   </w:t>
      </w:r>
    </w:p>
    <w:p w:rsidR="00F15F71" w:rsidRDefault="00F974CD">
      <w:pPr>
        <w:spacing w:after="70" w:line="259" w:lineRule="auto"/>
        <w:ind w:left="411" w:right="841"/>
      </w:pPr>
      <w:r>
        <w:t>Источник (официальный сайт разработчиков, публикация с валидацией):</w:t>
      </w:r>
      <w:r>
        <w:rPr>
          <w:sz w:val="28"/>
        </w:rPr>
        <w:t xml:space="preserve">  </w:t>
      </w:r>
    </w:p>
    <w:p w:rsidR="00F15F71" w:rsidRDefault="00F974CD">
      <w:pPr>
        <w:spacing w:after="43" w:line="359" w:lineRule="auto"/>
        <w:ind w:left="-15" w:right="10" w:firstLine="403"/>
      </w:pPr>
      <w:r>
        <w:rPr>
          <w:b/>
        </w:rPr>
        <w:t xml:space="preserve">Andrew H. Liu, Robert Zeiger et al. Development and cross-sectional validation of the Childhood Asthma Control Test. J. Allergy Clin.Immunol. 2007; 119: 817–825 [369]. </w:t>
      </w:r>
    </w:p>
    <w:p w:rsidR="00F15F71" w:rsidRDefault="00F974CD">
      <w:pPr>
        <w:spacing w:after="230" w:line="259" w:lineRule="auto"/>
        <w:ind w:left="411" w:right="841"/>
      </w:pPr>
      <w:r>
        <w:t xml:space="preserve">Тип (подчеркнуть): </w:t>
      </w:r>
    </w:p>
    <w:p w:rsidR="00F15F71" w:rsidRDefault="00F974CD">
      <w:pPr>
        <w:numPr>
          <w:ilvl w:val="0"/>
          <w:numId w:val="43"/>
        </w:numPr>
        <w:spacing w:after="177" w:line="259" w:lineRule="auto"/>
        <w:ind w:right="841" w:hanging="276"/>
      </w:pPr>
      <w:r>
        <w:t xml:space="preserve">шкала оценки </w:t>
      </w:r>
    </w:p>
    <w:p w:rsidR="00F15F71" w:rsidRDefault="00F974CD">
      <w:pPr>
        <w:numPr>
          <w:ilvl w:val="0"/>
          <w:numId w:val="43"/>
        </w:numPr>
        <w:spacing w:after="186" w:line="259" w:lineRule="auto"/>
        <w:ind w:right="841" w:hanging="276"/>
      </w:pPr>
      <w:r>
        <w:t xml:space="preserve">индекс </w:t>
      </w:r>
    </w:p>
    <w:p w:rsidR="00F15F71" w:rsidRDefault="00F974CD">
      <w:pPr>
        <w:pStyle w:val="Heading6"/>
        <w:ind w:left="1551"/>
      </w:pPr>
      <w:r>
        <w:rPr>
          <w:b w:val="0"/>
          <w:sz w:val="28"/>
          <w:u w:val="none"/>
        </w:rPr>
        <w:t>-</w:t>
      </w:r>
      <w:r>
        <w:rPr>
          <w:rFonts w:ascii="Arial" w:eastAsia="Arial" w:hAnsi="Arial" w:cs="Arial"/>
          <w:b w:val="0"/>
          <w:sz w:val="28"/>
          <w:u w:val="none"/>
        </w:rPr>
        <w:t xml:space="preserve"> </w:t>
      </w:r>
      <w:r>
        <w:t>вопросник</w:t>
      </w:r>
      <w:r>
        <w:rPr>
          <w:u w:val="none"/>
        </w:rPr>
        <w:t xml:space="preserve"> </w:t>
      </w:r>
    </w:p>
    <w:p w:rsidR="00F15F71" w:rsidRDefault="00F974CD">
      <w:pPr>
        <w:spacing w:after="120" w:line="259" w:lineRule="auto"/>
        <w:ind w:left="1551" w:right="841"/>
      </w:pPr>
      <w:r>
        <w:rPr>
          <w:sz w:val="28"/>
        </w:rPr>
        <w:t>-</w:t>
      </w:r>
      <w:r>
        <w:rPr>
          <w:rFonts w:ascii="Arial" w:eastAsia="Arial" w:hAnsi="Arial" w:cs="Arial"/>
          <w:sz w:val="28"/>
        </w:rPr>
        <w:t xml:space="preserve"> </w:t>
      </w:r>
      <w:r>
        <w:t>другое (уточнить): ___________</w:t>
      </w:r>
      <w:r>
        <w:t xml:space="preserve">___________ </w:t>
      </w:r>
    </w:p>
    <w:p w:rsidR="00F15F71" w:rsidRDefault="00F974CD">
      <w:pPr>
        <w:spacing w:after="153" w:line="270" w:lineRule="auto"/>
        <w:ind w:left="411" w:right="10"/>
      </w:pPr>
      <w:r>
        <w:t xml:space="preserve">Назначение: </w:t>
      </w:r>
      <w:r>
        <w:rPr>
          <w:b/>
        </w:rPr>
        <w:t xml:space="preserve">инструмент для оценки контроля бронхиальной астмы у детей в </w:t>
      </w:r>
    </w:p>
    <w:p w:rsidR="00F15F71" w:rsidRDefault="00F974CD">
      <w:pPr>
        <w:spacing w:after="148" w:line="270" w:lineRule="auto"/>
        <w:ind w:left="-5" w:right="10"/>
      </w:pPr>
      <w:r>
        <w:rPr>
          <w:b/>
        </w:rPr>
        <w:t xml:space="preserve">возрасте от 4-х до 11 лет </w:t>
      </w:r>
    </w:p>
    <w:p w:rsidR="00F15F71" w:rsidRDefault="00F974CD">
      <w:pPr>
        <w:spacing w:after="141" w:line="259" w:lineRule="auto"/>
        <w:ind w:left="411" w:right="841"/>
      </w:pPr>
      <w:r>
        <w:t xml:space="preserve">Содержание (шаблон): </w:t>
      </w:r>
    </w:p>
    <w:p w:rsidR="00F15F71" w:rsidRDefault="00F974CD">
      <w:pPr>
        <w:spacing w:after="30" w:line="259" w:lineRule="auto"/>
        <w:ind w:left="401" w:firstLine="0"/>
        <w:jc w:val="left"/>
      </w:pPr>
      <w:r>
        <w:rPr>
          <w:b/>
          <w:sz w:val="28"/>
        </w:rPr>
        <w:t xml:space="preserve"> </w:t>
      </w:r>
      <w:r>
        <w:rPr>
          <w:noProof/>
        </w:rPr>
        <w:drawing>
          <wp:inline distT="0" distB="0" distL="0" distR="0">
            <wp:extent cx="5500370" cy="3874135"/>
            <wp:effectExtent l="0" t="0" r="0" b="0"/>
            <wp:docPr id="34545" name="Picture 345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45" name="Picture 34545"/>
                    <pic:cNvPicPr/>
                  </pic:nvPicPr>
                  <pic:blipFill>
                    <a:blip r:embed="rId1522"/>
                    <a:stretch>
                      <a:fillRect/>
                    </a:stretch>
                  </pic:blipFill>
                  <pic:spPr>
                    <a:xfrm>
                      <a:off x="0" y="0"/>
                      <a:ext cx="5500370" cy="387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</w:rPr>
        <w:t xml:space="preserve"> </w:t>
      </w:r>
    </w:p>
    <w:p w:rsidR="00F15F71" w:rsidRDefault="00F974CD">
      <w:pPr>
        <w:spacing w:after="200" w:line="259" w:lineRule="auto"/>
        <w:ind w:left="0" w:firstLine="0"/>
        <w:jc w:val="left"/>
      </w:pPr>
      <w:r>
        <w:t xml:space="preserve"> </w:t>
      </w:r>
    </w:p>
    <w:p w:rsidR="00F15F71" w:rsidRDefault="00F974CD">
      <w:pPr>
        <w:spacing w:line="404" w:lineRule="auto"/>
        <w:ind w:left="-5" w:right="844"/>
      </w:pPr>
      <w:r>
        <w:t>Ключ (интерпретация):</w:t>
      </w:r>
      <w:r>
        <w:rPr>
          <w:sz w:val="28"/>
        </w:rPr>
        <w:t xml:space="preserve"> </w:t>
      </w:r>
      <w:r>
        <w:rPr>
          <w:b/>
        </w:rPr>
        <w:t>Тест состоит из 7 вопросов, причём вопросы с 1-го по 4- предназначены для ребёнка (4-</w:t>
      </w:r>
      <w:r>
        <w:rPr>
          <w:b/>
        </w:rPr>
        <w:t xml:space="preserve">балльная оценочная шкала ответов: от 0 до 3-х баллов), а вопросы 5–7 — для родителей (6-балльная шкала: от 0 до 5 баллов). </w:t>
      </w:r>
    </w:p>
    <w:p w:rsidR="00F15F71" w:rsidRDefault="00F974CD">
      <w:pPr>
        <w:spacing w:after="28" w:line="375" w:lineRule="auto"/>
        <w:ind w:left="-5" w:right="847"/>
      </w:pPr>
      <w:r>
        <w:rPr>
          <w:b/>
        </w:rPr>
        <w:t>Результатом теста является сумма оценок за все ответы в баллах (максимальная оценка — 27 баллов). От её величины будут зависеть реко</w:t>
      </w:r>
      <w:r>
        <w:rPr>
          <w:b/>
        </w:rPr>
        <w:t>мендации по дальнейшему лечению пациентов. Оценка 20 баллов и выше соответствует контролируемой астме, 19 баллов и ниже означает, что астма контролируется недостаточно эффективно; пациенту рекомендуется воспользоваться помощью врача для пересмотра плана ле</w:t>
      </w:r>
      <w:r>
        <w:rPr>
          <w:b/>
        </w:rPr>
        <w:t xml:space="preserve">чения </w:t>
      </w:r>
    </w:p>
    <w:p w:rsidR="00F15F71" w:rsidRDefault="00F974CD">
      <w:pPr>
        <w:spacing w:after="168" w:line="259" w:lineRule="auto"/>
        <w:ind w:left="10" w:right="839"/>
        <w:jc w:val="right"/>
      </w:pPr>
      <w:r>
        <w:t>Пояснения:</w:t>
      </w:r>
      <w:r>
        <w:rPr>
          <w:b/>
        </w:rPr>
        <w:t xml:space="preserve"> 20 баллов или больше – наличие контроля БА, 19 баллов или </w:t>
      </w:r>
    </w:p>
    <w:p w:rsidR="00F15F71" w:rsidRDefault="00F974CD">
      <w:pPr>
        <w:spacing w:after="102" w:line="270" w:lineRule="auto"/>
        <w:ind w:left="-5" w:right="10"/>
      </w:pPr>
      <w:r>
        <w:rPr>
          <w:b/>
        </w:rPr>
        <w:t xml:space="preserve">меньше – отсутствие контроля БА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3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3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391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0" w:line="259" w:lineRule="auto"/>
        <w:ind w:left="0" w:right="777" w:firstLine="0"/>
        <w:jc w:val="center"/>
      </w:pPr>
      <w:r>
        <w:rPr>
          <w:sz w:val="28"/>
        </w:rPr>
        <w:t xml:space="preserve"> </w:t>
      </w:r>
    </w:p>
    <w:p w:rsidR="00F15F71" w:rsidRDefault="00F974CD">
      <w:pPr>
        <w:pStyle w:val="Heading2"/>
        <w:spacing w:after="187"/>
        <w:ind w:left="1361" w:right="10"/>
      </w:pPr>
      <w:bookmarkStart w:id="75" w:name="_Toc275232"/>
      <w:r>
        <w:t xml:space="preserve">Приложение Г3. Опросник по контролю симптомов астмы (ACQ-5) </w:t>
      </w:r>
      <w:bookmarkEnd w:id="75"/>
    </w:p>
    <w:p w:rsidR="00F15F71" w:rsidRDefault="00F974CD">
      <w:pPr>
        <w:spacing w:after="76" w:line="270" w:lineRule="auto"/>
        <w:ind w:left="411" w:right="10"/>
      </w:pPr>
      <w:r>
        <w:t>Название на русском языке:</w:t>
      </w:r>
      <w:r>
        <w:rPr>
          <w:sz w:val="28"/>
        </w:rPr>
        <w:t xml:space="preserve"> </w:t>
      </w:r>
      <w:r>
        <w:rPr>
          <w:b/>
        </w:rPr>
        <w:t xml:space="preserve">Опросник по контролю симптомов астмы (ACQ-5) </w:t>
      </w:r>
    </w:p>
    <w:p w:rsidR="00F15F71" w:rsidRDefault="00F974CD">
      <w:pPr>
        <w:spacing w:after="186" w:line="270" w:lineRule="auto"/>
        <w:ind w:left="411" w:right="10"/>
      </w:pPr>
      <w:r>
        <w:t xml:space="preserve">Оригинальное название: </w:t>
      </w:r>
      <w:r>
        <w:rPr>
          <w:b/>
        </w:rPr>
        <w:t xml:space="preserve">Asthma Control Questionnaire (ACQ) </w:t>
      </w:r>
    </w:p>
    <w:p w:rsidR="00F15F71" w:rsidRDefault="00F974CD">
      <w:pPr>
        <w:spacing w:after="70" w:line="259" w:lineRule="auto"/>
        <w:ind w:left="411" w:right="841"/>
      </w:pPr>
      <w:r>
        <w:t>Источник (официальный сайт разработчиков, публикация с валидацией):</w:t>
      </w:r>
      <w:r>
        <w:rPr>
          <w:sz w:val="28"/>
        </w:rPr>
        <w:t xml:space="preserve">  </w:t>
      </w:r>
    </w:p>
    <w:p w:rsidR="00F15F71" w:rsidRDefault="00F974CD">
      <w:pPr>
        <w:spacing w:after="43" w:line="359" w:lineRule="auto"/>
        <w:ind w:left="-15" w:right="10" w:firstLine="403"/>
      </w:pPr>
      <w:r>
        <w:rPr>
          <w:b/>
        </w:rPr>
        <w:t>Juniper E.F., O’Byrne P.M., Guyatt G.H. et al. Development and validation of a qu</w:t>
      </w:r>
      <w:r>
        <w:rPr>
          <w:b/>
        </w:rPr>
        <w:t xml:space="preserve">estionnaire to measure asthma control. Eur. Respir. J. 1999; 14: 902–907 [370]. </w:t>
      </w:r>
    </w:p>
    <w:p w:rsidR="00F15F71" w:rsidRDefault="00F974CD">
      <w:pPr>
        <w:spacing w:after="230" w:line="259" w:lineRule="auto"/>
        <w:ind w:left="411" w:right="841"/>
      </w:pPr>
      <w:r>
        <w:t xml:space="preserve">Тип (подчеркнуть): </w:t>
      </w:r>
    </w:p>
    <w:p w:rsidR="00F15F71" w:rsidRDefault="00F974CD">
      <w:pPr>
        <w:numPr>
          <w:ilvl w:val="0"/>
          <w:numId w:val="44"/>
        </w:numPr>
        <w:spacing w:after="177" w:line="259" w:lineRule="auto"/>
        <w:ind w:right="841" w:hanging="276"/>
      </w:pPr>
      <w:r>
        <w:t xml:space="preserve">шкала оценки </w:t>
      </w:r>
    </w:p>
    <w:p w:rsidR="00F15F71" w:rsidRDefault="00F974CD">
      <w:pPr>
        <w:numPr>
          <w:ilvl w:val="0"/>
          <w:numId w:val="44"/>
        </w:numPr>
        <w:spacing w:after="186" w:line="259" w:lineRule="auto"/>
        <w:ind w:right="841" w:hanging="276"/>
      </w:pPr>
      <w:r>
        <w:t xml:space="preserve">индекс </w:t>
      </w:r>
    </w:p>
    <w:p w:rsidR="00F15F71" w:rsidRDefault="00F974CD">
      <w:pPr>
        <w:pStyle w:val="Heading6"/>
        <w:ind w:left="1551"/>
      </w:pPr>
      <w:r>
        <w:rPr>
          <w:b w:val="0"/>
          <w:sz w:val="28"/>
          <w:u w:val="none"/>
        </w:rPr>
        <w:t>-</w:t>
      </w:r>
      <w:r>
        <w:rPr>
          <w:rFonts w:ascii="Arial" w:eastAsia="Arial" w:hAnsi="Arial" w:cs="Arial"/>
          <w:b w:val="0"/>
          <w:sz w:val="28"/>
          <w:u w:val="none"/>
        </w:rPr>
        <w:t xml:space="preserve"> </w:t>
      </w:r>
      <w:r>
        <w:t>вопросник</w:t>
      </w:r>
      <w:r>
        <w:rPr>
          <w:u w:val="none"/>
        </w:rPr>
        <w:t xml:space="preserve"> </w:t>
      </w:r>
    </w:p>
    <w:p w:rsidR="00F15F71" w:rsidRDefault="00F974CD">
      <w:pPr>
        <w:spacing w:after="120" w:line="259" w:lineRule="auto"/>
        <w:ind w:left="1551" w:right="841"/>
      </w:pPr>
      <w:r>
        <w:rPr>
          <w:sz w:val="28"/>
        </w:rPr>
        <w:t>-</w:t>
      </w:r>
      <w:r>
        <w:rPr>
          <w:rFonts w:ascii="Arial" w:eastAsia="Arial" w:hAnsi="Arial" w:cs="Arial"/>
          <w:sz w:val="28"/>
        </w:rPr>
        <w:t xml:space="preserve"> </w:t>
      </w:r>
      <w:r>
        <w:t xml:space="preserve">другое (уточнить): ______________________ </w:t>
      </w:r>
    </w:p>
    <w:p w:rsidR="00F15F71" w:rsidRDefault="00F974CD">
      <w:pPr>
        <w:spacing w:line="401" w:lineRule="auto"/>
        <w:ind w:left="-15" w:right="558" w:firstLine="401"/>
      </w:pPr>
      <w:r>
        <w:t xml:space="preserve">Назначение: </w:t>
      </w:r>
      <w:r>
        <w:rPr>
          <w:b/>
        </w:rPr>
        <w:t xml:space="preserve">инструмент для оценки контроля бронхиальной астмы у пациентов от 6 лет и старше </w:t>
      </w:r>
    </w:p>
    <w:p w:rsidR="00F15F71" w:rsidRDefault="00F974CD">
      <w:pPr>
        <w:spacing w:after="141" w:line="259" w:lineRule="auto"/>
        <w:ind w:left="411" w:right="841"/>
      </w:pPr>
      <w:r>
        <w:t xml:space="preserve">Содержание (шаблон): </w:t>
      </w:r>
    </w:p>
    <w:p w:rsidR="00F15F71" w:rsidRDefault="00F974CD">
      <w:pPr>
        <w:spacing w:after="30" w:line="259" w:lineRule="auto"/>
        <w:ind w:left="0" w:right="696" w:firstLine="0"/>
        <w:jc w:val="center"/>
      </w:pPr>
      <w:r>
        <w:rPr>
          <w:b/>
          <w:sz w:val="28"/>
        </w:rPr>
        <w:t xml:space="preserve"> </w:t>
      </w:r>
      <w:r>
        <w:rPr>
          <w:noProof/>
        </w:rPr>
        <w:drawing>
          <wp:inline distT="0" distB="0" distL="0" distR="0">
            <wp:extent cx="5439410" cy="4062730"/>
            <wp:effectExtent l="0" t="0" r="0" b="0"/>
            <wp:docPr id="34713" name="Picture 347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13" name="Picture 34713"/>
                    <pic:cNvPicPr/>
                  </pic:nvPicPr>
                  <pic:blipFill>
                    <a:blip r:embed="rId1523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406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</w:rPr>
        <w:t xml:space="preserve"> </w:t>
      </w:r>
    </w:p>
    <w:p w:rsidR="00F15F71" w:rsidRDefault="00F974CD">
      <w:pPr>
        <w:spacing w:after="201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66" w:line="383" w:lineRule="auto"/>
        <w:ind w:left="-15" w:right="852" w:firstLine="708"/>
      </w:pPr>
      <w:r>
        <w:t>Ключ (интерпретация):</w:t>
      </w:r>
      <w:r>
        <w:rPr>
          <w:sz w:val="28"/>
        </w:rPr>
        <w:t xml:space="preserve"> </w:t>
      </w:r>
      <w:r>
        <w:rPr>
          <w:b/>
        </w:rPr>
        <w:t>опросник состоит из 5 вопросов о частоте и степени выраженности симптомов астмы за последнюю неделю, выраженность симптомов оценивают по 7-балльной шкале от 0 до 6 баллов. Таким образом, общий индекс по опроснику ACQ-5 может варьировать от 0 – полностью ко</w:t>
      </w:r>
      <w:r>
        <w:rPr>
          <w:b/>
        </w:rPr>
        <w:t xml:space="preserve">нтролируемая астма до 6 – </w:t>
      </w:r>
    </w:p>
    <w:p w:rsidR="00F15F71" w:rsidRDefault="00F974CD">
      <w:pPr>
        <w:spacing w:line="401" w:lineRule="auto"/>
        <w:ind w:left="-5" w:right="847"/>
      </w:pPr>
      <w:r>
        <w:rPr>
          <w:b/>
        </w:rPr>
        <w:t xml:space="preserve">абсолютно неконтролируемая астма. Значение ACQ-5&lt;0.75 достоверно свидетельствует о хорошем контроле бронхиальной астмы, а ACQ-5&gt;1.5 говорит о неконтролируемом течении заболевания </w:t>
      </w:r>
    </w:p>
    <w:p w:rsidR="00F15F71" w:rsidRDefault="00F974CD">
      <w:pPr>
        <w:spacing w:after="155" w:line="270" w:lineRule="auto"/>
        <w:ind w:left="718" w:right="10"/>
      </w:pPr>
      <w:r>
        <w:t xml:space="preserve">Пояснения: </w:t>
      </w:r>
      <w:r>
        <w:rPr>
          <w:b/>
        </w:rPr>
        <w:t>все баллы суммируются, затем сумма дел</w:t>
      </w:r>
      <w:r>
        <w:rPr>
          <w:b/>
        </w:rPr>
        <w:t xml:space="preserve">ится на число вопросов </w:t>
      </w:r>
    </w:p>
    <w:p w:rsidR="00F15F71" w:rsidRDefault="00F974CD">
      <w:pPr>
        <w:spacing w:after="101" w:line="270" w:lineRule="auto"/>
        <w:ind w:left="-5" w:right="10"/>
      </w:pPr>
      <w:r>
        <w:rPr>
          <w:b/>
        </w:rPr>
        <w:t xml:space="preserve">(5), т. О. общий индекс может быть равен от 0 до 6.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3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3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3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112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t xml:space="preserve"> </w:t>
      </w:r>
    </w:p>
    <w:p w:rsidR="00F15F71" w:rsidRDefault="00F974CD">
      <w:pPr>
        <w:pStyle w:val="Heading2"/>
        <w:spacing w:after="198" w:line="259" w:lineRule="auto"/>
        <w:ind w:left="10" w:right="849"/>
        <w:jc w:val="center"/>
      </w:pPr>
      <w:bookmarkStart w:id="76" w:name="_Toc275233"/>
      <w:r>
        <w:t xml:space="preserve">Приложение Г4. Опросник по контролю над БА у детей от 5 лет и младше (TRACK) </w:t>
      </w:r>
      <w:bookmarkEnd w:id="76"/>
    </w:p>
    <w:p w:rsidR="00F15F71" w:rsidRDefault="00F974CD">
      <w:pPr>
        <w:spacing w:line="407" w:lineRule="auto"/>
        <w:ind w:left="-15" w:right="10" w:firstLine="401"/>
      </w:pPr>
      <w:r>
        <w:t>Название на русском языке:</w:t>
      </w:r>
      <w:r>
        <w:rPr>
          <w:sz w:val="28"/>
        </w:rPr>
        <w:t xml:space="preserve"> </w:t>
      </w:r>
      <w:r>
        <w:rPr>
          <w:b/>
        </w:rPr>
        <w:t xml:space="preserve">Опросник по контролю над БА у детей от 5 лет и младше </w:t>
      </w:r>
    </w:p>
    <w:p w:rsidR="00F15F71" w:rsidRDefault="00F974CD">
      <w:pPr>
        <w:spacing w:after="186" w:line="270" w:lineRule="auto"/>
        <w:ind w:left="411" w:right="10"/>
      </w:pPr>
      <w:r>
        <w:t>Оригинальное название:</w:t>
      </w:r>
      <w:r>
        <w:rPr>
          <w:b/>
        </w:rPr>
        <w:t xml:space="preserve"> Test for Respiratory and Asthma Control in Kids – TRACK) </w:t>
      </w:r>
    </w:p>
    <w:p w:rsidR="00F15F71" w:rsidRDefault="00F974CD">
      <w:pPr>
        <w:spacing w:after="70" w:line="259" w:lineRule="auto"/>
        <w:ind w:left="411" w:right="841"/>
      </w:pPr>
      <w:r>
        <w:t>Источник (официальный сайт разработчиков, публикация с валидацией):</w:t>
      </w:r>
      <w:r>
        <w:rPr>
          <w:sz w:val="28"/>
        </w:rPr>
        <w:t xml:space="preserve">  </w:t>
      </w:r>
    </w:p>
    <w:p w:rsidR="00F15F71" w:rsidRDefault="00F974CD">
      <w:pPr>
        <w:spacing w:after="47" w:line="358" w:lineRule="auto"/>
        <w:ind w:left="-15" w:right="852" w:firstLine="403"/>
      </w:pPr>
      <w:r>
        <w:rPr>
          <w:b/>
        </w:rPr>
        <w:t>Chipps B, Zeiger RS, Murphy K, Mellon M, Schatz M,</w:t>
      </w:r>
      <w:r>
        <w:rPr>
          <w:b/>
        </w:rPr>
        <w:t xml:space="preserve"> Kosinski M, Lampl K, Ramachandran S. Longitudinal validation of the Test for Respiratory and Asthma Control in Kids in pediatric practices. Pediatrics. 2011 Mar;127(3):e737-47 [371]. </w:t>
      </w:r>
    </w:p>
    <w:p w:rsidR="00F15F71" w:rsidRDefault="00F974CD">
      <w:pPr>
        <w:spacing w:after="89" w:line="259" w:lineRule="auto"/>
        <w:ind w:left="411" w:right="841"/>
      </w:pPr>
      <w:r>
        <w:t xml:space="preserve">Тип (подчеркнуть): </w:t>
      </w:r>
    </w:p>
    <w:p w:rsidR="00F15F71" w:rsidRDefault="00F974CD">
      <w:pPr>
        <w:numPr>
          <w:ilvl w:val="0"/>
          <w:numId w:val="45"/>
        </w:numPr>
        <w:spacing w:line="285" w:lineRule="auto"/>
        <w:ind w:right="3902" w:hanging="276"/>
        <w:jc w:val="left"/>
      </w:pPr>
      <w:r>
        <w:t xml:space="preserve">шкала оценки </w:t>
      </w:r>
      <w:r>
        <w:rPr>
          <w:sz w:val="28"/>
        </w:rPr>
        <w:t>-</w:t>
      </w:r>
      <w:r>
        <w:rPr>
          <w:rFonts w:ascii="Arial" w:eastAsia="Arial" w:hAnsi="Arial" w:cs="Arial"/>
          <w:sz w:val="28"/>
        </w:rPr>
        <w:t xml:space="preserve"> </w:t>
      </w:r>
      <w:r>
        <w:t xml:space="preserve">индекс </w:t>
      </w:r>
      <w:r>
        <w:rPr>
          <w:sz w:val="28"/>
        </w:rPr>
        <w:t>-</w:t>
      </w:r>
      <w:r>
        <w:rPr>
          <w:rFonts w:ascii="Arial" w:eastAsia="Arial" w:hAnsi="Arial" w:cs="Arial"/>
          <w:sz w:val="28"/>
        </w:rPr>
        <w:t xml:space="preserve"> </w:t>
      </w:r>
      <w:r>
        <w:rPr>
          <w:b/>
          <w:u w:val="single" w:color="000000"/>
        </w:rPr>
        <w:t>вопросник</w:t>
      </w:r>
      <w:r>
        <w:rPr>
          <w:b/>
        </w:rPr>
        <w:t xml:space="preserve"> </w:t>
      </w:r>
    </w:p>
    <w:p w:rsidR="00F15F71" w:rsidRDefault="00F974CD">
      <w:pPr>
        <w:numPr>
          <w:ilvl w:val="0"/>
          <w:numId w:val="45"/>
        </w:numPr>
        <w:spacing w:line="259" w:lineRule="auto"/>
        <w:ind w:right="3902" w:hanging="276"/>
        <w:jc w:val="left"/>
      </w:pPr>
      <w:r>
        <w:t xml:space="preserve">другое (уточнить): ______________________ </w:t>
      </w:r>
    </w:p>
    <w:p w:rsidR="00F15F71" w:rsidRDefault="00F974CD">
      <w:pPr>
        <w:spacing w:line="270" w:lineRule="auto"/>
        <w:ind w:left="-15" w:right="553" w:firstLine="401"/>
      </w:pPr>
      <w:r>
        <w:t xml:space="preserve">Назначение: </w:t>
      </w:r>
      <w:r>
        <w:rPr>
          <w:b/>
        </w:rPr>
        <w:t xml:space="preserve">инструмент для оценки контроля бронхиальной астмы у пациентов от 5 лет и младше. </w:t>
      </w:r>
    </w:p>
    <w:p w:rsidR="00F15F71" w:rsidRDefault="00F974CD">
      <w:pPr>
        <w:spacing w:line="259" w:lineRule="auto"/>
        <w:ind w:left="411" w:right="841"/>
      </w:pPr>
      <w:r>
        <w:t xml:space="preserve">Содержание (шаблон): </w:t>
      </w:r>
    </w:p>
    <w:p w:rsidR="00F15F71" w:rsidRDefault="00F974CD">
      <w:pPr>
        <w:spacing w:after="0" w:line="259" w:lineRule="auto"/>
        <w:ind w:left="0" w:right="1003" w:firstLine="0"/>
        <w:jc w:val="right"/>
      </w:pPr>
      <w:r>
        <w:rPr>
          <w:noProof/>
        </w:rPr>
        <w:drawing>
          <wp:inline distT="0" distB="0" distL="0" distR="0">
            <wp:extent cx="5542915" cy="4992370"/>
            <wp:effectExtent l="0" t="0" r="0" b="0"/>
            <wp:docPr id="34870" name="Picture 348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70" name="Picture 34870"/>
                    <pic:cNvPicPr/>
                  </pic:nvPicPr>
                  <pic:blipFill>
                    <a:blip r:embed="rId1524"/>
                    <a:stretch>
                      <a:fillRect/>
                    </a:stretch>
                  </pic:blipFill>
                  <pic:spPr>
                    <a:xfrm>
                      <a:off x="0" y="0"/>
                      <a:ext cx="5542915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</w:rPr>
        <w:t xml:space="preserve"> </w:t>
      </w:r>
    </w:p>
    <w:p w:rsidR="00F15F71" w:rsidRDefault="00F974CD">
      <w:pPr>
        <w:spacing w:after="18" w:line="259" w:lineRule="auto"/>
        <w:ind w:left="0" w:firstLine="0"/>
        <w:jc w:val="left"/>
      </w:pPr>
      <w:r>
        <w:rPr>
          <w:b/>
          <w:sz w:val="28"/>
        </w:rPr>
        <w:t xml:space="preserve">  </w:t>
      </w:r>
    </w:p>
    <w:p w:rsidR="00F15F71" w:rsidRDefault="00F974CD">
      <w:pPr>
        <w:spacing w:after="33" w:line="374" w:lineRule="auto"/>
        <w:ind w:left="-15" w:right="850" w:firstLine="708"/>
      </w:pPr>
      <w:r>
        <w:t>Ключ (интерпретация):</w:t>
      </w:r>
      <w:r>
        <w:rPr>
          <w:sz w:val="28"/>
        </w:rPr>
        <w:t xml:space="preserve"> </w:t>
      </w:r>
      <w:r>
        <w:rPr>
          <w:b/>
        </w:rPr>
        <w:t xml:space="preserve">Опросник включает пять вопросов с оценкой за каждый от 0 до 20 баллов. Общее количество баллов суммируется, и если итоговое значение составляет менее 80 баллов, считается, что астма контролируется недостаточно хорошо. </w:t>
      </w:r>
    </w:p>
    <w:p w:rsidR="00F15F71" w:rsidRDefault="00F974CD">
      <w:pPr>
        <w:spacing w:line="379" w:lineRule="auto"/>
        <w:ind w:left="-15" w:right="847" w:firstLine="708"/>
      </w:pPr>
      <w:r>
        <w:rPr>
          <w:noProof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1334770</wp:posOffset>
            </wp:positionH>
            <wp:positionV relativeFrom="page">
              <wp:posOffset>887095</wp:posOffset>
            </wp:positionV>
            <wp:extent cx="6217920" cy="4992370"/>
            <wp:effectExtent l="0" t="0" r="0" b="0"/>
            <wp:wrapTopAndBottom/>
            <wp:docPr id="34880" name="Picture 348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80" name="Picture 34880"/>
                    <pic:cNvPicPr/>
                  </pic:nvPicPr>
                  <pic:blipFill>
                    <a:blip r:embed="rId1525"/>
                    <a:stretch>
                      <a:fillRect/>
                    </a:stretch>
                  </pic:blipFill>
                  <pic:spPr>
                    <a:xfrm>
                      <a:off x="0" y="0"/>
                      <a:ext cx="621792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Пояснения:</w:t>
      </w:r>
      <w:r>
        <w:rPr>
          <w:b/>
        </w:rPr>
        <w:t xml:space="preserve"> Критериями включения в гр</w:t>
      </w:r>
      <w:r>
        <w:rPr>
          <w:b/>
        </w:rPr>
        <w:t>уппу для проведения TRACK-теста являются: возраст больного менее 5 лет; не менее двух эпизодов одышки, свистящих хрипов или кашля продолжительностью не менее 24 ч; назначение бронхолитиков (ß-агонисты, холинолитики или их комбинация) для скорой или неотлож</w:t>
      </w:r>
      <w:r>
        <w:rPr>
          <w:b/>
        </w:rPr>
        <w:t xml:space="preserve">ной терапии; подтвержденный диагноз БА.  </w:t>
      </w:r>
    </w:p>
    <w:p w:rsidR="00F15F71" w:rsidRDefault="00F974CD">
      <w:pPr>
        <w:spacing w:after="115" w:line="259" w:lineRule="auto"/>
        <w:ind w:left="708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12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t xml:space="preserve"> </w:t>
      </w:r>
    </w:p>
    <w:p w:rsidR="00F15F71" w:rsidRDefault="00F974CD">
      <w:pPr>
        <w:spacing w:after="0" w:line="259" w:lineRule="auto"/>
        <w:ind w:left="0" w:right="-57" w:firstLine="0"/>
      </w:pPr>
      <w:r>
        <w:t xml:space="preserve">                                                                                                                                                                           </w:t>
      </w:r>
    </w:p>
    <w:p w:rsidR="00F15F71" w:rsidRDefault="00F974CD">
      <w:pPr>
        <w:pStyle w:val="Heading2"/>
        <w:spacing w:after="196" w:line="259" w:lineRule="auto"/>
        <w:ind w:left="10" w:right="850"/>
        <w:jc w:val="center"/>
      </w:pPr>
      <w:bookmarkStart w:id="77" w:name="_Toc275234"/>
      <w:r>
        <w:t>Приложение Г5. Опросник по оценке ур</w:t>
      </w:r>
      <w:r>
        <w:t xml:space="preserve">овня контроля симптомов бронхиальной астмы у взрослых, подростков и детей от 6 до 11 лет </w:t>
      </w:r>
      <w:bookmarkEnd w:id="77"/>
    </w:p>
    <w:p w:rsidR="00F15F71" w:rsidRDefault="00F974CD">
      <w:pPr>
        <w:spacing w:after="143" w:line="270" w:lineRule="auto"/>
        <w:ind w:left="411" w:right="10"/>
      </w:pPr>
      <w:r>
        <w:rPr>
          <w:sz w:val="28"/>
        </w:rPr>
        <w:t xml:space="preserve"> </w:t>
      </w:r>
      <w:r>
        <w:t xml:space="preserve">Оригинальное название: </w:t>
      </w:r>
      <w:r>
        <w:rPr>
          <w:b/>
        </w:rPr>
        <w:t xml:space="preserve">опросник GINA (Global Initiative for Asthma)  </w:t>
      </w:r>
    </w:p>
    <w:p w:rsidR="00F15F71" w:rsidRDefault="00F974CD">
      <w:pPr>
        <w:spacing w:after="70" w:line="259" w:lineRule="auto"/>
        <w:ind w:left="411" w:right="841"/>
      </w:pPr>
      <w:r>
        <w:t>Источник (официальный сайт разработчиков, публикация с валидацией):</w:t>
      </w:r>
      <w:r>
        <w:rPr>
          <w:sz w:val="28"/>
        </w:rPr>
        <w:t xml:space="preserve">  </w:t>
      </w:r>
    </w:p>
    <w:p w:rsidR="00F15F71" w:rsidRDefault="00F974CD">
      <w:pPr>
        <w:spacing w:line="376" w:lineRule="auto"/>
        <w:ind w:left="-15" w:right="10" w:firstLine="403"/>
      </w:pPr>
      <w:r>
        <w:rPr>
          <w:b/>
        </w:rPr>
        <w:t xml:space="preserve">Global Strategy for Asthma Management and Prevention, Global Initiative for Asthma (GINA) 2023. [Электронный ресурс], 10.06.2023. URL: </w:t>
      </w:r>
      <w:hyperlink r:id="rId1526">
        <w:r>
          <w:rPr>
            <w:b/>
            <w:color w:val="0000FF"/>
            <w:u w:val="single" w:color="0000FF"/>
          </w:rPr>
          <w:t>http</w:t>
        </w:r>
      </w:hyperlink>
      <w:hyperlink r:id="rId1527">
        <w:r>
          <w:rPr>
            <w:b/>
            <w:color w:val="0000FF"/>
            <w:u w:val="single" w:color="0000FF"/>
          </w:rPr>
          <w:t>://</w:t>
        </w:r>
      </w:hyperlink>
      <w:hyperlink r:id="rId1528">
        <w:r>
          <w:rPr>
            <w:b/>
            <w:color w:val="0000FF"/>
            <w:u w:val="single" w:color="0000FF"/>
          </w:rPr>
          <w:t>www</w:t>
        </w:r>
      </w:hyperlink>
      <w:hyperlink r:id="rId1529">
        <w:r>
          <w:rPr>
            <w:b/>
            <w:color w:val="0000FF"/>
            <w:u w:val="single" w:color="0000FF"/>
          </w:rPr>
          <w:t>.</w:t>
        </w:r>
      </w:hyperlink>
      <w:hyperlink r:id="rId1530">
        <w:r>
          <w:rPr>
            <w:b/>
            <w:color w:val="0000FF"/>
            <w:u w:val="single" w:color="0000FF"/>
          </w:rPr>
          <w:t>ginasthma</w:t>
        </w:r>
      </w:hyperlink>
      <w:hyperlink r:id="rId1531">
        <w:r>
          <w:rPr>
            <w:b/>
            <w:color w:val="0000FF"/>
            <w:u w:val="single" w:color="0000FF"/>
          </w:rPr>
          <w:t>.</w:t>
        </w:r>
      </w:hyperlink>
      <w:hyperlink r:id="rId1532">
        <w:r>
          <w:rPr>
            <w:b/>
            <w:color w:val="0000FF"/>
            <w:u w:val="single" w:color="0000FF"/>
          </w:rPr>
          <w:t>org</w:t>
        </w:r>
      </w:hyperlink>
      <w:hyperlink r:id="rId1533">
        <w:r>
          <w:rPr>
            <w:b/>
            <w:color w:val="0000FF"/>
            <w:u w:val="single" w:color="0000FF"/>
          </w:rPr>
          <w:t>/</w:t>
        </w:r>
      </w:hyperlink>
      <w:hyperlink r:id="rId1534">
        <w:r>
          <w:rPr>
            <w:b/>
          </w:rPr>
          <w:t xml:space="preserve"> </w:t>
        </w:r>
      </w:hyperlink>
      <w:r>
        <w:rPr>
          <w:b/>
        </w:rPr>
        <w:t xml:space="preserve">[21]. </w:t>
      </w:r>
    </w:p>
    <w:p w:rsidR="00F15F71" w:rsidRDefault="00F974CD">
      <w:pPr>
        <w:spacing w:after="230" w:line="259" w:lineRule="auto"/>
        <w:ind w:left="411" w:right="841"/>
      </w:pPr>
      <w:r>
        <w:t xml:space="preserve">Тип (подчеркнуть): </w:t>
      </w:r>
    </w:p>
    <w:p w:rsidR="00F15F71" w:rsidRDefault="00F974CD">
      <w:pPr>
        <w:numPr>
          <w:ilvl w:val="0"/>
          <w:numId w:val="46"/>
        </w:numPr>
        <w:spacing w:after="177" w:line="259" w:lineRule="auto"/>
        <w:ind w:right="841" w:hanging="276"/>
      </w:pPr>
      <w:r>
        <w:t xml:space="preserve">шкала оценки </w:t>
      </w:r>
    </w:p>
    <w:p w:rsidR="00F15F71" w:rsidRDefault="00F974CD">
      <w:pPr>
        <w:numPr>
          <w:ilvl w:val="0"/>
          <w:numId w:val="46"/>
        </w:numPr>
        <w:spacing w:after="186" w:line="259" w:lineRule="auto"/>
        <w:ind w:right="841" w:hanging="276"/>
      </w:pPr>
      <w:r>
        <w:t xml:space="preserve">индекс </w:t>
      </w:r>
    </w:p>
    <w:p w:rsidR="00F15F71" w:rsidRDefault="00F974CD">
      <w:pPr>
        <w:pStyle w:val="Heading6"/>
        <w:ind w:left="1551"/>
      </w:pPr>
      <w:r>
        <w:rPr>
          <w:b w:val="0"/>
          <w:sz w:val="28"/>
          <w:u w:val="none"/>
        </w:rPr>
        <w:t>-</w:t>
      </w:r>
      <w:r>
        <w:rPr>
          <w:rFonts w:ascii="Arial" w:eastAsia="Arial" w:hAnsi="Arial" w:cs="Arial"/>
          <w:b w:val="0"/>
          <w:sz w:val="28"/>
          <w:u w:val="none"/>
        </w:rPr>
        <w:t xml:space="preserve"> </w:t>
      </w:r>
      <w:r>
        <w:t>вопросник</w:t>
      </w:r>
      <w:r>
        <w:rPr>
          <w:u w:val="none"/>
        </w:rPr>
        <w:t xml:space="preserve"> </w:t>
      </w:r>
    </w:p>
    <w:p w:rsidR="00F15F71" w:rsidRDefault="00F974CD">
      <w:pPr>
        <w:spacing w:after="120" w:line="259" w:lineRule="auto"/>
        <w:ind w:left="1551" w:right="841"/>
      </w:pPr>
      <w:r>
        <w:rPr>
          <w:sz w:val="28"/>
        </w:rPr>
        <w:t>-</w:t>
      </w:r>
      <w:r>
        <w:rPr>
          <w:rFonts w:ascii="Arial" w:eastAsia="Arial" w:hAnsi="Arial" w:cs="Arial"/>
          <w:sz w:val="28"/>
        </w:rPr>
        <w:t xml:space="preserve"> </w:t>
      </w:r>
      <w:r>
        <w:t xml:space="preserve">другое (уточнить): ______________________ </w:t>
      </w:r>
    </w:p>
    <w:p w:rsidR="00F15F71" w:rsidRDefault="00F974CD">
      <w:pPr>
        <w:spacing w:line="270" w:lineRule="auto"/>
        <w:ind w:left="-15" w:right="856" w:firstLine="401"/>
      </w:pPr>
      <w:r>
        <w:t xml:space="preserve">Назначение: </w:t>
      </w:r>
      <w:r>
        <w:rPr>
          <w:b/>
        </w:rPr>
        <w:t>инструмент для оценки контроля бронхиальной аст</w:t>
      </w:r>
      <w:r>
        <w:rPr>
          <w:b/>
        </w:rPr>
        <w:t xml:space="preserve">мы у детей старше 6 лет, подростков и взрослых </w:t>
      </w:r>
      <w:r>
        <w:t xml:space="preserve">Содержание (шаблон): </w:t>
      </w:r>
    </w:p>
    <w:tbl>
      <w:tblPr>
        <w:tblStyle w:val="TableGrid"/>
        <w:tblW w:w="9494" w:type="dxa"/>
        <w:tblInd w:w="-108" w:type="dxa"/>
        <w:tblCellMar>
          <w:top w:w="14" w:type="dxa"/>
          <w:left w:w="85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754"/>
        <w:gridCol w:w="906"/>
        <w:gridCol w:w="225"/>
        <w:gridCol w:w="1884"/>
        <w:gridCol w:w="22"/>
        <w:gridCol w:w="2513"/>
        <w:gridCol w:w="2189"/>
        <w:gridCol w:w="1"/>
      </w:tblGrid>
      <w:tr w:rsidR="00F15F71">
        <w:trPr>
          <w:gridAfter w:val="1"/>
          <w:trHeight w:val="286"/>
        </w:trPr>
        <w:tc>
          <w:tcPr>
            <w:tcW w:w="949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rPr>
                <w:b/>
              </w:rPr>
              <w:t xml:space="preserve"> А. Контроль над симптомами БА                                                 </w:t>
            </w:r>
          </w:p>
        </w:tc>
      </w:tr>
      <w:tr w:rsidR="00F15F71">
        <w:trPr>
          <w:gridAfter w:val="1"/>
          <w:trHeight w:val="562"/>
        </w:trPr>
        <w:tc>
          <w:tcPr>
            <w:tcW w:w="28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За последние 4-е недели у пациента отмечались: </w:t>
            </w:r>
          </w:p>
        </w:tc>
        <w:tc>
          <w:tcPr>
            <w:tcW w:w="19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Хорошо контролируемая </w:t>
            </w:r>
          </w:p>
        </w:tc>
        <w:tc>
          <w:tcPr>
            <w:tcW w:w="2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Частично контролируемая </w:t>
            </w:r>
          </w:p>
        </w:tc>
        <w:tc>
          <w:tcPr>
            <w:tcW w:w="2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Неконтролируемая </w:t>
            </w:r>
          </w:p>
        </w:tc>
      </w:tr>
      <w:tr w:rsidR="00F15F71">
        <w:trPr>
          <w:gridAfter w:val="1"/>
          <w:trHeight w:val="1114"/>
        </w:trPr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38" w:lineRule="auto"/>
              <w:ind w:left="0" w:firstLine="0"/>
              <w:jc w:val="left"/>
            </w:pPr>
            <w:r>
              <w:t xml:space="preserve">Дневные симптомы </w:t>
            </w:r>
          </w:p>
          <w:p w:rsidR="00F15F71" w:rsidRDefault="00F974CD">
            <w:pPr>
              <w:spacing w:after="21" w:line="259" w:lineRule="auto"/>
              <w:ind w:left="0" w:firstLine="0"/>
              <w:jc w:val="left"/>
            </w:pPr>
            <w:r>
              <w:t xml:space="preserve">чаще, чем 2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раза в неделю 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1" w:line="259" w:lineRule="auto"/>
              <w:ind w:left="0" w:firstLine="0"/>
              <w:jc w:val="left"/>
            </w:pPr>
            <w:r>
              <w:t>ДА</w:t>
            </w:r>
            <w:r>
              <w:rPr>
                <w:rFonts w:ascii="Segoe UI Symbol" w:eastAsia="Segoe UI Symbol" w:hAnsi="Segoe UI Symbol" w:cs="Segoe UI Symbol"/>
              </w:rPr>
              <w:t>☐</w:t>
            </w: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НЕТ</w:t>
            </w:r>
            <w:r>
              <w:rPr>
                <w:rFonts w:ascii="Segoe UI Symbol" w:eastAsia="Segoe UI Symbol" w:hAnsi="Segoe UI Symbol" w:cs="Segoe UI Symbol"/>
              </w:rPr>
              <w:t>☐</w:t>
            </w:r>
            <w:r>
              <w:t xml:space="preserve"> </w:t>
            </w:r>
          </w:p>
        </w:tc>
        <w:tc>
          <w:tcPr>
            <w:tcW w:w="190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274" w:firstLine="0"/>
              <w:jc w:val="center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0" w:right="274" w:firstLine="0"/>
              <w:jc w:val="center"/>
            </w:pPr>
            <w:r>
              <w:t xml:space="preserve"> </w:t>
            </w:r>
          </w:p>
          <w:p w:rsidR="00F15F71" w:rsidRDefault="00F974CD">
            <w:pPr>
              <w:spacing w:line="259" w:lineRule="auto"/>
              <w:ind w:left="0" w:right="274" w:firstLine="0"/>
              <w:jc w:val="center"/>
            </w:pPr>
            <w:r>
              <w:t xml:space="preserve"> </w:t>
            </w:r>
          </w:p>
          <w:p w:rsidR="00F15F71" w:rsidRDefault="00F974CD">
            <w:pPr>
              <w:tabs>
                <w:tab w:val="right" w:pos="1821"/>
              </w:tabs>
              <w:spacing w:after="28" w:line="259" w:lineRule="auto"/>
              <w:ind w:left="0" w:firstLine="0"/>
              <w:jc w:val="left"/>
            </w:pPr>
            <w:r>
              <w:t xml:space="preserve">Ничего </w:t>
            </w:r>
            <w:r>
              <w:tab/>
              <w:t xml:space="preserve">из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перечисленного </w:t>
            </w:r>
          </w:p>
        </w:tc>
        <w:tc>
          <w:tcPr>
            <w:tcW w:w="25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9" w:line="259" w:lineRule="auto"/>
              <w:ind w:left="708" w:firstLine="0"/>
              <w:jc w:val="left"/>
            </w:pPr>
            <w:r>
              <w:t xml:space="preserve"> </w:t>
            </w:r>
          </w:p>
          <w:p w:rsidR="00F15F71" w:rsidRDefault="00F974CD">
            <w:pPr>
              <w:tabs>
                <w:tab w:val="right" w:pos="2428"/>
              </w:tabs>
              <w:spacing w:after="28" w:line="259" w:lineRule="auto"/>
              <w:ind w:left="0" w:firstLine="0"/>
              <w:jc w:val="left"/>
            </w:pPr>
            <w:r>
              <w:t xml:space="preserve">1-2 </w:t>
            </w:r>
            <w:r>
              <w:tab/>
              <w:t xml:space="preserve">из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перечисленного </w:t>
            </w:r>
          </w:p>
        </w:tc>
        <w:tc>
          <w:tcPr>
            <w:tcW w:w="21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t xml:space="preserve"> </w:t>
            </w:r>
          </w:p>
          <w:p w:rsidR="00F15F71" w:rsidRDefault="00F974CD">
            <w:pPr>
              <w:spacing w:after="9" w:line="259" w:lineRule="auto"/>
              <w:ind w:left="708" w:firstLine="0"/>
              <w:jc w:val="left"/>
            </w:pPr>
            <w:r>
              <w:t xml:space="preserve"> </w:t>
            </w:r>
          </w:p>
          <w:p w:rsidR="00F15F71" w:rsidRDefault="00F974CD">
            <w:pPr>
              <w:tabs>
                <w:tab w:val="right" w:pos="2104"/>
              </w:tabs>
              <w:spacing w:after="28" w:line="259" w:lineRule="auto"/>
              <w:ind w:left="0" w:firstLine="0"/>
              <w:jc w:val="left"/>
            </w:pPr>
            <w:r>
              <w:t xml:space="preserve">3-4 </w:t>
            </w:r>
            <w:r>
              <w:tab/>
              <w:t xml:space="preserve">из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перечисленного </w:t>
            </w:r>
          </w:p>
        </w:tc>
      </w:tr>
      <w:tr w:rsidR="00F15F71">
        <w:trPr>
          <w:gridAfter w:val="1"/>
          <w:trHeight w:val="838"/>
        </w:trPr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Ночные пробуждения из-за БА 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1" w:line="259" w:lineRule="auto"/>
              <w:ind w:left="0" w:firstLine="0"/>
              <w:jc w:val="left"/>
            </w:pPr>
            <w:r>
              <w:t>ДА</w:t>
            </w:r>
            <w:r>
              <w:rPr>
                <w:rFonts w:ascii="Segoe UI Symbol" w:eastAsia="Segoe UI Symbol" w:hAnsi="Segoe UI Symbol" w:cs="Segoe UI Symbol"/>
              </w:rPr>
              <w:t>☐</w:t>
            </w: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НЕТ</w:t>
            </w:r>
            <w:r>
              <w:rPr>
                <w:rFonts w:ascii="Segoe UI Symbol" w:eastAsia="Segoe UI Symbol" w:hAnsi="Segoe UI Symbol" w:cs="Segoe UI Symbol"/>
              </w:rPr>
              <w:t>☐</w:t>
            </w:r>
            <w:r>
              <w:t xml:space="preserve">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gridAfter w:val="1"/>
          <w:trHeight w:val="1666"/>
        </w:trPr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line="259" w:lineRule="auto"/>
              <w:ind w:left="0" w:firstLine="0"/>
            </w:pPr>
            <w:r>
              <w:t xml:space="preserve">Потребность в </w:t>
            </w:r>
          </w:p>
          <w:p w:rsidR="00F15F71" w:rsidRDefault="00F974CD">
            <w:pPr>
              <w:tabs>
                <w:tab w:val="right" w:pos="1669"/>
              </w:tabs>
              <w:spacing w:after="0" w:line="259" w:lineRule="auto"/>
              <w:ind w:left="0" w:firstLine="0"/>
              <w:jc w:val="left"/>
            </w:pPr>
            <w:r>
              <w:t xml:space="preserve">КДБА </w:t>
            </w:r>
            <w:r>
              <w:tab/>
              <w:t xml:space="preserve">для </w:t>
            </w:r>
          </w:p>
          <w:p w:rsidR="00F15F71" w:rsidRDefault="00F974CD">
            <w:pPr>
              <w:spacing w:after="0" w:line="239" w:lineRule="auto"/>
              <w:ind w:left="0" w:firstLine="0"/>
              <w:jc w:val="left"/>
            </w:pPr>
            <w:r>
              <w:t xml:space="preserve">купирования симптомов </w:t>
            </w:r>
          </w:p>
          <w:p w:rsidR="00F15F71" w:rsidRDefault="00F974CD">
            <w:pPr>
              <w:spacing w:after="21" w:line="259" w:lineRule="auto"/>
              <w:ind w:left="0" w:firstLine="0"/>
              <w:jc w:val="left"/>
            </w:pPr>
            <w:r>
              <w:t xml:space="preserve">чаще, чем 2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раза в неделю 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2" w:line="259" w:lineRule="auto"/>
              <w:ind w:left="0" w:firstLine="0"/>
              <w:jc w:val="left"/>
            </w:pPr>
            <w:r>
              <w:t>ДА</w:t>
            </w:r>
            <w:r>
              <w:rPr>
                <w:rFonts w:ascii="Segoe UI Symbol" w:eastAsia="Segoe UI Symbol" w:hAnsi="Segoe UI Symbol" w:cs="Segoe UI Symbol"/>
              </w:rPr>
              <w:t>☐</w:t>
            </w:r>
            <w:r>
              <w:t xml:space="preserve"> 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НЕТ </w:t>
            </w:r>
            <w:r>
              <w:rPr>
                <w:rFonts w:ascii="Segoe UI Symbol" w:eastAsia="Segoe UI Symbol" w:hAnsi="Segoe UI Symbol" w:cs="Segoe UI Symbol"/>
              </w:rPr>
              <w:t>☐</w:t>
            </w:r>
            <w:r>
              <w:t xml:space="preserve">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gridAfter w:val="1"/>
          <w:trHeight w:val="1114"/>
        </w:trPr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7" w:firstLine="0"/>
            </w:pPr>
            <w:r>
              <w:t xml:space="preserve">Любое ограничение активности изза БА 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1" w:line="259" w:lineRule="auto"/>
              <w:ind w:left="0" w:firstLine="0"/>
              <w:jc w:val="left"/>
            </w:pPr>
            <w:r>
              <w:t>ДА</w:t>
            </w:r>
            <w:r>
              <w:rPr>
                <w:rFonts w:ascii="Segoe UI Symbol" w:eastAsia="Segoe UI Symbol" w:hAnsi="Segoe UI Symbol" w:cs="Segoe UI Symbol"/>
              </w:rPr>
              <w:t>☐</w:t>
            </w:r>
            <w:r>
              <w:t xml:space="preserve">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НЕТ</w:t>
            </w:r>
            <w:r>
              <w:rPr>
                <w:rFonts w:ascii="Segoe UI Symbol" w:eastAsia="Segoe UI Symbol" w:hAnsi="Segoe UI Symbol" w:cs="Segoe UI Symbol"/>
              </w:rPr>
              <w:t>☐</w:t>
            </w:r>
            <w:r>
              <w:t xml:space="preserve">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</w:tr>
      <w:tr w:rsidR="00F15F71">
        <w:trPr>
          <w:gridAfter w:val="1"/>
          <w:trHeight w:val="286"/>
        </w:trPr>
        <w:tc>
          <w:tcPr>
            <w:tcW w:w="949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rPr>
                <w:b/>
              </w:rPr>
              <w:t xml:space="preserve">В. Факторы риска для неблагоприятных исходов </w:t>
            </w:r>
          </w:p>
        </w:tc>
      </w:tr>
      <w:tr w:rsidR="00F15F71">
        <w:trPr>
          <w:gridAfter w:val="1"/>
          <w:trHeight w:val="1392"/>
        </w:trPr>
        <w:tc>
          <w:tcPr>
            <w:tcW w:w="949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" w:line="278" w:lineRule="auto"/>
              <w:ind w:left="0" w:firstLine="708"/>
            </w:pPr>
            <w:r>
              <w:t xml:space="preserve">Оценивать факторы риска при постновке диагноза и периодически, особенно у пациентов с обострениями. </w:t>
            </w:r>
          </w:p>
          <w:p w:rsidR="00F15F71" w:rsidRDefault="00F974CD">
            <w:pPr>
              <w:spacing w:after="0" w:line="259" w:lineRule="auto"/>
              <w:ind w:left="0" w:right="59" w:firstLine="708"/>
            </w:pPr>
            <w:r>
              <w:t>Измерять функцию легких (ОФВ1) в начале терапии, затем спустя 3-6 месяцев лечения ИГКС для регистрации лучших показателей функции легких пациента ОФВ</w:t>
            </w:r>
            <w:r>
              <w:rPr>
                <w:sz w:val="16"/>
              </w:rPr>
              <w:t>1</w:t>
            </w:r>
            <w:r>
              <w:t xml:space="preserve"> </w:t>
            </w:r>
            <w:r>
              <w:t xml:space="preserve">пациента, и затем периодически для оценки риска. </w:t>
            </w:r>
          </w:p>
        </w:tc>
      </w:tr>
      <w:tr w:rsidR="00F15F71">
        <w:trPr>
          <w:gridAfter w:val="1"/>
          <w:trHeight w:val="485"/>
        </w:trPr>
        <w:tc>
          <w:tcPr>
            <w:tcW w:w="949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60" w:firstLine="0"/>
              <w:jc w:val="left"/>
            </w:pPr>
            <w:r>
              <w:t>1)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Факторы риска обострения </w:t>
            </w:r>
          </w:p>
        </w:tc>
      </w:tr>
      <w:tr w:rsidR="00F15F71">
        <w:trPr>
          <w:trHeight w:val="984"/>
        </w:trPr>
        <w:tc>
          <w:tcPr>
            <w:tcW w:w="26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b/>
                <w:i/>
              </w:rPr>
              <w:t xml:space="preserve">Неконтролируемые симптомы </w:t>
            </w:r>
          </w:p>
        </w:tc>
        <w:tc>
          <w:tcPr>
            <w:tcW w:w="683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t xml:space="preserve">важный фактор риска развития обострения [372] </w:t>
            </w:r>
          </w:p>
        </w:tc>
      </w:tr>
      <w:tr w:rsidR="00F15F71">
        <w:trPr>
          <w:trHeight w:val="1668"/>
        </w:trPr>
        <w:tc>
          <w:tcPr>
            <w:tcW w:w="266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38" w:lineRule="auto"/>
              <w:ind w:left="23" w:right="106" w:firstLine="0"/>
            </w:pPr>
            <w:r>
              <w:rPr>
                <w:b/>
                <w:i/>
              </w:rPr>
              <w:t xml:space="preserve">Факторы, усиливающие риск обострений, даже если у пациента </w:t>
            </w:r>
          </w:p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b/>
                <w:i/>
              </w:rPr>
              <w:t xml:space="preserve">имеются незначительные симптомы БА. </w:t>
            </w: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i/>
              </w:rPr>
              <w:t xml:space="preserve">Лекарственные препараты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33" w:line="248" w:lineRule="auto"/>
              <w:ind w:left="46" w:right="108" w:firstLine="0"/>
            </w:pPr>
            <w:r>
              <w:t>Чрезмерное использование КДБА (</w:t>
            </w:r>
            <w:r>
              <w:rPr>
                <w:u w:val="single" w:color="000000"/>
              </w:rPr>
              <w:t>&gt;3</w:t>
            </w:r>
            <w:r>
              <w:t xml:space="preserve"> ингаляторов (200 доз/месяц) в течение года связано с повышенным риском обострений БА и смертности, особенно если речь идет об использовании </w:t>
            </w:r>
            <w:r>
              <w:rPr>
                <w:u w:val="single" w:color="000000"/>
              </w:rPr>
              <w:t>&gt;</w:t>
            </w:r>
            <w:r>
              <w:t xml:space="preserve"> 1 флакона КДБА в </w:t>
            </w:r>
          </w:p>
          <w:p w:rsidR="00F15F71" w:rsidRDefault="00F974CD">
            <w:pPr>
              <w:spacing w:after="0" w:line="259" w:lineRule="auto"/>
              <w:ind w:left="46" w:firstLine="0"/>
              <w:jc w:val="left"/>
            </w:pPr>
            <w:r>
              <w:t xml:space="preserve">месяц; </w:t>
            </w:r>
          </w:p>
        </w:tc>
      </w:tr>
      <w:tr w:rsidR="00F15F71">
        <w:trPr>
          <w:trHeight w:val="862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i/>
              </w:rPr>
              <w:t xml:space="preserve">Сопутствующие заболевания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46" w:right="109" w:firstLine="0"/>
            </w:pPr>
            <w:r>
              <w:t xml:space="preserve">Ожирение, хронический риносинусит, ГЭРБ, подтвержденная пищевая аллергия, беременность </w:t>
            </w:r>
          </w:p>
        </w:tc>
      </w:tr>
      <w:tr w:rsidR="00F15F71">
        <w:trPr>
          <w:trHeight w:val="864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i/>
              </w:rPr>
              <w:t xml:space="preserve">Экспозиция 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46" w:right="110" w:firstLine="0"/>
            </w:pPr>
            <w:r>
              <w:t xml:space="preserve">Курение, электронные сигареты, воздействие аллергенов при наличии сенсибилизации, загрязнение воздуха </w:t>
            </w:r>
          </w:p>
        </w:tc>
      </w:tr>
      <w:tr w:rsidR="00F15F71">
        <w:trPr>
          <w:trHeight w:val="862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i/>
              </w:rPr>
              <w:t xml:space="preserve">Психологические причины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46" w:firstLine="0"/>
            </w:pPr>
            <w:r>
              <w:t xml:space="preserve">Существенные психологические или социально-экономические проблемы </w:t>
            </w:r>
          </w:p>
        </w:tc>
      </w:tr>
      <w:tr w:rsidR="00F15F71">
        <w:trPr>
          <w:trHeight w:val="864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3" w:firstLine="0"/>
            </w:pPr>
            <w:r>
              <w:rPr>
                <w:i/>
              </w:rPr>
              <w:t xml:space="preserve">Легочная функция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46" w:firstLine="0"/>
            </w:pPr>
            <w:r>
              <w:t>Низкий ОФВ</w:t>
            </w:r>
            <w:r>
              <w:rPr>
                <w:sz w:val="16"/>
              </w:rPr>
              <w:t>1</w:t>
            </w:r>
            <w:r>
              <w:t xml:space="preserve"> (особенно &lt;60% должного), значительный ответ на бронходилататор </w:t>
            </w:r>
          </w:p>
        </w:tc>
      </w:tr>
      <w:tr w:rsidR="00F15F71">
        <w:trPr>
          <w:trHeight w:val="1114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line="259" w:lineRule="auto"/>
              <w:ind w:left="23" w:firstLine="0"/>
              <w:jc w:val="left"/>
            </w:pPr>
            <w:r>
              <w:rPr>
                <w:i/>
              </w:rPr>
              <w:t xml:space="preserve">Маркеры </w:t>
            </w:r>
          </w:p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i/>
              </w:rPr>
              <w:t xml:space="preserve">воспаления </w:t>
            </w:r>
            <w:r>
              <w:rPr>
                <w:i/>
              </w:rPr>
              <w:tab/>
              <w:t xml:space="preserve">типа Т2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46" w:right="106" w:firstLine="0"/>
            </w:pPr>
            <w:r>
              <w:t xml:space="preserve">Повышение уровня эозинофилов в крови, повышение FeNO (у взрослых с аллергической астмой, принимающих ИГКС) </w:t>
            </w:r>
          </w:p>
        </w:tc>
      </w:tr>
      <w:tr w:rsidR="00F15F71">
        <w:trPr>
          <w:trHeight w:val="1114"/>
        </w:trPr>
        <w:tc>
          <w:tcPr>
            <w:tcW w:w="26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31" w:firstLine="0"/>
              <w:jc w:val="left"/>
            </w:pPr>
            <w:r>
              <w:t xml:space="preserve"> </w:t>
            </w: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tabs>
                <w:tab w:val="right" w:pos="2024"/>
              </w:tabs>
              <w:spacing w:after="26" w:line="259" w:lineRule="auto"/>
              <w:ind w:left="0" w:firstLine="0"/>
              <w:jc w:val="left"/>
            </w:pPr>
            <w:r>
              <w:rPr>
                <w:i/>
              </w:rPr>
              <w:t xml:space="preserve">Обострения </w:t>
            </w:r>
            <w:r>
              <w:rPr>
                <w:i/>
              </w:rPr>
              <w:tab/>
              <w:t xml:space="preserve">в </w:t>
            </w:r>
          </w:p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i/>
              </w:rPr>
              <w:t xml:space="preserve">анамнезе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84" w:lineRule="auto"/>
              <w:ind w:left="46" w:firstLine="0"/>
              <w:jc w:val="left"/>
            </w:pPr>
            <w:r>
              <w:t xml:space="preserve">Интубация </w:t>
            </w:r>
            <w:r>
              <w:tab/>
              <w:t xml:space="preserve">или </w:t>
            </w:r>
            <w:r>
              <w:tab/>
              <w:t xml:space="preserve">лечение </w:t>
            </w:r>
            <w:r>
              <w:tab/>
              <w:t xml:space="preserve">в </w:t>
            </w:r>
            <w:r>
              <w:tab/>
              <w:t xml:space="preserve">отделении интенсивной терапии по поводу БА; </w:t>
            </w:r>
          </w:p>
          <w:p w:rsidR="00F15F71" w:rsidRDefault="00F974CD">
            <w:pPr>
              <w:spacing w:after="0" w:line="259" w:lineRule="auto"/>
              <w:ind w:left="46" w:firstLine="708"/>
              <w:jc w:val="left"/>
            </w:pPr>
            <w:r>
              <w:t xml:space="preserve">≥ </w:t>
            </w:r>
            <w:r>
              <w:tab/>
              <w:t xml:space="preserve">1 </w:t>
            </w:r>
            <w:r>
              <w:tab/>
              <w:t xml:space="preserve">тяжелого </w:t>
            </w:r>
            <w:r>
              <w:tab/>
              <w:t xml:space="preserve">обострения </w:t>
            </w:r>
            <w:r>
              <w:tab/>
              <w:t xml:space="preserve">за последние 12 месяцев. </w:t>
            </w:r>
          </w:p>
        </w:tc>
      </w:tr>
      <w:tr w:rsidR="00F15F71">
        <w:trPr>
          <w:trHeight w:val="487"/>
        </w:trPr>
        <w:tc>
          <w:tcPr>
            <w:tcW w:w="9494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83" w:firstLine="0"/>
              <w:jc w:val="left"/>
            </w:pPr>
            <w:r>
              <w:t>2)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Факторы риска для развития фиксированной обструкции дыхательных путей </w:t>
            </w:r>
          </w:p>
        </w:tc>
      </w:tr>
      <w:tr w:rsidR="00F15F71">
        <w:trPr>
          <w:trHeight w:val="1114"/>
        </w:trPr>
        <w:tc>
          <w:tcPr>
            <w:tcW w:w="26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-16" w:firstLine="0"/>
              <w:jc w:val="right"/>
            </w:pPr>
            <w:r>
              <w:rPr>
                <w:i/>
              </w:rPr>
              <w:t xml:space="preserve">                   </w:t>
            </w: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i/>
              </w:rPr>
              <w:t xml:space="preserve">Анамнез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46" w:line="238" w:lineRule="auto"/>
              <w:ind w:left="0" w:right="109" w:firstLine="0"/>
            </w:pPr>
            <w:r>
              <w:t xml:space="preserve">Недоношенность, низкая масса тела </w:t>
            </w:r>
            <w:r>
              <w:t xml:space="preserve">при рождении и большая прибавка массы тела в младенческом возрасте, хроническая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гиперсекреция слизи  </w:t>
            </w:r>
          </w:p>
        </w:tc>
      </w:tr>
      <w:tr w:rsidR="00F15F71">
        <w:trPr>
          <w:trHeight w:val="562"/>
        </w:trPr>
        <w:tc>
          <w:tcPr>
            <w:tcW w:w="26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-16" w:firstLine="0"/>
              <w:jc w:val="right"/>
            </w:pPr>
            <w:r>
              <w:rPr>
                <w:i/>
              </w:rPr>
              <w:t xml:space="preserve">                   </w:t>
            </w: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i/>
              </w:rPr>
              <w:t xml:space="preserve">Терапия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Отсутствие терапии ИГКС пациента с тяжелым обострением в анамнезе </w:t>
            </w:r>
          </w:p>
        </w:tc>
      </w:tr>
      <w:tr w:rsidR="00F15F71">
        <w:trPr>
          <w:trHeight w:val="838"/>
        </w:trPr>
        <w:tc>
          <w:tcPr>
            <w:tcW w:w="26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i/>
              </w:rPr>
              <w:t xml:space="preserve">Экспозиция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08" w:firstLine="0"/>
            </w:pPr>
            <w:r>
              <w:t xml:space="preserve">Табачный дым, вредные химические вещества; профессиональное или бытовое воздействие поллютантов </w:t>
            </w:r>
          </w:p>
        </w:tc>
      </w:tr>
      <w:tr w:rsidR="00F15F71">
        <w:trPr>
          <w:trHeight w:val="562"/>
        </w:trPr>
        <w:tc>
          <w:tcPr>
            <w:tcW w:w="26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387" w:firstLine="0"/>
              <w:jc w:val="center"/>
            </w:pPr>
            <w:r>
              <w:rPr>
                <w:i/>
              </w:rPr>
              <w:t xml:space="preserve"> </w:t>
            </w:r>
          </w:p>
        </w:tc>
        <w:tc>
          <w:tcPr>
            <w:tcW w:w="21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23" w:firstLine="0"/>
              <w:jc w:val="left"/>
            </w:pPr>
            <w:r>
              <w:rPr>
                <w:i/>
              </w:rPr>
              <w:t xml:space="preserve">Обследование </w:t>
            </w:r>
          </w:p>
        </w:tc>
        <w:tc>
          <w:tcPr>
            <w:tcW w:w="47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Низкий исходный показатель FEV1, эозинофилия мокроты или крови </w:t>
            </w:r>
          </w:p>
        </w:tc>
      </w:tr>
      <w:tr w:rsidR="00F15F71">
        <w:trPr>
          <w:trHeight w:val="1901"/>
        </w:trPr>
        <w:tc>
          <w:tcPr>
            <w:tcW w:w="9494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45" w:line="259" w:lineRule="auto"/>
              <w:ind w:left="383" w:firstLine="0"/>
              <w:jc w:val="left"/>
            </w:pPr>
            <w:r>
              <w:t>3)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Факторы риска развития нежелательных побочных эффектов лекарств: </w:t>
            </w:r>
          </w:p>
          <w:p w:rsidR="00F15F71" w:rsidRDefault="00F974CD">
            <w:pPr>
              <w:numPr>
                <w:ilvl w:val="0"/>
                <w:numId w:val="79"/>
              </w:numPr>
              <w:spacing w:after="0" w:line="279" w:lineRule="auto"/>
              <w:ind w:hanging="286"/>
            </w:pPr>
            <w:r>
              <w:t>Системные: частое применение системных ГКС; длительное применение высоких доз или применение сильнодействующих ИГКС; также применение Р450-</w:t>
            </w:r>
          </w:p>
          <w:p w:rsidR="00F15F71" w:rsidRDefault="00F974CD">
            <w:pPr>
              <w:spacing w:after="43" w:line="259" w:lineRule="auto"/>
              <w:ind w:left="330" w:firstLine="0"/>
              <w:jc w:val="left"/>
            </w:pPr>
            <w:r>
              <w:t xml:space="preserve">ингибиторов; </w:t>
            </w:r>
          </w:p>
          <w:p w:rsidR="00F15F71" w:rsidRDefault="00F974CD">
            <w:pPr>
              <w:numPr>
                <w:ilvl w:val="0"/>
                <w:numId w:val="79"/>
              </w:numPr>
              <w:spacing w:after="0" w:line="259" w:lineRule="auto"/>
              <w:ind w:hanging="286"/>
            </w:pPr>
            <w:r>
              <w:t xml:space="preserve">Локальные: высокие дозы или сильнодействующие ИГКС, плохая техника ингаляции. </w:t>
            </w:r>
          </w:p>
        </w:tc>
      </w:tr>
    </w:tbl>
    <w:p w:rsidR="00F15F71" w:rsidRDefault="00F974CD">
      <w:pPr>
        <w:spacing w:after="0" w:line="259" w:lineRule="auto"/>
        <w:ind w:left="0" w:firstLine="0"/>
      </w:pPr>
      <w:r>
        <w:rPr>
          <w:b/>
          <w:sz w:val="28"/>
        </w:rPr>
        <w:t xml:space="preserve"> </w:t>
      </w:r>
    </w:p>
    <w:p w:rsidR="00F15F71" w:rsidRDefault="00F974CD">
      <w:pPr>
        <w:tabs>
          <w:tab w:val="center" w:pos="998"/>
          <w:tab w:val="center" w:pos="2465"/>
          <w:tab w:val="center" w:pos="4127"/>
          <w:tab w:val="center" w:pos="5620"/>
          <w:tab w:val="center" w:pos="7180"/>
          <w:tab w:val="center" w:pos="8468"/>
          <w:tab w:val="center" w:pos="9283"/>
        </w:tabs>
        <w:spacing w:after="8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Ключ </w:t>
      </w:r>
      <w:r>
        <w:tab/>
        <w:t>(интерпретация):</w:t>
      </w:r>
      <w:r>
        <w:rPr>
          <w:sz w:val="28"/>
        </w:rPr>
        <w:t xml:space="preserve"> </w:t>
      </w:r>
      <w:r>
        <w:rPr>
          <w:sz w:val="28"/>
        </w:rPr>
        <w:tab/>
      </w:r>
      <w:r>
        <w:rPr>
          <w:b/>
        </w:rPr>
        <w:t xml:space="preserve">согласно </w:t>
      </w:r>
      <w:r>
        <w:rPr>
          <w:b/>
        </w:rPr>
        <w:tab/>
        <w:t xml:space="preserve">«Глобальной </w:t>
      </w:r>
      <w:r>
        <w:rPr>
          <w:b/>
        </w:rPr>
        <w:tab/>
        <w:t xml:space="preserve">стратегии </w:t>
      </w:r>
      <w:r>
        <w:rPr>
          <w:b/>
        </w:rPr>
        <w:tab/>
        <w:t xml:space="preserve">лечения </w:t>
      </w:r>
      <w:r>
        <w:rPr>
          <w:b/>
        </w:rPr>
        <w:tab/>
        <w:t xml:space="preserve">и </w:t>
      </w:r>
    </w:p>
    <w:p w:rsidR="00F15F71" w:rsidRDefault="00F974CD">
      <w:pPr>
        <w:spacing w:line="379" w:lineRule="auto"/>
        <w:ind w:left="-5" w:right="849"/>
      </w:pPr>
      <w:r>
        <w:rPr>
          <w:b/>
        </w:rPr>
        <w:t>профилактики бронхиальной астмы» (GINA 2023) для определения уровня контроля над симптомами заболевания у взрослых, подростков и детей 6-11 лет используют опросник, состоящий из 4 вопрос</w:t>
      </w:r>
      <w:r>
        <w:rPr>
          <w:b/>
        </w:rPr>
        <w:t xml:space="preserve">ов, позволяющий оценить состояние пациента за последние 4 недели. В зависимости от количества положительных ответов уровень контроля оценивают, как хороший, частичный или не контроль. </w:t>
      </w:r>
    </w:p>
    <w:p w:rsidR="00F15F71" w:rsidRDefault="00F974CD">
      <w:pPr>
        <w:spacing w:line="401" w:lineRule="auto"/>
        <w:ind w:left="-15" w:right="847" w:firstLine="708"/>
      </w:pPr>
      <w:r>
        <w:t>Пояснения:</w:t>
      </w:r>
      <w:r>
        <w:rPr>
          <w:b/>
        </w:rPr>
        <w:t xml:space="preserve"> неконтролируемая бронхиальная астма – 3-4 клинических призна</w:t>
      </w:r>
      <w:r>
        <w:rPr>
          <w:b/>
        </w:rPr>
        <w:t xml:space="preserve">ка за последние 4 недели, частично контролируемая – 1-2 клинических признака за последние 4 недели, хорошо контролируемая – отсутствие перечисленных клинических признаков у пациента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12" w:line="259" w:lineRule="auto"/>
        <w:ind w:left="401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12" w:line="259" w:lineRule="auto"/>
        <w:ind w:left="401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15" w:line="259" w:lineRule="auto"/>
        <w:ind w:left="401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13" w:line="259" w:lineRule="auto"/>
        <w:ind w:left="401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0" w:line="259" w:lineRule="auto"/>
        <w:ind w:left="401" w:firstLine="0"/>
        <w:jc w:val="left"/>
      </w:pPr>
      <w:r>
        <w:rPr>
          <w:b/>
        </w:rPr>
        <w:t xml:space="preserve"> </w:t>
      </w:r>
      <w:r>
        <w:br w:type="page"/>
      </w:r>
    </w:p>
    <w:p w:rsidR="00F15F71" w:rsidRDefault="00F974CD">
      <w:pPr>
        <w:pStyle w:val="Heading2"/>
        <w:ind w:left="1733" w:right="10" w:hanging="641"/>
      </w:pPr>
      <w:bookmarkStart w:id="78" w:name="_Toc275235"/>
      <w:r>
        <w:t xml:space="preserve">Приложение Г6. Дополнительный опросник по оценке уровня контроля симптомов бронхиальной астмы у детей от 6 до 11 лет </w:t>
      </w:r>
      <w:bookmarkEnd w:id="78"/>
    </w:p>
    <w:tbl>
      <w:tblPr>
        <w:tblStyle w:val="TableGrid"/>
        <w:tblW w:w="9573" w:type="dxa"/>
        <w:tblInd w:w="-108" w:type="dxa"/>
        <w:tblCellMar>
          <w:top w:w="58" w:type="dxa"/>
          <w:left w:w="10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937"/>
        <w:gridCol w:w="5636"/>
      </w:tblGrid>
      <w:tr w:rsidR="00F15F71">
        <w:trPr>
          <w:trHeight w:val="494"/>
        </w:trPr>
        <w:tc>
          <w:tcPr>
            <w:tcW w:w="95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600" w:firstLine="0"/>
              <w:jc w:val="center"/>
            </w:pPr>
            <w:r>
              <w:rPr>
                <w:b/>
                <w:sz w:val="28"/>
              </w:rPr>
              <w:t xml:space="preserve">Контроль над симптомами БА </w:t>
            </w:r>
          </w:p>
        </w:tc>
      </w:tr>
      <w:tr w:rsidR="00F15F71">
        <w:trPr>
          <w:trHeight w:val="1114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Дневные симптомы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11" w:firstLine="0"/>
            </w:pPr>
            <w:r>
              <w:t xml:space="preserve">Спросите, как часто у ребенка бывает кашель, свистящее дыхание, одышка или тяжелое дыхание </w:t>
            </w:r>
            <w:r>
              <w:t xml:space="preserve">(с частотой в неделю или в день)? Что провоцирует симптомы? Как удается справиться с симптомами? </w:t>
            </w:r>
          </w:p>
        </w:tc>
      </w:tr>
      <w:tr w:rsidR="00F15F71">
        <w:trPr>
          <w:trHeight w:val="1390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Ночные симптомы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8" w:lineRule="auto"/>
              <w:ind w:left="0" w:right="109" w:firstLine="0"/>
            </w:pPr>
            <w:r>
              <w:t xml:space="preserve">Кашель, пробуждение, усталость в течение дня? (Если единственным симптомом является кашель, рассмотрите другие 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диагнозы, такие как ринит или гастроэзофагеальная рефлюксная болезнь). </w:t>
            </w:r>
          </w:p>
        </w:tc>
      </w:tr>
      <w:tr w:rsidR="00F15F71">
        <w:trPr>
          <w:trHeight w:val="1390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Использование </w:t>
            </w:r>
            <w:r>
              <w:tab/>
              <w:t xml:space="preserve">препаратов, облегчающих симптомы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06" w:firstLine="0"/>
            </w:pPr>
            <w:r>
              <w:t xml:space="preserve">Как часто используются препараты, облегчающие исмптомы БА? Необходимо дифференцировать использование препаратов   перед физической нагрузкой (спортивной тренировкой) и их использованием для облегчения симптомов. </w:t>
            </w:r>
          </w:p>
        </w:tc>
      </w:tr>
      <w:tr w:rsidR="00F15F71">
        <w:trPr>
          <w:trHeight w:val="2218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Уровень активности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09" w:firstLine="0"/>
            </w:pPr>
            <w:r>
              <w:t>Какие виды спорта/хобб</w:t>
            </w:r>
            <w:r>
              <w:t xml:space="preserve">и/интересы есть у ребенка, в школе и в свободное время? Каков уровень активности ребенка по сравнению с его сверстниками или братьями и сестрами? Сколько дней ребенок отсутствует в школе? Постарайтесь получить точную картину дня ребенка от самого ребенка, </w:t>
            </w:r>
            <w:r>
              <w:t xml:space="preserve">не перебивая его и/или сопровождающее лицо. </w:t>
            </w:r>
          </w:p>
        </w:tc>
      </w:tr>
      <w:tr w:rsidR="00F15F71">
        <w:trPr>
          <w:trHeight w:val="334"/>
        </w:trPr>
        <w:tc>
          <w:tcPr>
            <w:tcW w:w="95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13" w:firstLine="0"/>
              <w:jc w:val="center"/>
            </w:pPr>
            <w:r>
              <w:rPr>
                <w:b/>
                <w:sz w:val="28"/>
              </w:rPr>
              <w:t xml:space="preserve">Факторы риска неблагоприятного исхода. </w:t>
            </w:r>
          </w:p>
        </w:tc>
      </w:tr>
      <w:tr w:rsidR="00F15F71">
        <w:trPr>
          <w:trHeight w:val="3598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Обострение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78" w:lineRule="auto"/>
              <w:ind w:left="0" w:right="106" w:firstLine="0"/>
            </w:pPr>
            <w:r>
              <w:t xml:space="preserve">Спросите, как вирусные инфекции влияют на астму ребенка? Мешают ли симптомы занятиям в школе или спортом?  </w:t>
            </w:r>
          </w:p>
          <w:p w:rsidR="00F15F71" w:rsidRDefault="00F974CD">
            <w:pPr>
              <w:spacing w:after="0" w:line="248" w:lineRule="auto"/>
              <w:ind w:left="0" w:right="110" w:firstLine="0"/>
            </w:pPr>
            <w:r>
              <w:t xml:space="preserve">Как долго длятся симптомы? Сколько эпизодов было с момента последнего визита к врачу?  Были ли неотложные обращения за амбулаторной или стационарной медицинской помощью? Имеется ли письменный план действий?  </w:t>
            </w:r>
          </w:p>
          <w:p w:rsidR="00F15F71" w:rsidRDefault="00F974CD">
            <w:pPr>
              <w:spacing w:after="0" w:line="259" w:lineRule="auto"/>
              <w:ind w:left="0" w:right="107" w:firstLine="0"/>
            </w:pPr>
            <w:r>
              <w:t>Факторы риска обострений включают в себя наличи</w:t>
            </w:r>
            <w:r>
              <w:t xml:space="preserve">е обострений в анамнезе, плохой контроль симптомов, низкую приверженность к лечению,  низкий достаток и стойкий положительный БДТ даже если у ребенка симптомы малочисленны. </w:t>
            </w:r>
          </w:p>
        </w:tc>
      </w:tr>
      <w:tr w:rsidR="00F15F71">
        <w:trPr>
          <w:trHeight w:val="1390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Легочная функция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1" w:line="278" w:lineRule="auto"/>
              <w:ind w:left="0" w:firstLine="0"/>
            </w:pPr>
            <w:r>
              <w:t>Проверка легочной функции. Основное внимание уделяется ОФВ1 и с</w:t>
            </w:r>
            <w:r>
              <w:t xml:space="preserve">оотношению ОФВ1/ФЖЕЛ.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Изобразите эти значения в виде  </w:t>
            </w:r>
          </w:p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в процентах от предполагаемых значений, чтобы оценить временную тенденцию. </w:t>
            </w:r>
          </w:p>
        </w:tc>
      </w:tr>
      <w:tr w:rsidR="00F15F71">
        <w:trPr>
          <w:trHeight w:val="1114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Побочный эффект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106" w:firstLine="0"/>
            </w:pPr>
            <w:r>
              <w:t xml:space="preserve">Проверяйте рост ребенка не реже одного раза в год, т.к. плохо контролируемая астма может влиять на рост, а скорость роста может быть ниже в первые 12 года лечения ИГКС. Спросите о кратности приема </w:t>
            </w:r>
          </w:p>
        </w:tc>
      </w:tr>
      <w:tr w:rsidR="00F15F71">
        <w:trPr>
          <w:trHeight w:val="288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15F71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и дозе ИГКС и оральных кортикостероидов. </w:t>
            </w:r>
          </w:p>
        </w:tc>
      </w:tr>
      <w:tr w:rsidR="00F15F71">
        <w:trPr>
          <w:trHeight w:val="331"/>
        </w:trPr>
        <w:tc>
          <w:tcPr>
            <w:tcW w:w="95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59" w:firstLine="0"/>
              <w:jc w:val="center"/>
            </w:pPr>
            <w:r>
              <w:rPr>
                <w:b/>
                <w:sz w:val="28"/>
              </w:rPr>
              <w:t xml:space="preserve">Факторы, относящиеся к лечению </w:t>
            </w:r>
          </w:p>
        </w:tc>
      </w:tr>
      <w:tr w:rsidR="00F15F71">
        <w:trPr>
          <w:trHeight w:val="838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Техника ингаляции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0" w:firstLine="0"/>
            </w:pPr>
            <w:r>
              <w:t xml:space="preserve">Попросите ребенка показать, как он использует свой ингалятор. Проверьте технику с инструкцией к конкретному устройству.   </w:t>
            </w:r>
          </w:p>
        </w:tc>
      </w:tr>
      <w:tr w:rsidR="00F15F71">
        <w:trPr>
          <w:trHeight w:val="2218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Приверженность лечению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0" w:firstLine="0"/>
            </w:pPr>
            <w:r>
              <w:t xml:space="preserve">Спросите, имеются ли в доме назначенные ребенку лекарственные препараты (ингаляторы и/или таблетки)? Сколько дней в неделю ребенок пользуется ими (например, 0, 2, 4, 7 дней)? Легче ли ребенку помнить о необходимости приема лекарства утром или вечером? Где </w:t>
            </w:r>
            <w:r>
              <w:t xml:space="preserve">хранится лекарство - на виду ли оно, чтобы не забыть?  чтобы не забыть? Проверьте дату на ингаляторе </w:t>
            </w:r>
          </w:p>
        </w:tc>
      </w:tr>
      <w:tr w:rsidR="00F15F71">
        <w:trPr>
          <w:trHeight w:val="1942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Цели/опасения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2" w:lineRule="auto"/>
              <w:ind w:left="0" w:right="59" w:firstLine="0"/>
            </w:pPr>
            <w:r>
              <w:t>Есть ли у ребенка, его родителей/опекунов какие</w:t>
            </w:r>
            <w:r>
              <w:t xml:space="preserve">либо опасения по поводу астмы (например, страх перед лекарствами, побочными эффектами, помехами в деятельности)?  </w:t>
            </w:r>
          </w:p>
          <w:p w:rsidR="00F15F71" w:rsidRDefault="00F974CD">
            <w:pPr>
              <w:spacing w:after="0" w:line="259" w:lineRule="auto"/>
              <w:ind w:left="0" w:right="63" w:firstLine="0"/>
            </w:pPr>
            <w:r>
              <w:t xml:space="preserve">лекарств, побочные эффекты, влияние на повседневную деятельность)? Каковы их цели в отношении лечения? </w:t>
            </w:r>
          </w:p>
        </w:tc>
      </w:tr>
      <w:tr w:rsidR="00F15F71">
        <w:trPr>
          <w:trHeight w:val="334"/>
        </w:trPr>
        <w:tc>
          <w:tcPr>
            <w:tcW w:w="95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2" w:firstLine="0"/>
              <w:jc w:val="center"/>
            </w:pPr>
            <w:r>
              <w:rPr>
                <w:b/>
                <w:sz w:val="28"/>
              </w:rPr>
              <w:t xml:space="preserve">Сопутствующие заболевания </w:t>
            </w:r>
          </w:p>
        </w:tc>
      </w:tr>
      <w:tr w:rsidR="00F15F71">
        <w:trPr>
          <w:trHeight w:val="838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Аллергический ринит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5" w:firstLine="0"/>
            </w:pPr>
            <w:r>
              <w:t xml:space="preserve">Зуд, чихание, обструкция носа? Может ли ребенок дышать через нос? Какие лекарства  принимаются для лечения назальных симптомов? </w:t>
            </w:r>
          </w:p>
        </w:tc>
      </w:tr>
      <w:tr w:rsidR="00F15F71">
        <w:trPr>
          <w:trHeight w:val="286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Экзема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Нарушение сна, топические кортикостероиды? </w:t>
            </w:r>
          </w:p>
        </w:tc>
      </w:tr>
      <w:tr w:rsidR="00F15F71">
        <w:trPr>
          <w:trHeight w:val="1114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Пищевая аллергия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0" w:firstLine="0"/>
            </w:pPr>
            <w:r>
              <w:t xml:space="preserve">Есть ли у ребенка аллергия на какие-либо продукты? (Подтвержденная пищевая аллергия является фактором риска смерти, связанной с астмой).  </w:t>
            </w:r>
          </w:p>
        </w:tc>
      </w:tr>
      <w:tr w:rsidR="00F15F71">
        <w:trPr>
          <w:trHeight w:val="562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Ожирение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</w:pPr>
            <w:r>
              <w:t xml:space="preserve">Проверьте индекс массы тела с поправкой на возраст. Спросите о диете и физической активности. </w:t>
            </w:r>
          </w:p>
        </w:tc>
      </w:tr>
      <w:tr w:rsidR="00F15F71">
        <w:trPr>
          <w:trHeight w:val="331"/>
        </w:trPr>
        <w:tc>
          <w:tcPr>
            <w:tcW w:w="95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3" w:firstLine="0"/>
              <w:jc w:val="center"/>
            </w:pPr>
            <w:r>
              <w:rPr>
                <w:b/>
                <w:sz w:val="28"/>
              </w:rPr>
              <w:t xml:space="preserve">Другие исследования (при необходимости) </w:t>
            </w:r>
          </w:p>
        </w:tc>
      </w:tr>
      <w:tr w:rsidR="00F15F71">
        <w:trPr>
          <w:trHeight w:val="2497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0" w:line="259" w:lineRule="auto"/>
              <w:ind w:left="0" w:firstLine="0"/>
              <w:jc w:val="left"/>
            </w:pPr>
            <w:r>
              <w:t xml:space="preserve">Ведение дневника (в течение 2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недель)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right="60" w:firstLine="0"/>
            </w:pPr>
            <w:r>
              <w:t>Если на основании вышеприведенных вопросов невозможно четко оценить степень контроля заболевания, попросите ребенка или его родителей/опекунов вести ежедневный дневник, включ</w:t>
            </w:r>
            <w:r>
              <w:t xml:space="preserve">ающий внесение симптомов БА, лекарственных препаратов для облегчения симптомов, а также пиковой скорости выдоха (лучшее значение из 3-х показателей) в течение 2 недель </w:t>
            </w:r>
          </w:p>
        </w:tc>
      </w:tr>
      <w:tr w:rsidR="00F15F71">
        <w:trPr>
          <w:trHeight w:val="1390"/>
        </w:trPr>
        <w:tc>
          <w:tcPr>
            <w:tcW w:w="3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Тест с физической нагрузкой </w:t>
            </w:r>
          </w:p>
        </w:tc>
        <w:tc>
          <w:tcPr>
            <w:tcW w:w="5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79" w:lineRule="auto"/>
              <w:ind w:left="0" w:firstLine="0"/>
            </w:pPr>
            <w:r>
              <w:t xml:space="preserve">Предоставляет информацию о гиперреактивности дыхательных путей и физической форме. </w:t>
            </w:r>
          </w:p>
          <w:p w:rsidR="00F15F71" w:rsidRDefault="00F974CD">
            <w:pPr>
              <w:spacing w:after="0" w:line="259" w:lineRule="auto"/>
              <w:ind w:left="0" w:right="60" w:firstLine="0"/>
            </w:pPr>
            <w:r>
              <w:t xml:space="preserve"> Проводится в том случае, если при использовании других инструментов все равно трудно оценить контроль астмы. </w:t>
            </w:r>
          </w:p>
        </w:tc>
      </w:tr>
    </w:tbl>
    <w:p w:rsidR="00F15F71" w:rsidRDefault="00F974CD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112" w:line="259" w:lineRule="auto"/>
        <w:ind w:left="0" w:right="9436" w:firstLine="0"/>
        <w:jc w:val="right"/>
      </w:pPr>
      <w:r>
        <w:rPr>
          <w:b/>
        </w:rPr>
        <w:t xml:space="preserve"> </w:t>
      </w:r>
    </w:p>
    <w:p w:rsidR="00F15F71" w:rsidRDefault="00F974CD">
      <w:pPr>
        <w:spacing w:after="0" w:line="259" w:lineRule="auto"/>
        <w:ind w:left="0" w:right="9436" w:firstLine="0"/>
        <w:jc w:val="right"/>
      </w:pPr>
      <w:r>
        <w:rPr>
          <w:b/>
        </w:rPr>
        <w:t xml:space="preserve"> </w:t>
      </w:r>
    </w:p>
    <w:p w:rsidR="00F15F71" w:rsidRDefault="00F974CD">
      <w:pPr>
        <w:spacing w:after="0" w:line="259" w:lineRule="auto"/>
        <w:ind w:left="708" w:firstLine="0"/>
        <w:jc w:val="left"/>
      </w:pPr>
      <w:r>
        <w:rPr>
          <w:b/>
        </w:rPr>
        <w:t xml:space="preserve"> </w:t>
      </w:r>
    </w:p>
    <w:tbl>
      <w:tblPr>
        <w:tblStyle w:val="TableGrid"/>
        <w:tblW w:w="10034" w:type="dxa"/>
        <w:tblInd w:w="-108" w:type="dxa"/>
        <w:tblCellMar>
          <w:top w:w="14" w:type="dxa"/>
          <w:left w:w="108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10034"/>
      </w:tblGrid>
      <w:tr w:rsidR="00F15F71">
        <w:trPr>
          <w:trHeight w:val="838"/>
        </w:trPr>
        <w:tc>
          <w:tcPr>
            <w:tcW w:w="10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1" w:line="259" w:lineRule="auto"/>
              <w:ind w:left="708" w:firstLine="0"/>
              <w:jc w:val="left"/>
            </w:pPr>
            <w:r>
              <w:rPr>
                <w:b/>
                <w:i/>
              </w:rPr>
              <w:t xml:space="preserve"> </w:t>
            </w:r>
            <w:r>
              <w:rPr>
                <w:b/>
                <w:i/>
              </w:rPr>
              <w:t xml:space="preserve">Факторы риска стойкого ограничения воздушного потока </w:t>
            </w:r>
          </w:p>
          <w:p w:rsidR="00F15F71" w:rsidRDefault="00F974CD">
            <w:pPr>
              <w:spacing w:after="0" w:line="259" w:lineRule="auto"/>
              <w:ind w:left="708" w:right="3869" w:firstLine="0"/>
              <w:jc w:val="left"/>
            </w:pPr>
            <w:r>
              <w:t xml:space="preserve">- Тяжелая астма с несколькими госпитализациями - Бронхиолит в анамнезе </w:t>
            </w:r>
          </w:p>
        </w:tc>
      </w:tr>
      <w:tr w:rsidR="00F15F71">
        <w:trPr>
          <w:trHeight w:val="1666"/>
        </w:trPr>
        <w:tc>
          <w:tcPr>
            <w:tcW w:w="10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22" w:line="259" w:lineRule="auto"/>
              <w:ind w:left="708" w:firstLine="0"/>
              <w:jc w:val="left"/>
            </w:pPr>
            <w:r>
              <w:rPr>
                <w:b/>
                <w:i/>
              </w:rPr>
              <w:t xml:space="preserve">Факторы риска развития побочных эффектов лекарственных средств </w:t>
            </w:r>
          </w:p>
          <w:p w:rsidR="00F15F71" w:rsidRDefault="00F974CD">
            <w:pPr>
              <w:numPr>
                <w:ilvl w:val="0"/>
                <w:numId w:val="80"/>
              </w:numPr>
              <w:spacing w:after="0" w:line="278" w:lineRule="auto"/>
              <w:ind w:right="30" w:firstLine="708"/>
            </w:pPr>
            <w:r>
              <w:t xml:space="preserve">Системные: Частые курсы оральных глюкокортикоидных лекарственных препаратов, высокие дозы и/или сильнодействующие ИГКС (см. вставку 6-7, с.184). </w:t>
            </w:r>
          </w:p>
          <w:p w:rsidR="00F15F71" w:rsidRDefault="00F974CD">
            <w:pPr>
              <w:numPr>
                <w:ilvl w:val="0"/>
                <w:numId w:val="80"/>
              </w:numPr>
              <w:spacing w:after="0" w:line="259" w:lineRule="auto"/>
              <w:ind w:right="30" w:firstLine="708"/>
            </w:pPr>
            <w:r>
              <w:t>Местные: использование средних и высоких дозы ИГКС или сильнодействующих ИГКС; неправильная техника использова</w:t>
            </w:r>
            <w:r>
              <w:t xml:space="preserve">ния ингалятора; отсутствие защиты кожи и глаз при использовании ИГКС с помощью небулайзера или спейсера с маской. </w:t>
            </w:r>
          </w:p>
        </w:tc>
      </w:tr>
      <w:tr w:rsidR="00F15F71">
        <w:trPr>
          <w:trHeight w:val="425"/>
        </w:trPr>
        <w:tc>
          <w:tcPr>
            <w:tcW w:w="10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708" w:firstLine="0"/>
              <w:jc w:val="left"/>
            </w:pPr>
            <w:r>
              <w:rPr>
                <w:b/>
                <w:i/>
              </w:rPr>
              <w:t xml:space="preserve"> </w:t>
            </w:r>
          </w:p>
        </w:tc>
      </w:tr>
    </w:tbl>
    <w:p w:rsidR="00F15F71" w:rsidRDefault="00F974CD">
      <w:pPr>
        <w:numPr>
          <w:ilvl w:val="0"/>
          <w:numId w:val="47"/>
        </w:numPr>
        <w:spacing w:line="262" w:lineRule="auto"/>
        <w:ind w:right="841" w:hanging="360"/>
      </w:pPr>
      <w:r>
        <w:t xml:space="preserve">Ключ (интерпретация): согласно «Глобальной стратегии лечения и профилактики бронхиальной астмы» (GINA </w:t>
      </w:r>
      <w:r>
        <w:t>2023) для определения уровня контроля над симптомами заболевания у детей 5 лет и младше используют опросник, состоящий из 4 вопросов, позволяющий оценить состояние пациента за последние 4 недели. В зависимости от количества положительных ответов уровень ко</w:t>
      </w:r>
      <w:r>
        <w:t>нтроля оценивают, как хороший, частичный или не контроль.</w:t>
      </w:r>
      <w:r>
        <w:rPr>
          <w:color w:val="231F20"/>
        </w:rPr>
        <w:t xml:space="preserve"> </w:t>
      </w:r>
    </w:p>
    <w:p w:rsidR="00F15F71" w:rsidRDefault="00F974CD">
      <w:pPr>
        <w:spacing w:after="180" w:line="259" w:lineRule="auto"/>
        <w:ind w:left="1428" w:firstLine="0"/>
        <w:jc w:val="left"/>
      </w:pPr>
      <w:r>
        <w:rPr>
          <w:color w:val="231F20"/>
        </w:rPr>
        <w:t xml:space="preserve"> </w:t>
      </w:r>
    </w:p>
    <w:p w:rsidR="00F15F71" w:rsidRDefault="00F974CD">
      <w:pPr>
        <w:numPr>
          <w:ilvl w:val="0"/>
          <w:numId w:val="47"/>
        </w:numPr>
        <w:spacing w:line="278" w:lineRule="auto"/>
        <w:ind w:right="841" w:hanging="360"/>
      </w:pPr>
      <w:r>
        <w:t xml:space="preserve">Пояснения: неконтролируемая бронхиальная астма – 3-4 клинических признака за последние 4 недели, частично контролируемая – 1-2 клинических признака за последние 4 недели, хорошо контролируемая – </w:t>
      </w:r>
      <w:r>
        <w:t>отсутствие перечисленных клинических признаков у пациента.</w:t>
      </w:r>
      <w:r>
        <w:rPr>
          <w:color w:val="231F20"/>
        </w:rPr>
        <w:t xml:space="preserve"> </w:t>
      </w:r>
    </w:p>
    <w:p w:rsidR="00F15F71" w:rsidRDefault="00F974CD">
      <w:pPr>
        <w:spacing w:after="112" w:line="259" w:lineRule="auto"/>
        <w:ind w:left="1428" w:firstLine="0"/>
        <w:jc w:val="left"/>
      </w:pPr>
      <w:r>
        <w:rPr>
          <w:color w:val="231F20"/>
        </w:rPr>
        <w:t xml:space="preserve"> </w:t>
      </w:r>
    </w:p>
    <w:p w:rsidR="00F15F71" w:rsidRDefault="00F974CD">
      <w:pPr>
        <w:spacing w:after="0" w:line="259" w:lineRule="auto"/>
        <w:ind w:left="1121" w:firstLine="0"/>
        <w:jc w:val="left"/>
      </w:pPr>
      <w:r>
        <w:rPr>
          <w:color w:val="231F20"/>
        </w:rPr>
        <w:t xml:space="preserve"> </w:t>
      </w:r>
    </w:p>
    <w:p w:rsidR="00F15F71" w:rsidRDefault="00F974CD">
      <w:pPr>
        <w:pStyle w:val="Heading2"/>
        <w:spacing w:after="162" w:line="259" w:lineRule="auto"/>
        <w:ind w:left="10" w:right="142"/>
        <w:jc w:val="center"/>
      </w:pPr>
      <w:bookmarkStart w:id="79" w:name="_Toc275236"/>
      <w:r>
        <w:t xml:space="preserve">Приложение Г7. Дополнительный опросник по оценке уровня контроля симптомов бронхиальной астмы у детей младше 5 лет </w:t>
      </w:r>
      <w:bookmarkEnd w:id="79"/>
    </w:p>
    <w:p w:rsidR="00F15F71" w:rsidRDefault="00F974CD">
      <w:pPr>
        <w:tabs>
          <w:tab w:val="center" w:pos="5403"/>
        </w:tabs>
        <w:spacing w:after="28" w:line="270" w:lineRule="auto"/>
        <w:ind w:left="-15" w:firstLine="0"/>
        <w:jc w:val="left"/>
      </w:pPr>
      <w:r>
        <w:rPr>
          <w:b/>
        </w:rPr>
        <w:t xml:space="preserve">А. Контроль симптомов БА </w:t>
      </w:r>
      <w:r>
        <w:rPr>
          <w:b/>
        </w:rPr>
        <w:tab/>
        <w:t xml:space="preserve">Уровень контроля симптомов БА </w:t>
      </w:r>
    </w:p>
    <w:p w:rsidR="00F15F71" w:rsidRDefault="00F974CD">
      <w:pPr>
        <w:tabs>
          <w:tab w:val="center" w:pos="6016"/>
          <w:tab w:val="center" w:pos="8507"/>
        </w:tabs>
        <w:spacing w:after="28" w:line="259" w:lineRule="auto"/>
        <w:ind w:left="0" w:firstLine="0"/>
        <w:jc w:val="left"/>
      </w:pPr>
      <w:r>
        <w:t xml:space="preserve">Були ли за последние 4 недели у Хорошо </w:t>
      </w:r>
      <w:r>
        <w:tab/>
        <w:t xml:space="preserve">Частично </w:t>
      </w:r>
      <w:r>
        <w:tab/>
        <w:t xml:space="preserve">Неконтролируемый </w:t>
      </w:r>
    </w:p>
    <w:p w:rsidR="00F15F71" w:rsidRDefault="00F974CD">
      <w:pPr>
        <w:tabs>
          <w:tab w:val="center" w:pos="5422"/>
        </w:tabs>
        <w:spacing w:after="56" w:line="259" w:lineRule="auto"/>
        <w:ind w:left="0" w:firstLine="0"/>
        <w:jc w:val="left"/>
      </w:pPr>
      <w:r>
        <w:t xml:space="preserve">ребенка: </w:t>
      </w:r>
      <w:r>
        <w:tab/>
        <w:t xml:space="preserve">контролируемый контролируемый </w:t>
      </w:r>
    </w:p>
    <w:p w:rsidR="00F15F71" w:rsidRDefault="00F974CD">
      <w:pPr>
        <w:spacing w:line="285" w:lineRule="auto"/>
        <w:ind w:left="-5" w:right="2075"/>
        <w:jc w:val="left"/>
      </w:pPr>
      <w:r>
        <w:t>Дневные симптомы ДА</w:t>
      </w:r>
      <w:r>
        <w:rPr>
          <w:rFonts w:ascii="Segoe UI Symbol" w:eastAsia="Segoe UI Symbol" w:hAnsi="Segoe UI Symbol" w:cs="Segoe UI Symbol"/>
        </w:rPr>
        <w:t>☐</w:t>
      </w: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астмы, </w:t>
      </w:r>
      <w:r>
        <w:tab/>
        <w:t>длящиеся НЕТ</w:t>
      </w:r>
      <w:r>
        <w:rPr>
          <w:rFonts w:ascii="Segoe UI Symbol" w:eastAsia="Segoe UI Symbol" w:hAnsi="Segoe UI Symbol" w:cs="Segoe UI Symbol"/>
        </w:rPr>
        <w:t>☐</w:t>
      </w: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несколько минут и </w:t>
      </w:r>
      <w:r>
        <w:tab/>
        <w:t xml:space="preserve"> </w:t>
      </w:r>
      <w:r>
        <w:tab/>
        <w:t xml:space="preserve"> </w:t>
      </w:r>
      <w:r>
        <w:tab/>
        <w:t xml:space="preserve"> более </w:t>
      </w:r>
      <w:r>
        <w:tab/>
        <w:t xml:space="preserve">1 </w:t>
      </w:r>
      <w:r>
        <w:tab/>
        <w:t xml:space="preserve">раза </w:t>
      </w:r>
      <w:r>
        <w:tab/>
        <w:t xml:space="preserve">в </w:t>
      </w:r>
      <w:r>
        <w:tab/>
        <w:t xml:space="preserve">Ничего </w:t>
      </w:r>
      <w:r>
        <w:tab/>
        <w:t xml:space="preserve">из  </w:t>
      </w:r>
      <w:r>
        <w:tab/>
        <w:t xml:space="preserve"> </w:t>
      </w:r>
    </w:p>
    <w:p w:rsidR="00F15F71" w:rsidRDefault="00F974CD">
      <w:pPr>
        <w:spacing w:after="80" w:line="261" w:lineRule="auto"/>
        <w:ind w:left="10"/>
      </w:pPr>
      <w:r>
        <w:t>неделю? перечисленного 1-</w:t>
      </w:r>
      <w:r>
        <w:t>2 пункта из 3-4 пункта из Ограничивает ли ДА</w:t>
      </w:r>
      <w:r>
        <w:rPr>
          <w:rFonts w:ascii="Segoe UI Symbol" w:eastAsia="Segoe UI Symbol" w:hAnsi="Segoe UI Symbol" w:cs="Segoe UI Symbol"/>
        </w:rPr>
        <w:t>☐</w:t>
      </w:r>
      <w:r>
        <w:t xml:space="preserve"> перечисленного перечисленного </w:t>
      </w:r>
    </w:p>
    <w:p w:rsidR="00F15F71" w:rsidRDefault="00F974CD">
      <w:pPr>
        <w:spacing w:line="285" w:lineRule="auto"/>
        <w:ind w:left="-5" w:right="7156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-71627</wp:posOffset>
                </wp:positionH>
                <wp:positionV relativeFrom="paragraph">
                  <wp:posOffset>-1653804</wp:posOffset>
                </wp:positionV>
                <wp:extent cx="6377635" cy="6543548"/>
                <wp:effectExtent l="0" t="0" r="0" b="0"/>
                <wp:wrapNone/>
                <wp:docPr id="270027" name="Group 2700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7635" cy="6543548"/>
                          <a:chOff x="0" y="0"/>
                          <a:chExt cx="6377635" cy="6543548"/>
                        </a:xfrm>
                      </wpg:grpSpPr>
                      <wps:wsp>
                        <wps:cNvPr id="278457" name="Shape 278457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58" name="Shape 278458"/>
                        <wps:cNvSpPr/>
                        <wps:spPr>
                          <a:xfrm>
                            <a:off x="6096" y="0"/>
                            <a:ext cx="22588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58822" h="9144">
                                <a:moveTo>
                                  <a:pt x="0" y="0"/>
                                </a:moveTo>
                                <a:lnTo>
                                  <a:pt x="2258822" y="0"/>
                                </a:lnTo>
                                <a:lnTo>
                                  <a:pt x="22588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59" name="Shape 278459"/>
                        <wps:cNvSpPr/>
                        <wps:spPr>
                          <a:xfrm>
                            <a:off x="2264994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60" name="Shape 278460"/>
                        <wps:cNvSpPr/>
                        <wps:spPr>
                          <a:xfrm>
                            <a:off x="2271091" y="0"/>
                            <a:ext cx="410044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00449" h="9144">
                                <a:moveTo>
                                  <a:pt x="0" y="0"/>
                                </a:moveTo>
                                <a:lnTo>
                                  <a:pt x="4100449" y="0"/>
                                </a:lnTo>
                                <a:lnTo>
                                  <a:pt x="410044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61" name="Shape 278461"/>
                        <wps:cNvSpPr/>
                        <wps:spPr>
                          <a:xfrm>
                            <a:off x="6371539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62" name="Shape 278462"/>
                        <wps:cNvSpPr/>
                        <wps:spPr>
                          <a:xfrm>
                            <a:off x="0" y="6096"/>
                            <a:ext cx="91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678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6784"/>
                                </a:lnTo>
                                <a:lnTo>
                                  <a:pt x="0" y="176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63" name="Shape 278463"/>
                        <wps:cNvSpPr/>
                        <wps:spPr>
                          <a:xfrm>
                            <a:off x="2264994" y="6096"/>
                            <a:ext cx="91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678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6784"/>
                                </a:lnTo>
                                <a:lnTo>
                                  <a:pt x="0" y="176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64" name="Shape 278464"/>
                        <wps:cNvSpPr/>
                        <wps:spPr>
                          <a:xfrm>
                            <a:off x="6371539" y="6096"/>
                            <a:ext cx="91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678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6784"/>
                                </a:lnTo>
                                <a:lnTo>
                                  <a:pt x="0" y="17678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65" name="Shape 278465"/>
                        <wps:cNvSpPr/>
                        <wps:spPr>
                          <a:xfrm>
                            <a:off x="0" y="1828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66" name="Shape 278466"/>
                        <wps:cNvSpPr/>
                        <wps:spPr>
                          <a:xfrm>
                            <a:off x="6096" y="182880"/>
                            <a:ext cx="225882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58822" h="9144">
                                <a:moveTo>
                                  <a:pt x="0" y="0"/>
                                </a:moveTo>
                                <a:lnTo>
                                  <a:pt x="2258822" y="0"/>
                                </a:lnTo>
                                <a:lnTo>
                                  <a:pt x="225882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67" name="Shape 278467"/>
                        <wps:cNvSpPr/>
                        <wps:spPr>
                          <a:xfrm>
                            <a:off x="2264994" y="1828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68" name="Shape 278468"/>
                        <wps:cNvSpPr/>
                        <wps:spPr>
                          <a:xfrm>
                            <a:off x="2271091" y="182880"/>
                            <a:ext cx="124084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0841" h="9144">
                                <a:moveTo>
                                  <a:pt x="0" y="0"/>
                                </a:moveTo>
                                <a:lnTo>
                                  <a:pt x="1240841" y="0"/>
                                </a:lnTo>
                                <a:lnTo>
                                  <a:pt x="124084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69" name="Shape 278469"/>
                        <wps:cNvSpPr/>
                        <wps:spPr>
                          <a:xfrm>
                            <a:off x="3511880" y="1828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70" name="Shape 278470"/>
                        <wps:cNvSpPr/>
                        <wps:spPr>
                          <a:xfrm>
                            <a:off x="3517976" y="182880"/>
                            <a:ext cx="124084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0841" h="9144">
                                <a:moveTo>
                                  <a:pt x="0" y="0"/>
                                </a:moveTo>
                                <a:lnTo>
                                  <a:pt x="1240841" y="0"/>
                                </a:lnTo>
                                <a:lnTo>
                                  <a:pt x="124084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71" name="Shape 278471"/>
                        <wps:cNvSpPr/>
                        <wps:spPr>
                          <a:xfrm>
                            <a:off x="4758893" y="1828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72" name="Shape 278472"/>
                        <wps:cNvSpPr/>
                        <wps:spPr>
                          <a:xfrm>
                            <a:off x="4764990" y="182880"/>
                            <a:ext cx="160655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6550" h="9144">
                                <a:moveTo>
                                  <a:pt x="0" y="0"/>
                                </a:moveTo>
                                <a:lnTo>
                                  <a:pt x="1606550" y="0"/>
                                </a:lnTo>
                                <a:lnTo>
                                  <a:pt x="160655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73" name="Shape 278473"/>
                        <wps:cNvSpPr/>
                        <wps:spPr>
                          <a:xfrm>
                            <a:off x="6371539" y="18288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74" name="Shape 278474"/>
                        <wps:cNvSpPr/>
                        <wps:spPr>
                          <a:xfrm>
                            <a:off x="0" y="188976"/>
                            <a:ext cx="9144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505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50520"/>
                                </a:lnTo>
                                <a:lnTo>
                                  <a:pt x="0" y="3505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75" name="Shape 278475"/>
                        <wps:cNvSpPr/>
                        <wps:spPr>
                          <a:xfrm>
                            <a:off x="2264994" y="188976"/>
                            <a:ext cx="9144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505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50520"/>
                                </a:lnTo>
                                <a:lnTo>
                                  <a:pt x="0" y="3505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76" name="Shape 278476"/>
                        <wps:cNvSpPr/>
                        <wps:spPr>
                          <a:xfrm>
                            <a:off x="3511880" y="188976"/>
                            <a:ext cx="9144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505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50520"/>
                                </a:lnTo>
                                <a:lnTo>
                                  <a:pt x="0" y="3505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77" name="Shape 278477"/>
                        <wps:cNvSpPr/>
                        <wps:spPr>
                          <a:xfrm>
                            <a:off x="4758893" y="188976"/>
                            <a:ext cx="9144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505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50520"/>
                                </a:lnTo>
                                <a:lnTo>
                                  <a:pt x="0" y="3505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78" name="Shape 278478"/>
                        <wps:cNvSpPr/>
                        <wps:spPr>
                          <a:xfrm>
                            <a:off x="6371539" y="188976"/>
                            <a:ext cx="9144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35052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50520"/>
                                </a:lnTo>
                                <a:lnTo>
                                  <a:pt x="0" y="3505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79" name="Shape 278479"/>
                        <wps:cNvSpPr/>
                        <wps:spPr>
                          <a:xfrm>
                            <a:off x="0" y="53949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80" name="Shape 278480"/>
                        <wps:cNvSpPr/>
                        <wps:spPr>
                          <a:xfrm>
                            <a:off x="6096" y="539496"/>
                            <a:ext cx="15029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2918" h="9144">
                                <a:moveTo>
                                  <a:pt x="0" y="0"/>
                                </a:moveTo>
                                <a:lnTo>
                                  <a:pt x="1502918" y="0"/>
                                </a:lnTo>
                                <a:lnTo>
                                  <a:pt x="15029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81" name="Shape 278481"/>
                        <wps:cNvSpPr/>
                        <wps:spPr>
                          <a:xfrm>
                            <a:off x="1509090" y="53949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82" name="Shape 278482"/>
                        <wps:cNvSpPr/>
                        <wps:spPr>
                          <a:xfrm>
                            <a:off x="1515186" y="539496"/>
                            <a:ext cx="7498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9808" h="9144">
                                <a:moveTo>
                                  <a:pt x="0" y="0"/>
                                </a:moveTo>
                                <a:lnTo>
                                  <a:pt x="749808" y="0"/>
                                </a:lnTo>
                                <a:lnTo>
                                  <a:pt x="7498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83" name="Shape 278483"/>
                        <wps:cNvSpPr/>
                        <wps:spPr>
                          <a:xfrm>
                            <a:off x="2264994" y="53949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84" name="Shape 278484"/>
                        <wps:cNvSpPr/>
                        <wps:spPr>
                          <a:xfrm>
                            <a:off x="2271091" y="539496"/>
                            <a:ext cx="124084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0841" h="9144">
                                <a:moveTo>
                                  <a:pt x="0" y="0"/>
                                </a:moveTo>
                                <a:lnTo>
                                  <a:pt x="1240841" y="0"/>
                                </a:lnTo>
                                <a:lnTo>
                                  <a:pt x="124084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85" name="Shape 278485"/>
                        <wps:cNvSpPr/>
                        <wps:spPr>
                          <a:xfrm>
                            <a:off x="3511880" y="53949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86" name="Shape 278486"/>
                        <wps:cNvSpPr/>
                        <wps:spPr>
                          <a:xfrm>
                            <a:off x="3517976" y="539496"/>
                            <a:ext cx="124084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0841" h="9144">
                                <a:moveTo>
                                  <a:pt x="0" y="0"/>
                                </a:moveTo>
                                <a:lnTo>
                                  <a:pt x="1240841" y="0"/>
                                </a:lnTo>
                                <a:lnTo>
                                  <a:pt x="124084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87" name="Shape 278487"/>
                        <wps:cNvSpPr/>
                        <wps:spPr>
                          <a:xfrm>
                            <a:off x="4758893" y="53949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88" name="Shape 278488"/>
                        <wps:cNvSpPr/>
                        <wps:spPr>
                          <a:xfrm>
                            <a:off x="4764990" y="539496"/>
                            <a:ext cx="160655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6550" h="9144">
                                <a:moveTo>
                                  <a:pt x="0" y="0"/>
                                </a:moveTo>
                                <a:lnTo>
                                  <a:pt x="1606550" y="0"/>
                                </a:lnTo>
                                <a:lnTo>
                                  <a:pt x="160655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89" name="Shape 278489"/>
                        <wps:cNvSpPr/>
                        <wps:spPr>
                          <a:xfrm>
                            <a:off x="6371539" y="53949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90" name="Shape 278490"/>
                        <wps:cNvSpPr/>
                        <wps:spPr>
                          <a:xfrm>
                            <a:off x="0" y="545592"/>
                            <a:ext cx="9144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8763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876300"/>
                                </a:lnTo>
                                <a:lnTo>
                                  <a:pt x="0" y="8763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91" name="Shape 278491"/>
                        <wps:cNvSpPr/>
                        <wps:spPr>
                          <a:xfrm>
                            <a:off x="1509090" y="545592"/>
                            <a:ext cx="9144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8763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876300"/>
                                </a:lnTo>
                                <a:lnTo>
                                  <a:pt x="0" y="8763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92" name="Shape 278492"/>
                        <wps:cNvSpPr/>
                        <wps:spPr>
                          <a:xfrm>
                            <a:off x="2264994" y="545592"/>
                            <a:ext cx="9144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8763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876300"/>
                                </a:lnTo>
                                <a:lnTo>
                                  <a:pt x="0" y="8763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93" name="Shape 278493"/>
                        <wps:cNvSpPr/>
                        <wps:spPr>
                          <a:xfrm>
                            <a:off x="3511880" y="545592"/>
                            <a:ext cx="9144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8763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876300"/>
                                </a:lnTo>
                                <a:lnTo>
                                  <a:pt x="0" y="8763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94" name="Shape 278494"/>
                        <wps:cNvSpPr/>
                        <wps:spPr>
                          <a:xfrm>
                            <a:off x="4758893" y="545592"/>
                            <a:ext cx="9144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8763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876300"/>
                                </a:lnTo>
                                <a:lnTo>
                                  <a:pt x="0" y="8763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95" name="Shape 278495"/>
                        <wps:cNvSpPr/>
                        <wps:spPr>
                          <a:xfrm>
                            <a:off x="6371539" y="545592"/>
                            <a:ext cx="9144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8763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876300"/>
                                </a:lnTo>
                                <a:lnTo>
                                  <a:pt x="0" y="8763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96" name="Shape 278496"/>
                        <wps:cNvSpPr/>
                        <wps:spPr>
                          <a:xfrm>
                            <a:off x="0" y="142189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97" name="Shape 278497"/>
                        <wps:cNvSpPr/>
                        <wps:spPr>
                          <a:xfrm>
                            <a:off x="6096" y="1421892"/>
                            <a:ext cx="15029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2918" h="9144">
                                <a:moveTo>
                                  <a:pt x="0" y="0"/>
                                </a:moveTo>
                                <a:lnTo>
                                  <a:pt x="1502918" y="0"/>
                                </a:lnTo>
                                <a:lnTo>
                                  <a:pt x="15029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98" name="Shape 278498"/>
                        <wps:cNvSpPr/>
                        <wps:spPr>
                          <a:xfrm>
                            <a:off x="1509090" y="142189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99" name="Shape 278499"/>
                        <wps:cNvSpPr/>
                        <wps:spPr>
                          <a:xfrm>
                            <a:off x="1515186" y="1421892"/>
                            <a:ext cx="7498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9808" h="9144">
                                <a:moveTo>
                                  <a:pt x="0" y="0"/>
                                </a:moveTo>
                                <a:lnTo>
                                  <a:pt x="749808" y="0"/>
                                </a:lnTo>
                                <a:lnTo>
                                  <a:pt x="7498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00" name="Shape 278500"/>
                        <wps:cNvSpPr/>
                        <wps:spPr>
                          <a:xfrm>
                            <a:off x="2264994" y="142189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01" name="Shape 278501"/>
                        <wps:cNvSpPr/>
                        <wps:spPr>
                          <a:xfrm>
                            <a:off x="3511880" y="142189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02" name="Shape 278502"/>
                        <wps:cNvSpPr/>
                        <wps:spPr>
                          <a:xfrm>
                            <a:off x="4758893" y="142189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03" name="Shape 278503"/>
                        <wps:cNvSpPr/>
                        <wps:spPr>
                          <a:xfrm>
                            <a:off x="6371539" y="142189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04" name="Shape 278504"/>
                        <wps:cNvSpPr/>
                        <wps:spPr>
                          <a:xfrm>
                            <a:off x="0" y="1428114"/>
                            <a:ext cx="9144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40233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402334"/>
                                </a:lnTo>
                                <a:lnTo>
                                  <a:pt x="0" y="14023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05" name="Shape 278505"/>
                        <wps:cNvSpPr/>
                        <wps:spPr>
                          <a:xfrm>
                            <a:off x="1509090" y="1428114"/>
                            <a:ext cx="9144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40233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402334"/>
                                </a:lnTo>
                                <a:lnTo>
                                  <a:pt x="0" y="14023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06" name="Shape 278506"/>
                        <wps:cNvSpPr/>
                        <wps:spPr>
                          <a:xfrm>
                            <a:off x="2264994" y="1428114"/>
                            <a:ext cx="9144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40233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402334"/>
                                </a:lnTo>
                                <a:lnTo>
                                  <a:pt x="0" y="14023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07" name="Shape 278507"/>
                        <wps:cNvSpPr/>
                        <wps:spPr>
                          <a:xfrm>
                            <a:off x="3511880" y="1428114"/>
                            <a:ext cx="9144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40233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402334"/>
                                </a:lnTo>
                                <a:lnTo>
                                  <a:pt x="0" y="14023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08" name="Shape 278508"/>
                        <wps:cNvSpPr/>
                        <wps:spPr>
                          <a:xfrm>
                            <a:off x="4758893" y="1428114"/>
                            <a:ext cx="9144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40233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402334"/>
                                </a:lnTo>
                                <a:lnTo>
                                  <a:pt x="0" y="14023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09" name="Shape 278509"/>
                        <wps:cNvSpPr/>
                        <wps:spPr>
                          <a:xfrm>
                            <a:off x="6371539" y="1428114"/>
                            <a:ext cx="9144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40233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402334"/>
                                </a:lnTo>
                                <a:lnTo>
                                  <a:pt x="0" y="14023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10" name="Shape 278510"/>
                        <wps:cNvSpPr/>
                        <wps:spPr>
                          <a:xfrm>
                            <a:off x="0" y="283044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11" name="Shape 278511"/>
                        <wps:cNvSpPr/>
                        <wps:spPr>
                          <a:xfrm>
                            <a:off x="6096" y="2830449"/>
                            <a:ext cx="15029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2918" h="9144">
                                <a:moveTo>
                                  <a:pt x="0" y="0"/>
                                </a:moveTo>
                                <a:lnTo>
                                  <a:pt x="1502918" y="0"/>
                                </a:lnTo>
                                <a:lnTo>
                                  <a:pt x="15029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12" name="Shape 278512"/>
                        <wps:cNvSpPr/>
                        <wps:spPr>
                          <a:xfrm>
                            <a:off x="1509090" y="283044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13" name="Shape 278513"/>
                        <wps:cNvSpPr/>
                        <wps:spPr>
                          <a:xfrm>
                            <a:off x="1515186" y="2830449"/>
                            <a:ext cx="7498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9808" h="9144">
                                <a:moveTo>
                                  <a:pt x="0" y="0"/>
                                </a:moveTo>
                                <a:lnTo>
                                  <a:pt x="749808" y="0"/>
                                </a:lnTo>
                                <a:lnTo>
                                  <a:pt x="7498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14" name="Shape 278514"/>
                        <wps:cNvSpPr/>
                        <wps:spPr>
                          <a:xfrm>
                            <a:off x="2264994" y="283044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15" name="Shape 278515"/>
                        <wps:cNvSpPr/>
                        <wps:spPr>
                          <a:xfrm>
                            <a:off x="3511880" y="283044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16" name="Shape 278516"/>
                        <wps:cNvSpPr/>
                        <wps:spPr>
                          <a:xfrm>
                            <a:off x="4758893" y="283044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17" name="Shape 278517"/>
                        <wps:cNvSpPr/>
                        <wps:spPr>
                          <a:xfrm>
                            <a:off x="6371539" y="283044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18" name="Shape 278518"/>
                        <wps:cNvSpPr/>
                        <wps:spPr>
                          <a:xfrm>
                            <a:off x="0" y="2836545"/>
                            <a:ext cx="9144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578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5780"/>
                                </a:lnTo>
                                <a:lnTo>
                                  <a:pt x="0" y="52578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19" name="Shape 278519"/>
                        <wps:cNvSpPr/>
                        <wps:spPr>
                          <a:xfrm>
                            <a:off x="1509090" y="2836545"/>
                            <a:ext cx="9144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578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5780"/>
                                </a:lnTo>
                                <a:lnTo>
                                  <a:pt x="0" y="52578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20" name="Shape 278520"/>
                        <wps:cNvSpPr/>
                        <wps:spPr>
                          <a:xfrm>
                            <a:off x="2264994" y="2836545"/>
                            <a:ext cx="9144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578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5780"/>
                                </a:lnTo>
                                <a:lnTo>
                                  <a:pt x="0" y="52578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21" name="Shape 278521"/>
                        <wps:cNvSpPr/>
                        <wps:spPr>
                          <a:xfrm>
                            <a:off x="3511880" y="2836545"/>
                            <a:ext cx="9144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578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5780"/>
                                </a:lnTo>
                                <a:lnTo>
                                  <a:pt x="0" y="52578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22" name="Shape 278522"/>
                        <wps:cNvSpPr/>
                        <wps:spPr>
                          <a:xfrm>
                            <a:off x="4758893" y="2836545"/>
                            <a:ext cx="9144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578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5780"/>
                                </a:lnTo>
                                <a:lnTo>
                                  <a:pt x="0" y="52578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23" name="Shape 278523"/>
                        <wps:cNvSpPr/>
                        <wps:spPr>
                          <a:xfrm>
                            <a:off x="6371539" y="2836545"/>
                            <a:ext cx="9144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52578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525780"/>
                                </a:lnTo>
                                <a:lnTo>
                                  <a:pt x="0" y="52578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24" name="Shape 278524"/>
                        <wps:cNvSpPr/>
                        <wps:spPr>
                          <a:xfrm>
                            <a:off x="0" y="336232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25" name="Shape 278525"/>
                        <wps:cNvSpPr/>
                        <wps:spPr>
                          <a:xfrm>
                            <a:off x="6096" y="3362325"/>
                            <a:ext cx="15029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2918" h="9144">
                                <a:moveTo>
                                  <a:pt x="0" y="0"/>
                                </a:moveTo>
                                <a:lnTo>
                                  <a:pt x="1502918" y="0"/>
                                </a:lnTo>
                                <a:lnTo>
                                  <a:pt x="15029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26" name="Shape 278526"/>
                        <wps:cNvSpPr/>
                        <wps:spPr>
                          <a:xfrm>
                            <a:off x="1509090" y="336232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27" name="Shape 278527"/>
                        <wps:cNvSpPr/>
                        <wps:spPr>
                          <a:xfrm>
                            <a:off x="1515186" y="3362325"/>
                            <a:ext cx="7498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9808" h="9144">
                                <a:moveTo>
                                  <a:pt x="0" y="0"/>
                                </a:moveTo>
                                <a:lnTo>
                                  <a:pt x="749808" y="0"/>
                                </a:lnTo>
                                <a:lnTo>
                                  <a:pt x="7498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28" name="Shape 278528"/>
                        <wps:cNvSpPr/>
                        <wps:spPr>
                          <a:xfrm>
                            <a:off x="2264994" y="336232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29" name="Shape 278529"/>
                        <wps:cNvSpPr/>
                        <wps:spPr>
                          <a:xfrm>
                            <a:off x="3511880" y="336232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30" name="Shape 278530"/>
                        <wps:cNvSpPr/>
                        <wps:spPr>
                          <a:xfrm>
                            <a:off x="4758893" y="336232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31" name="Shape 278531"/>
                        <wps:cNvSpPr/>
                        <wps:spPr>
                          <a:xfrm>
                            <a:off x="6371539" y="336232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32" name="Shape 278532"/>
                        <wps:cNvSpPr/>
                        <wps:spPr>
                          <a:xfrm>
                            <a:off x="0" y="3368370"/>
                            <a:ext cx="9144" cy="7013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3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345"/>
                                </a:lnTo>
                                <a:lnTo>
                                  <a:pt x="0" y="7013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33" name="Shape 278533"/>
                        <wps:cNvSpPr/>
                        <wps:spPr>
                          <a:xfrm>
                            <a:off x="1509090" y="3368370"/>
                            <a:ext cx="9144" cy="7013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3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345"/>
                                </a:lnTo>
                                <a:lnTo>
                                  <a:pt x="0" y="7013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34" name="Shape 278534"/>
                        <wps:cNvSpPr/>
                        <wps:spPr>
                          <a:xfrm>
                            <a:off x="2264994" y="3368370"/>
                            <a:ext cx="9144" cy="7013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3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345"/>
                                </a:lnTo>
                                <a:lnTo>
                                  <a:pt x="0" y="7013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35" name="Shape 278535"/>
                        <wps:cNvSpPr/>
                        <wps:spPr>
                          <a:xfrm>
                            <a:off x="3511880" y="3368370"/>
                            <a:ext cx="9144" cy="7013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3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345"/>
                                </a:lnTo>
                                <a:lnTo>
                                  <a:pt x="0" y="7013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36" name="Shape 278536"/>
                        <wps:cNvSpPr/>
                        <wps:spPr>
                          <a:xfrm>
                            <a:off x="4758893" y="3368370"/>
                            <a:ext cx="9144" cy="7013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3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345"/>
                                </a:lnTo>
                                <a:lnTo>
                                  <a:pt x="0" y="7013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37" name="Shape 278537"/>
                        <wps:cNvSpPr/>
                        <wps:spPr>
                          <a:xfrm>
                            <a:off x="6371539" y="3368370"/>
                            <a:ext cx="9144" cy="7013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70134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701345"/>
                                </a:lnTo>
                                <a:lnTo>
                                  <a:pt x="0" y="7013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38" name="Shape 278538"/>
                        <wps:cNvSpPr/>
                        <wps:spPr>
                          <a:xfrm>
                            <a:off x="0" y="406971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39" name="Shape 278539"/>
                        <wps:cNvSpPr/>
                        <wps:spPr>
                          <a:xfrm>
                            <a:off x="6096" y="4069715"/>
                            <a:ext cx="150291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2918" h="9144">
                                <a:moveTo>
                                  <a:pt x="0" y="0"/>
                                </a:moveTo>
                                <a:lnTo>
                                  <a:pt x="1502918" y="0"/>
                                </a:lnTo>
                                <a:lnTo>
                                  <a:pt x="150291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40" name="Shape 278540"/>
                        <wps:cNvSpPr/>
                        <wps:spPr>
                          <a:xfrm>
                            <a:off x="1509090" y="406971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41" name="Shape 278541"/>
                        <wps:cNvSpPr/>
                        <wps:spPr>
                          <a:xfrm>
                            <a:off x="1515186" y="4069715"/>
                            <a:ext cx="7498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9808" h="9144">
                                <a:moveTo>
                                  <a:pt x="0" y="0"/>
                                </a:moveTo>
                                <a:lnTo>
                                  <a:pt x="749808" y="0"/>
                                </a:lnTo>
                                <a:lnTo>
                                  <a:pt x="7498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42" name="Shape 278542"/>
                        <wps:cNvSpPr/>
                        <wps:spPr>
                          <a:xfrm>
                            <a:off x="2264994" y="406971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43" name="Shape 278543"/>
                        <wps:cNvSpPr/>
                        <wps:spPr>
                          <a:xfrm>
                            <a:off x="2271091" y="4069715"/>
                            <a:ext cx="124084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0841" h="9144">
                                <a:moveTo>
                                  <a:pt x="0" y="0"/>
                                </a:moveTo>
                                <a:lnTo>
                                  <a:pt x="1240841" y="0"/>
                                </a:lnTo>
                                <a:lnTo>
                                  <a:pt x="124084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44" name="Shape 278544"/>
                        <wps:cNvSpPr/>
                        <wps:spPr>
                          <a:xfrm>
                            <a:off x="3511880" y="406971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45" name="Shape 278545"/>
                        <wps:cNvSpPr/>
                        <wps:spPr>
                          <a:xfrm>
                            <a:off x="3517976" y="4069715"/>
                            <a:ext cx="1240841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0841" h="9144">
                                <a:moveTo>
                                  <a:pt x="0" y="0"/>
                                </a:moveTo>
                                <a:lnTo>
                                  <a:pt x="1240841" y="0"/>
                                </a:lnTo>
                                <a:lnTo>
                                  <a:pt x="124084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46" name="Shape 278546"/>
                        <wps:cNvSpPr/>
                        <wps:spPr>
                          <a:xfrm>
                            <a:off x="4758893" y="406971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47" name="Shape 278547"/>
                        <wps:cNvSpPr/>
                        <wps:spPr>
                          <a:xfrm>
                            <a:off x="4764990" y="4069715"/>
                            <a:ext cx="160655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6550" h="9144">
                                <a:moveTo>
                                  <a:pt x="0" y="0"/>
                                </a:moveTo>
                                <a:lnTo>
                                  <a:pt x="1606550" y="0"/>
                                </a:lnTo>
                                <a:lnTo>
                                  <a:pt x="160655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48" name="Shape 278548"/>
                        <wps:cNvSpPr/>
                        <wps:spPr>
                          <a:xfrm>
                            <a:off x="6371539" y="406971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49" name="Shape 278549"/>
                        <wps:cNvSpPr/>
                        <wps:spPr>
                          <a:xfrm>
                            <a:off x="0" y="4075811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50" name="Shape 278550"/>
                        <wps:cNvSpPr/>
                        <wps:spPr>
                          <a:xfrm>
                            <a:off x="6371539" y="4075811"/>
                            <a:ext cx="91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7526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7526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51" name="Shape 278551"/>
                        <wps:cNvSpPr/>
                        <wps:spPr>
                          <a:xfrm>
                            <a:off x="0" y="425107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52" name="Shape 278552"/>
                        <wps:cNvSpPr/>
                        <wps:spPr>
                          <a:xfrm>
                            <a:off x="6096" y="4251071"/>
                            <a:ext cx="636549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5494" h="9144">
                                <a:moveTo>
                                  <a:pt x="0" y="0"/>
                                </a:moveTo>
                                <a:lnTo>
                                  <a:pt x="6365494" y="0"/>
                                </a:lnTo>
                                <a:lnTo>
                                  <a:pt x="636549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53" name="Shape 278553"/>
                        <wps:cNvSpPr/>
                        <wps:spPr>
                          <a:xfrm>
                            <a:off x="6371539" y="4251071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54" name="Shape 278554"/>
                        <wps:cNvSpPr/>
                        <wps:spPr>
                          <a:xfrm>
                            <a:off x="0" y="4257294"/>
                            <a:ext cx="9144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10489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104898"/>
                                </a:lnTo>
                                <a:lnTo>
                                  <a:pt x="0" y="210489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55" name="Shape 278555"/>
                        <wps:cNvSpPr/>
                        <wps:spPr>
                          <a:xfrm>
                            <a:off x="0" y="636219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56" name="Shape 278556"/>
                        <wps:cNvSpPr/>
                        <wps:spPr>
                          <a:xfrm>
                            <a:off x="6096" y="6362192"/>
                            <a:ext cx="636549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5494" h="9144">
                                <a:moveTo>
                                  <a:pt x="0" y="0"/>
                                </a:moveTo>
                                <a:lnTo>
                                  <a:pt x="6365494" y="0"/>
                                </a:lnTo>
                                <a:lnTo>
                                  <a:pt x="636549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57" name="Shape 278557"/>
                        <wps:cNvSpPr/>
                        <wps:spPr>
                          <a:xfrm>
                            <a:off x="6371539" y="4257294"/>
                            <a:ext cx="9144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104898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104898"/>
                                </a:lnTo>
                                <a:lnTo>
                                  <a:pt x="0" y="210489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58" name="Shape 278558"/>
                        <wps:cNvSpPr/>
                        <wps:spPr>
                          <a:xfrm>
                            <a:off x="6371539" y="6362192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59" name="Shape 278559"/>
                        <wps:cNvSpPr/>
                        <wps:spPr>
                          <a:xfrm>
                            <a:off x="53340" y="6368288"/>
                            <a:ext cx="5978018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8" h="175261">
                                <a:moveTo>
                                  <a:pt x="0" y="0"/>
                                </a:moveTo>
                                <a:lnTo>
                                  <a:pt x="5978018" y="0"/>
                                </a:lnTo>
                                <a:lnTo>
                                  <a:pt x="5978018" y="175261"/>
                                </a:lnTo>
                                <a:lnTo>
                                  <a:pt x="0" y="17526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0027" style="width:502.176pt;height:515.24pt;position:absolute;z-index:-2147483512;mso-position-horizontal-relative:text;mso-position-horizontal:absolute;margin-left:-5.64pt;mso-position-vertical-relative:text;margin-top:-130.221pt;" coordsize="63776,65435">
                <v:shape id="Shape 278560" style="position:absolute;width:91;height:91;left:0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61" style="position:absolute;width:22588;height:91;left:60;top:0;" coordsize="2258822,9144" path="m0,0l2258822,0l2258822,9144l0,9144l0,0">
                  <v:stroke weight="0pt" endcap="flat" joinstyle="miter" miterlimit="10" on="false" color="#000000" opacity="0"/>
                  <v:fill on="true" color="#000000"/>
                </v:shape>
                <v:shape id="Shape 278562" style="position:absolute;width:91;height:91;left:22649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63" style="position:absolute;width:41004;height:91;left:22710;top:0;" coordsize="4100449,9144" path="m0,0l4100449,0l4100449,9144l0,9144l0,0">
                  <v:stroke weight="0pt" endcap="flat" joinstyle="miter" miterlimit="10" on="false" color="#000000" opacity="0"/>
                  <v:fill on="true" color="#000000"/>
                </v:shape>
                <v:shape id="Shape 278564" style="position:absolute;width:91;height:91;left:63715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65" style="position:absolute;width:91;height:1767;left:0;top:60;" coordsize="9144,176784" path="m0,0l9144,0l9144,176784l0,176784l0,0">
                  <v:stroke weight="0pt" endcap="flat" joinstyle="miter" miterlimit="10" on="false" color="#000000" opacity="0"/>
                  <v:fill on="true" color="#000000"/>
                </v:shape>
                <v:shape id="Shape 278566" style="position:absolute;width:91;height:1767;left:22649;top:60;" coordsize="9144,176784" path="m0,0l9144,0l9144,176784l0,176784l0,0">
                  <v:stroke weight="0pt" endcap="flat" joinstyle="miter" miterlimit="10" on="false" color="#000000" opacity="0"/>
                  <v:fill on="true" color="#000000"/>
                </v:shape>
                <v:shape id="Shape 278567" style="position:absolute;width:91;height:1767;left:63715;top:60;" coordsize="9144,176784" path="m0,0l9144,0l9144,176784l0,176784l0,0">
                  <v:stroke weight="0pt" endcap="flat" joinstyle="miter" miterlimit="10" on="false" color="#000000" opacity="0"/>
                  <v:fill on="true" color="#000000"/>
                </v:shape>
                <v:shape id="Shape 278568" style="position:absolute;width:91;height:91;left:0;top:182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69" style="position:absolute;width:22588;height:91;left:60;top:1828;" coordsize="2258822,9144" path="m0,0l2258822,0l2258822,9144l0,9144l0,0">
                  <v:stroke weight="0pt" endcap="flat" joinstyle="miter" miterlimit="10" on="false" color="#000000" opacity="0"/>
                  <v:fill on="true" color="#000000"/>
                </v:shape>
                <v:shape id="Shape 278570" style="position:absolute;width:91;height:91;left:22649;top:182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71" style="position:absolute;width:12408;height:91;left:22710;top:1828;" coordsize="1240841,9144" path="m0,0l1240841,0l1240841,9144l0,9144l0,0">
                  <v:stroke weight="0pt" endcap="flat" joinstyle="miter" miterlimit="10" on="false" color="#000000" opacity="0"/>
                  <v:fill on="true" color="#000000"/>
                </v:shape>
                <v:shape id="Shape 278572" style="position:absolute;width:91;height:91;left:35118;top:182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73" style="position:absolute;width:12408;height:91;left:35179;top:1828;" coordsize="1240841,9144" path="m0,0l1240841,0l1240841,9144l0,9144l0,0">
                  <v:stroke weight="0pt" endcap="flat" joinstyle="miter" miterlimit="10" on="false" color="#000000" opacity="0"/>
                  <v:fill on="true" color="#000000"/>
                </v:shape>
                <v:shape id="Shape 278574" style="position:absolute;width:91;height:91;left:47588;top:182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75" style="position:absolute;width:16065;height:91;left:47649;top:1828;" coordsize="1606550,9144" path="m0,0l1606550,0l1606550,9144l0,9144l0,0">
                  <v:stroke weight="0pt" endcap="flat" joinstyle="miter" miterlimit="10" on="false" color="#000000" opacity="0"/>
                  <v:fill on="true" color="#000000"/>
                </v:shape>
                <v:shape id="Shape 278576" style="position:absolute;width:91;height:91;left:63715;top:182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77" style="position:absolute;width:91;height:3505;left:0;top:1889;" coordsize="9144,350520" path="m0,0l9144,0l9144,350520l0,350520l0,0">
                  <v:stroke weight="0pt" endcap="flat" joinstyle="miter" miterlimit="10" on="false" color="#000000" opacity="0"/>
                  <v:fill on="true" color="#000000"/>
                </v:shape>
                <v:shape id="Shape 278578" style="position:absolute;width:91;height:3505;left:22649;top:1889;" coordsize="9144,350520" path="m0,0l9144,0l9144,350520l0,350520l0,0">
                  <v:stroke weight="0pt" endcap="flat" joinstyle="miter" miterlimit="10" on="false" color="#000000" opacity="0"/>
                  <v:fill on="true" color="#000000"/>
                </v:shape>
                <v:shape id="Shape 278579" style="position:absolute;width:91;height:3505;left:35118;top:1889;" coordsize="9144,350520" path="m0,0l9144,0l9144,350520l0,350520l0,0">
                  <v:stroke weight="0pt" endcap="flat" joinstyle="miter" miterlimit="10" on="false" color="#000000" opacity="0"/>
                  <v:fill on="true" color="#000000"/>
                </v:shape>
                <v:shape id="Shape 278580" style="position:absolute;width:91;height:3505;left:47588;top:1889;" coordsize="9144,350520" path="m0,0l9144,0l9144,350520l0,350520l0,0">
                  <v:stroke weight="0pt" endcap="flat" joinstyle="miter" miterlimit="10" on="false" color="#000000" opacity="0"/>
                  <v:fill on="true" color="#000000"/>
                </v:shape>
                <v:shape id="Shape 278581" style="position:absolute;width:91;height:3505;left:63715;top:1889;" coordsize="9144,350520" path="m0,0l9144,0l9144,350520l0,350520l0,0">
                  <v:stroke weight="0pt" endcap="flat" joinstyle="miter" miterlimit="10" on="false" color="#000000" opacity="0"/>
                  <v:fill on="true" color="#000000"/>
                </v:shape>
                <v:shape id="Shape 278582" style="position:absolute;width:91;height:91;left:0;top:539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83" style="position:absolute;width:15029;height:91;left:60;top:5394;" coordsize="1502918,9144" path="m0,0l1502918,0l1502918,9144l0,9144l0,0">
                  <v:stroke weight="0pt" endcap="flat" joinstyle="miter" miterlimit="10" on="false" color="#000000" opacity="0"/>
                  <v:fill on="true" color="#000000"/>
                </v:shape>
                <v:shape id="Shape 278584" style="position:absolute;width:91;height:91;left:15090;top:539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85" style="position:absolute;width:7498;height:91;left:15151;top:5394;" coordsize="749808,9144" path="m0,0l749808,0l749808,9144l0,9144l0,0">
                  <v:stroke weight="0pt" endcap="flat" joinstyle="miter" miterlimit="10" on="false" color="#000000" opacity="0"/>
                  <v:fill on="true" color="#000000"/>
                </v:shape>
                <v:shape id="Shape 278586" style="position:absolute;width:91;height:91;left:22649;top:539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87" style="position:absolute;width:12408;height:91;left:22710;top:5394;" coordsize="1240841,9144" path="m0,0l1240841,0l1240841,9144l0,9144l0,0">
                  <v:stroke weight="0pt" endcap="flat" joinstyle="miter" miterlimit="10" on="false" color="#000000" opacity="0"/>
                  <v:fill on="true" color="#000000"/>
                </v:shape>
                <v:shape id="Shape 278588" style="position:absolute;width:91;height:91;left:35118;top:539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89" style="position:absolute;width:12408;height:91;left:35179;top:5394;" coordsize="1240841,9144" path="m0,0l1240841,0l1240841,9144l0,9144l0,0">
                  <v:stroke weight="0pt" endcap="flat" joinstyle="miter" miterlimit="10" on="false" color="#000000" opacity="0"/>
                  <v:fill on="true" color="#000000"/>
                </v:shape>
                <v:shape id="Shape 278590" style="position:absolute;width:91;height:91;left:47588;top:539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91" style="position:absolute;width:16065;height:91;left:47649;top:5394;" coordsize="1606550,9144" path="m0,0l1606550,0l1606550,9144l0,9144l0,0">
                  <v:stroke weight="0pt" endcap="flat" joinstyle="miter" miterlimit="10" on="false" color="#000000" opacity="0"/>
                  <v:fill on="true" color="#000000"/>
                </v:shape>
                <v:shape id="Shape 278592" style="position:absolute;width:91;height:91;left:63715;top:539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593" style="position:absolute;width:91;height:8763;left:0;top:5455;" coordsize="9144,876300" path="m0,0l9144,0l9144,876300l0,876300l0,0">
                  <v:stroke weight="0pt" endcap="flat" joinstyle="miter" miterlimit="10" on="false" color="#000000" opacity="0"/>
                  <v:fill on="true" color="#000000"/>
                </v:shape>
                <v:shape id="Shape 278594" style="position:absolute;width:91;height:8763;left:15090;top:5455;" coordsize="9144,876300" path="m0,0l9144,0l9144,876300l0,876300l0,0">
                  <v:stroke weight="0pt" endcap="flat" joinstyle="miter" miterlimit="10" on="false" color="#000000" opacity="0"/>
                  <v:fill on="true" color="#000000"/>
                </v:shape>
                <v:shape id="Shape 278595" style="position:absolute;width:91;height:8763;left:22649;top:5455;" coordsize="9144,876300" path="m0,0l9144,0l9144,876300l0,876300l0,0">
                  <v:stroke weight="0pt" endcap="flat" joinstyle="miter" miterlimit="10" on="false" color="#000000" opacity="0"/>
                  <v:fill on="true" color="#000000"/>
                </v:shape>
                <v:shape id="Shape 278596" style="position:absolute;width:91;height:8763;left:35118;top:5455;" coordsize="9144,876300" path="m0,0l9144,0l9144,876300l0,876300l0,0">
                  <v:stroke weight="0pt" endcap="flat" joinstyle="miter" miterlimit="10" on="false" color="#000000" opacity="0"/>
                  <v:fill on="true" color="#000000"/>
                </v:shape>
                <v:shape id="Shape 278597" style="position:absolute;width:91;height:8763;left:47588;top:5455;" coordsize="9144,876300" path="m0,0l9144,0l9144,876300l0,876300l0,0">
                  <v:stroke weight="0pt" endcap="flat" joinstyle="miter" miterlimit="10" on="false" color="#000000" opacity="0"/>
                  <v:fill on="true" color="#000000"/>
                </v:shape>
                <v:shape id="Shape 278598" style="position:absolute;width:91;height:8763;left:63715;top:5455;" coordsize="9144,876300" path="m0,0l9144,0l9144,876300l0,876300l0,0">
                  <v:stroke weight="0pt" endcap="flat" joinstyle="miter" miterlimit="10" on="false" color="#000000" opacity="0"/>
                  <v:fill on="true" color="#000000"/>
                </v:shape>
                <v:shape id="Shape 278599" style="position:absolute;width:91;height:91;left:0;top:142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00" style="position:absolute;width:15029;height:91;left:60;top:14218;" coordsize="1502918,9144" path="m0,0l1502918,0l1502918,9144l0,9144l0,0">
                  <v:stroke weight="0pt" endcap="flat" joinstyle="miter" miterlimit="10" on="false" color="#000000" opacity="0"/>
                  <v:fill on="true" color="#000000"/>
                </v:shape>
                <v:shape id="Shape 278601" style="position:absolute;width:91;height:91;left:15090;top:142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02" style="position:absolute;width:7498;height:91;left:15151;top:14218;" coordsize="749808,9144" path="m0,0l749808,0l749808,9144l0,9144l0,0">
                  <v:stroke weight="0pt" endcap="flat" joinstyle="miter" miterlimit="10" on="false" color="#000000" opacity="0"/>
                  <v:fill on="true" color="#000000"/>
                </v:shape>
                <v:shape id="Shape 278603" style="position:absolute;width:91;height:91;left:22649;top:142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04" style="position:absolute;width:91;height:91;left:35118;top:142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05" style="position:absolute;width:91;height:91;left:47588;top:142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06" style="position:absolute;width:91;height:91;left:63715;top:1421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07" style="position:absolute;width:91;height:14023;left:0;top:14281;" coordsize="9144,1402334" path="m0,0l9144,0l9144,1402334l0,1402334l0,0">
                  <v:stroke weight="0pt" endcap="flat" joinstyle="miter" miterlimit="10" on="false" color="#000000" opacity="0"/>
                  <v:fill on="true" color="#000000"/>
                </v:shape>
                <v:shape id="Shape 278608" style="position:absolute;width:91;height:14023;left:15090;top:14281;" coordsize="9144,1402334" path="m0,0l9144,0l9144,1402334l0,1402334l0,0">
                  <v:stroke weight="0pt" endcap="flat" joinstyle="miter" miterlimit="10" on="false" color="#000000" opacity="0"/>
                  <v:fill on="true" color="#000000"/>
                </v:shape>
                <v:shape id="Shape 278609" style="position:absolute;width:91;height:14023;left:22649;top:14281;" coordsize="9144,1402334" path="m0,0l9144,0l9144,1402334l0,1402334l0,0">
                  <v:stroke weight="0pt" endcap="flat" joinstyle="miter" miterlimit="10" on="false" color="#000000" opacity="0"/>
                  <v:fill on="true" color="#000000"/>
                </v:shape>
                <v:shape id="Shape 278610" style="position:absolute;width:91;height:14023;left:35118;top:14281;" coordsize="9144,1402334" path="m0,0l9144,0l9144,1402334l0,1402334l0,0">
                  <v:stroke weight="0pt" endcap="flat" joinstyle="miter" miterlimit="10" on="false" color="#000000" opacity="0"/>
                  <v:fill on="true" color="#000000"/>
                </v:shape>
                <v:shape id="Shape 278611" style="position:absolute;width:91;height:14023;left:47588;top:14281;" coordsize="9144,1402334" path="m0,0l9144,0l9144,1402334l0,1402334l0,0">
                  <v:stroke weight="0pt" endcap="flat" joinstyle="miter" miterlimit="10" on="false" color="#000000" opacity="0"/>
                  <v:fill on="true" color="#000000"/>
                </v:shape>
                <v:shape id="Shape 278612" style="position:absolute;width:91;height:14023;left:63715;top:14281;" coordsize="9144,1402334" path="m0,0l9144,0l9144,1402334l0,1402334l0,0">
                  <v:stroke weight="0pt" endcap="flat" joinstyle="miter" miterlimit="10" on="false" color="#000000" opacity="0"/>
                  <v:fill on="true" color="#000000"/>
                </v:shape>
                <v:shape id="Shape 278613" style="position:absolute;width:91;height:91;left:0;top:283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14" style="position:absolute;width:15029;height:91;left:60;top:28304;" coordsize="1502918,9144" path="m0,0l1502918,0l1502918,9144l0,9144l0,0">
                  <v:stroke weight="0pt" endcap="flat" joinstyle="miter" miterlimit="10" on="false" color="#000000" opacity="0"/>
                  <v:fill on="true" color="#000000"/>
                </v:shape>
                <v:shape id="Shape 278615" style="position:absolute;width:91;height:91;left:15090;top:283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16" style="position:absolute;width:7498;height:91;left:15151;top:28304;" coordsize="749808,9144" path="m0,0l749808,0l749808,9144l0,9144l0,0">
                  <v:stroke weight="0pt" endcap="flat" joinstyle="miter" miterlimit="10" on="false" color="#000000" opacity="0"/>
                  <v:fill on="true" color="#000000"/>
                </v:shape>
                <v:shape id="Shape 278617" style="position:absolute;width:91;height:91;left:22649;top:283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18" style="position:absolute;width:91;height:91;left:35118;top:283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19" style="position:absolute;width:91;height:91;left:47588;top:283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20" style="position:absolute;width:91;height:91;left:63715;top:28304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21" style="position:absolute;width:91;height:5257;left:0;top:28365;" coordsize="9144,525780" path="m0,0l9144,0l9144,525780l0,525780l0,0">
                  <v:stroke weight="0pt" endcap="flat" joinstyle="miter" miterlimit="10" on="false" color="#000000" opacity="0"/>
                  <v:fill on="true" color="#000000"/>
                </v:shape>
                <v:shape id="Shape 278622" style="position:absolute;width:91;height:5257;left:15090;top:28365;" coordsize="9144,525780" path="m0,0l9144,0l9144,525780l0,525780l0,0">
                  <v:stroke weight="0pt" endcap="flat" joinstyle="miter" miterlimit="10" on="false" color="#000000" opacity="0"/>
                  <v:fill on="true" color="#000000"/>
                </v:shape>
                <v:shape id="Shape 278623" style="position:absolute;width:91;height:5257;left:22649;top:28365;" coordsize="9144,525780" path="m0,0l9144,0l9144,525780l0,525780l0,0">
                  <v:stroke weight="0pt" endcap="flat" joinstyle="miter" miterlimit="10" on="false" color="#000000" opacity="0"/>
                  <v:fill on="true" color="#000000"/>
                </v:shape>
                <v:shape id="Shape 278624" style="position:absolute;width:91;height:5257;left:35118;top:28365;" coordsize="9144,525780" path="m0,0l9144,0l9144,525780l0,525780l0,0">
                  <v:stroke weight="0pt" endcap="flat" joinstyle="miter" miterlimit="10" on="false" color="#000000" opacity="0"/>
                  <v:fill on="true" color="#000000"/>
                </v:shape>
                <v:shape id="Shape 278625" style="position:absolute;width:91;height:5257;left:47588;top:28365;" coordsize="9144,525780" path="m0,0l9144,0l9144,525780l0,525780l0,0">
                  <v:stroke weight="0pt" endcap="flat" joinstyle="miter" miterlimit="10" on="false" color="#000000" opacity="0"/>
                  <v:fill on="true" color="#000000"/>
                </v:shape>
                <v:shape id="Shape 278626" style="position:absolute;width:91;height:5257;left:63715;top:28365;" coordsize="9144,525780" path="m0,0l9144,0l9144,525780l0,525780l0,0">
                  <v:stroke weight="0pt" endcap="flat" joinstyle="miter" miterlimit="10" on="false" color="#000000" opacity="0"/>
                  <v:fill on="true" color="#000000"/>
                </v:shape>
                <v:shape id="Shape 278627" style="position:absolute;width:91;height:91;left:0;top:33623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28" style="position:absolute;width:15029;height:91;left:60;top:33623;" coordsize="1502918,9144" path="m0,0l1502918,0l1502918,9144l0,9144l0,0">
                  <v:stroke weight="0pt" endcap="flat" joinstyle="miter" miterlimit="10" on="false" color="#000000" opacity="0"/>
                  <v:fill on="true" color="#000000"/>
                </v:shape>
                <v:shape id="Shape 278629" style="position:absolute;width:91;height:91;left:15090;top:33623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30" style="position:absolute;width:7498;height:91;left:15151;top:33623;" coordsize="749808,9144" path="m0,0l749808,0l749808,9144l0,9144l0,0">
                  <v:stroke weight="0pt" endcap="flat" joinstyle="miter" miterlimit="10" on="false" color="#000000" opacity="0"/>
                  <v:fill on="true" color="#000000"/>
                </v:shape>
                <v:shape id="Shape 278631" style="position:absolute;width:91;height:91;left:22649;top:33623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32" style="position:absolute;width:91;height:91;left:35118;top:33623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33" style="position:absolute;width:91;height:91;left:47588;top:33623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34" style="position:absolute;width:91;height:91;left:63715;top:33623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35" style="position:absolute;width:91;height:7013;left:0;top:33683;" coordsize="9144,701345" path="m0,0l9144,0l9144,701345l0,701345l0,0">
                  <v:stroke weight="0pt" endcap="flat" joinstyle="miter" miterlimit="10" on="false" color="#000000" opacity="0"/>
                  <v:fill on="true" color="#000000"/>
                </v:shape>
                <v:shape id="Shape 278636" style="position:absolute;width:91;height:7013;left:15090;top:33683;" coordsize="9144,701345" path="m0,0l9144,0l9144,701345l0,701345l0,0">
                  <v:stroke weight="0pt" endcap="flat" joinstyle="miter" miterlimit="10" on="false" color="#000000" opacity="0"/>
                  <v:fill on="true" color="#000000"/>
                </v:shape>
                <v:shape id="Shape 278637" style="position:absolute;width:91;height:7013;left:22649;top:33683;" coordsize="9144,701345" path="m0,0l9144,0l9144,701345l0,701345l0,0">
                  <v:stroke weight="0pt" endcap="flat" joinstyle="miter" miterlimit="10" on="false" color="#000000" opacity="0"/>
                  <v:fill on="true" color="#000000"/>
                </v:shape>
                <v:shape id="Shape 278638" style="position:absolute;width:91;height:7013;left:35118;top:33683;" coordsize="9144,701345" path="m0,0l9144,0l9144,701345l0,701345l0,0">
                  <v:stroke weight="0pt" endcap="flat" joinstyle="miter" miterlimit="10" on="false" color="#000000" opacity="0"/>
                  <v:fill on="true" color="#000000"/>
                </v:shape>
                <v:shape id="Shape 278639" style="position:absolute;width:91;height:7013;left:47588;top:33683;" coordsize="9144,701345" path="m0,0l9144,0l9144,701345l0,701345l0,0">
                  <v:stroke weight="0pt" endcap="flat" joinstyle="miter" miterlimit="10" on="false" color="#000000" opacity="0"/>
                  <v:fill on="true" color="#000000"/>
                </v:shape>
                <v:shape id="Shape 278640" style="position:absolute;width:91;height:7013;left:63715;top:33683;" coordsize="9144,701345" path="m0,0l9144,0l9144,701345l0,701345l0,0">
                  <v:stroke weight="0pt" endcap="flat" joinstyle="miter" miterlimit="10" on="false" color="#000000" opacity="0"/>
                  <v:fill on="true" color="#000000"/>
                </v:shape>
                <v:shape id="Shape 278641" style="position:absolute;width:91;height:91;left:0;top:406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42" style="position:absolute;width:15029;height:91;left:60;top:40697;" coordsize="1502918,9144" path="m0,0l1502918,0l1502918,9144l0,9144l0,0">
                  <v:stroke weight="0pt" endcap="flat" joinstyle="miter" miterlimit="10" on="false" color="#000000" opacity="0"/>
                  <v:fill on="true" color="#000000"/>
                </v:shape>
                <v:shape id="Shape 278643" style="position:absolute;width:91;height:91;left:15090;top:406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44" style="position:absolute;width:7498;height:91;left:15151;top:40697;" coordsize="749808,9144" path="m0,0l749808,0l749808,9144l0,9144l0,0">
                  <v:stroke weight="0pt" endcap="flat" joinstyle="miter" miterlimit="10" on="false" color="#000000" opacity="0"/>
                  <v:fill on="true" color="#000000"/>
                </v:shape>
                <v:shape id="Shape 278645" style="position:absolute;width:91;height:91;left:22649;top:406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46" style="position:absolute;width:12408;height:91;left:22710;top:40697;" coordsize="1240841,9144" path="m0,0l1240841,0l1240841,9144l0,9144l0,0">
                  <v:stroke weight="0pt" endcap="flat" joinstyle="miter" miterlimit="10" on="false" color="#000000" opacity="0"/>
                  <v:fill on="true" color="#000000"/>
                </v:shape>
                <v:shape id="Shape 278647" style="position:absolute;width:91;height:91;left:35118;top:406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48" style="position:absolute;width:12408;height:91;left:35179;top:40697;" coordsize="1240841,9144" path="m0,0l1240841,0l1240841,9144l0,9144l0,0">
                  <v:stroke weight="0pt" endcap="flat" joinstyle="miter" miterlimit="10" on="false" color="#000000" opacity="0"/>
                  <v:fill on="true" color="#000000"/>
                </v:shape>
                <v:shape id="Shape 278649" style="position:absolute;width:91;height:91;left:47588;top:406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50" style="position:absolute;width:16065;height:91;left:47649;top:40697;" coordsize="1606550,9144" path="m0,0l1606550,0l1606550,9144l0,9144l0,0">
                  <v:stroke weight="0pt" endcap="flat" joinstyle="miter" miterlimit="10" on="false" color="#000000" opacity="0"/>
                  <v:fill on="true" color="#000000"/>
                </v:shape>
                <v:shape id="Shape 278651" style="position:absolute;width:91;height:91;left:63715;top:40697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52" style="position:absolute;width:91;height:1752;left:0;top:40758;" coordsize="9144,175260" path="m0,0l9144,0l9144,175260l0,175260l0,0">
                  <v:stroke weight="0pt" endcap="flat" joinstyle="miter" miterlimit="10" on="false" color="#000000" opacity="0"/>
                  <v:fill on="true" color="#000000"/>
                </v:shape>
                <v:shape id="Shape 278653" style="position:absolute;width:91;height:1752;left:63715;top:40758;" coordsize="9144,175260" path="m0,0l9144,0l9144,175260l0,175260l0,0">
                  <v:stroke weight="0pt" endcap="flat" joinstyle="miter" miterlimit="10" on="false" color="#000000" opacity="0"/>
                  <v:fill on="true" color="#000000"/>
                </v:shape>
                <v:shape id="Shape 278654" style="position:absolute;width:91;height:91;left:0;top:4251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55" style="position:absolute;width:63654;height:91;left:60;top:42510;" coordsize="6365494,9144" path="m0,0l6365494,0l6365494,9144l0,9144l0,0">
                  <v:stroke weight="0pt" endcap="flat" joinstyle="miter" miterlimit="10" on="false" color="#000000" opacity="0"/>
                  <v:fill on="true" color="#000000"/>
                </v:shape>
                <v:shape id="Shape 278656" style="position:absolute;width:91;height:91;left:63715;top:4251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57" style="position:absolute;width:91;height:21048;left:0;top:42572;" coordsize="9144,2104898" path="m0,0l9144,0l9144,2104898l0,2104898l0,0">
                  <v:stroke weight="0pt" endcap="flat" joinstyle="miter" miterlimit="10" on="false" color="#000000" opacity="0"/>
                  <v:fill on="true" color="#000000"/>
                </v:shape>
                <v:shape id="Shape 278658" style="position:absolute;width:91;height:91;left:0;top:6362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59" style="position:absolute;width:63654;height:91;left:60;top:63621;" coordsize="6365494,9144" path="m0,0l6365494,0l6365494,9144l0,9144l0,0">
                  <v:stroke weight="0pt" endcap="flat" joinstyle="miter" miterlimit="10" on="false" color="#000000" opacity="0"/>
                  <v:fill on="true" color="#000000"/>
                </v:shape>
                <v:shape id="Shape 278660" style="position:absolute;width:91;height:21048;left:63715;top:42572;" coordsize="9144,2104898" path="m0,0l9144,0l9144,2104898l0,2104898l0,0">
                  <v:stroke weight="0pt" endcap="flat" joinstyle="miter" miterlimit="10" on="false" color="#000000" opacity="0"/>
                  <v:fill on="true" color="#000000"/>
                </v:shape>
                <v:shape id="Shape 278661" style="position:absolute;width:91;height:91;left:63715;top:6362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278662" style="position:absolute;width:59780;height:1752;left:533;top:63682;" coordsize="5978018,175261" path="m0,0l5978018,0l5978018,175261l0,175261l0,0">
                  <v:stroke weight="0pt" endcap="flat" joinstyle="miter" miterlimit="10" on="false" color="#000000" opacity="0"/>
                  <v:fill on="true" color="#ffffff"/>
                </v:shape>
              </v:group>
            </w:pict>
          </mc:Fallback>
        </mc:AlternateContent>
      </w:r>
      <w:r>
        <w:t xml:space="preserve">ребенок </w:t>
      </w:r>
      <w:r>
        <w:tab/>
        <w:t>свою НЕТ</w:t>
      </w:r>
      <w:r>
        <w:rPr>
          <w:rFonts w:ascii="Segoe UI Symbol" w:eastAsia="Segoe UI Symbol" w:hAnsi="Segoe UI Symbol" w:cs="Segoe UI Symbol"/>
        </w:rPr>
        <w:t>☐</w:t>
      </w:r>
      <w:r>
        <w:t xml:space="preserve"> </w:t>
      </w:r>
      <w:r>
        <w:tab/>
        <w:t xml:space="preserve"> активность в связи с БА </w:t>
      </w:r>
      <w:r>
        <w:tab/>
        <w:t xml:space="preserve">(играет/бегает меньше, чем другие дети, быстро устает во </w:t>
      </w:r>
      <w:r>
        <w:tab/>
        <w:t xml:space="preserve">время прогулки/игры) </w:t>
      </w:r>
    </w:p>
    <w:p w:rsidR="00F15F71" w:rsidRDefault="00F974CD">
      <w:pPr>
        <w:tabs>
          <w:tab w:val="center" w:pos="2483"/>
        </w:tabs>
        <w:spacing w:line="259" w:lineRule="auto"/>
        <w:ind w:left="0" w:firstLine="0"/>
        <w:jc w:val="left"/>
      </w:pPr>
      <w:r>
        <w:t xml:space="preserve">Потребность </w:t>
      </w:r>
      <w:r>
        <w:tab/>
        <w:t>в ДА</w:t>
      </w:r>
      <w:r>
        <w:rPr>
          <w:rFonts w:ascii="Segoe UI Symbol" w:eastAsia="Segoe UI Symbol" w:hAnsi="Segoe UI Symbol" w:cs="Segoe UI Symbol"/>
        </w:rPr>
        <w:t>☐</w:t>
      </w:r>
      <w:r>
        <w:t xml:space="preserve"> </w:t>
      </w:r>
    </w:p>
    <w:p w:rsidR="00F15F71" w:rsidRDefault="00F974CD">
      <w:pPr>
        <w:spacing w:line="293" w:lineRule="auto"/>
        <w:ind w:left="10" w:right="6331"/>
      </w:pPr>
      <w:r>
        <w:t>КДБА более 1 раза в НЕТ</w:t>
      </w:r>
      <w:r>
        <w:rPr>
          <w:rFonts w:ascii="Segoe UI Symbol" w:eastAsia="Segoe UI Symbol" w:hAnsi="Segoe UI Symbol" w:cs="Segoe UI Symbol"/>
        </w:rPr>
        <w:t>☐</w:t>
      </w:r>
      <w:r>
        <w:t xml:space="preserve"> неделю </w:t>
      </w:r>
    </w:p>
    <w:p w:rsidR="00F15F71" w:rsidRDefault="00F974CD">
      <w:pPr>
        <w:tabs>
          <w:tab w:val="center" w:pos="2648"/>
        </w:tabs>
        <w:spacing w:line="259" w:lineRule="auto"/>
        <w:ind w:left="0" w:firstLine="0"/>
        <w:jc w:val="left"/>
      </w:pPr>
      <w:r>
        <w:t xml:space="preserve">Ночные </w:t>
      </w:r>
      <w:r>
        <w:tab/>
        <w:t>ДА</w:t>
      </w:r>
      <w:r>
        <w:rPr>
          <w:rFonts w:ascii="Segoe UI Symbol" w:eastAsia="Segoe UI Symbol" w:hAnsi="Segoe UI Symbol" w:cs="Segoe UI Symbol"/>
        </w:rPr>
        <w:t>☐</w:t>
      </w:r>
      <w:r>
        <w:t xml:space="preserve"> </w:t>
      </w:r>
    </w:p>
    <w:p w:rsidR="00F15F71" w:rsidRDefault="00F974CD">
      <w:pPr>
        <w:spacing w:after="29" w:line="253" w:lineRule="auto"/>
        <w:ind w:left="10" w:right="6346"/>
      </w:pPr>
      <w:r>
        <w:t>пробуждения или НЕТ</w:t>
      </w:r>
      <w:r>
        <w:rPr>
          <w:rFonts w:ascii="Segoe UI Symbol" w:eastAsia="Segoe UI Symbol" w:hAnsi="Segoe UI Symbol" w:cs="Segoe UI Symbol"/>
        </w:rPr>
        <w:t>☐</w:t>
      </w:r>
      <w:r>
        <w:t xml:space="preserve"> ночной кашель, </w:t>
      </w:r>
    </w:p>
    <w:p w:rsidR="00F15F71" w:rsidRDefault="00F974CD">
      <w:pPr>
        <w:spacing w:after="36" w:line="259" w:lineRule="auto"/>
        <w:ind w:left="10" w:right="841"/>
      </w:pPr>
      <w:r>
        <w:t xml:space="preserve">связанные с БА </w:t>
      </w:r>
    </w:p>
    <w:p w:rsidR="00F15F71" w:rsidRDefault="00F974CD">
      <w:pPr>
        <w:spacing w:after="28" w:line="270" w:lineRule="auto"/>
        <w:ind w:left="718" w:right="10"/>
      </w:pPr>
      <w:r>
        <w:rPr>
          <w:b/>
        </w:rPr>
        <w:t xml:space="preserve">Б. Прогнозируемый риск неблагоприятных исходов при БА </w:t>
      </w:r>
    </w:p>
    <w:p w:rsidR="00F15F71" w:rsidRDefault="00F974CD">
      <w:pPr>
        <w:spacing w:after="1" w:line="259" w:lineRule="auto"/>
        <w:ind w:left="708" w:right="835" w:firstLine="0"/>
      </w:pPr>
      <w:r>
        <w:rPr>
          <w:b/>
          <w:i/>
        </w:rPr>
        <w:t xml:space="preserve">Факторы риска обострений астмы в ближайшие несколько месяцев </w:t>
      </w:r>
    </w:p>
    <w:p w:rsidR="00F15F71" w:rsidRDefault="00F974CD">
      <w:pPr>
        <w:numPr>
          <w:ilvl w:val="0"/>
          <w:numId w:val="48"/>
        </w:numPr>
        <w:spacing w:line="259" w:lineRule="auto"/>
        <w:ind w:right="841" w:firstLine="708"/>
      </w:pPr>
      <w:r>
        <w:t xml:space="preserve">Неконтролируемые симптомы астмы </w:t>
      </w:r>
    </w:p>
    <w:p w:rsidR="00F15F71" w:rsidRDefault="00F974CD">
      <w:pPr>
        <w:numPr>
          <w:ilvl w:val="0"/>
          <w:numId w:val="48"/>
        </w:numPr>
        <w:spacing w:line="279" w:lineRule="auto"/>
        <w:ind w:right="841" w:firstLine="708"/>
      </w:pPr>
      <w:r>
        <w:t xml:space="preserve">Одно или несколько тяжелых обострений (вызов бригады скорой помощи, госпитализация или курс оральных кортикостероидов) в течение предыдущего года </w:t>
      </w:r>
    </w:p>
    <w:p w:rsidR="00F15F71" w:rsidRDefault="00F974CD">
      <w:pPr>
        <w:numPr>
          <w:ilvl w:val="0"/>
          <w:numId w:val="48"/>
        </w:numPr>
        <w:spacing w:line="259" w:lineRule="auto"/>
        <w:ind w:right="841" w:firstLine="708"/>
      </w:pPr>
      <w:r>
        <w:t xml:space="preserve">Начало обычного для ребенка сезона обострений (особенно осенью) </w:t>
      </w:r>
    </w:p>
    <w:p w:rsidR="00F15F71" w:rsidRDefault="00F974CD">
      <w:pPr>
        <w:numPr>
          <w:ilvl w:val="0"/>
          <w:numId w:val="48"/>
        </w:numPr>
        <w:spacing w:line="278" w:lineRule="auto"/>
        <w:ind w:right="841" w:firstLine="708"/>
      </w:pPr>
      <w:r>
        <w:t>Экспозиция табачного дыма; воздействие поллю</w:t>
      </w:r>
      <w:r>
        <w:t xml:space="preserve">тантов в помещении или на улице; экспозиция аллергенов в помещении (например, клещи домашней пыли, тараканы, домашние животные, плесень), особенно в сочетании с вирусной инфекцией [373] </w:t>
      </w:r>
    </w:p>
    <w:p w:rsidR="00F15F71" w:rsidRDefault="00F974CD">
      <w:pPr>
        <w:numPr>
          <w:ilvl w:val="0"/>
          <w:numId w:val="48"/>
        </w:numPr>
        <w:spacing w:line="275" w:lineRule="auto"/>
        <w:ind w:right="841" w:firstLine="708"/>
      </w:pPr>
      <w:r>
        <w:t>Серьезные психологические или социально-экономические проблемы у ребе</w:t>
      </w:r>
      <w:r>
        <w:t xml:space="preserve">нка или семьи </w:t>
      </w:r>
    </w:p>
    <w:p w:rsidR="00F15F71" w:rsidRDefault="00F974CD">
      <w:pPr>
        <w:numPr>
          <w:ilvl w:val="0"/>
          <w:numId w:val="48"/>
        </w:numPr>
        <w:spacing w:line="259" w:lineRule="auto"/>
        <w:ind w:right="841" w:firstLine="708"/>
      </w:pPr>
      <w:r>
        <w:t xml:space="preserve">Низкая приверженность к приему ИГКС или неправильная техника ингаляции </w:t>
      </w:r>
    </w:p>
    <w:p w:rsidR="00F15F71" w:rsidRDefault="00F974CD">
      <w:pPr>
        <w:numPr>
          <w:ilvl w:val="0"/>
          <w:numId w:val="48"/>
        </w:numPr>
        <w:spacing w:line="259" w:lineRule="auto"/>
        <w:ind w:right="841" w:firstLine="708"/>
      </w:pPr>
      <w:r>
        <w:t>Загрязнение окружающей среды (NO2 и др поллютанты) [374]</w:t>
      </w:r>
      <w:r>
        <w:rPr>
          <w:sz w:val="22"/>
        </w:rPr>
        <w:t xml:space="preserve"> </w:t>
      </w:r>
    </w:p>
    <w:p w:rsidR="00F15F71" w:rsidRDefault="00F974CD">
      <w:pPr>
        <w:spacing w:after="0" w:line="259" w:lineRule="auto"/>
        <w:ind w:left="401" w:firstLine="0"/>
        <w:jc w:val="left"/>
      </w:pPr>
      <w:r>
        <w:rPr>
          <w:b/>
        </w:rPr>
        <w:t xml:space="preserve"> </w:t>
      </w:r>
    </w:p>
    <w:p w:rsidR="00F15F71" w:rsidRDefault="00F974CD">
      <w:pPr>
        <w:spacing w:after="0" w:line="259" w:lineRule="auto"/>
        <w:ind w:left="401" w:firstLine="0"/>
        <w:jc w:val="left"/>
      </w:pPr>
      <w:r>
        <w:rPr>
          <w:b/>
        </w:rPr>
        <w:t xml:space="preserve"> </w:t>
      </w:r>
    </w:p>
    <w:p w:rsidR="00F15F71" w:rsidRDefault="00F974CD">
      <w:pPr>
        <w:pStyle w:val="Heading2"/>
        <w:spacing w:line="402" w:lineRule="auto"/>
        <w:ind w:left="3493" w:right="313" w:hanging="2403"/>
      </w:pPr>
      <w:bookmarkStart w:id="80" w:name="_Toc275237"/>
      <w:r>
        <w:t xml:space="preserve">Приложение Г8. Вопросы, которые могут помочь диагностировать БА у ребенка младше 5 лет </w:t>
      </w:r>
      <w:bookmarkEnd w:id="80"/>
    </w:p>
    <w:p w:rsidR="00F15F71" w:rsidRDefault="00F974CD">
      <w:pPr>
        <w:spacing w:line="270" w:lineRule="auto"/>
        <w:ind w:left="-5" w:right="10"/>
      </w:pPr>
      <w:r>
        <w:rPr>
          <w:b/>
        </w:rPr>
        <w:t xml:space="preserve">Вопросы, которые могут помочь диагностировать БА у ребенка младше 5 лет [21] </w:t>
      </w:r>
    </w:p>
    <w:tbl>
      <w:tblPr>
        <w:tblStyle w:val="TableGrid"/>
        <w:tblW w:w="9465" w:type="dxa"/>
        <w:tblInd w:w="0" w:type="dxa"/>
        <w:tblCellMar>
          <w:top w:w="61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9465"/>
      </w:tblGrid>
      <w:tr w:rsidR="00F15F71">
        <w:trPr>
          <w:trHeight w:val="1392"/>
        </w:trPr>
        <w:tc>
          <w:tcPr>
            <w:tcW w:w="9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79" w:lineRule="auto"/>
              <w:ind w:left="0" w:firstLine="0"/>
              <w:jc w:val="left"/>
            </w:pPr>
            <w:r>
              <w:t xml:space="preserve">Бывают ли у Вашего ребенка свистящие хрипы? Свист – это высокочастотный шум, который может исходить из грудной клетки или из горла. </w:t>
            </w:r>
          </w:p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rPr>
                <w:i/>
              </w:rPr>
              <w:t>Если это возможно, попросите родителей зафикс</w:t>
            </w:r>
            <w:r>
              <w:rPr>
                <w:i/>
              </w:rPr>
              <w:t>ировать на видео эпизод свистящего дыхания для того, чтобы отдифференциировать синдром бронхиальной обструкции от патологии верхних дыхательных путей</w:t>
            </w:r>
            <w:r>
              <w:t xml:space="preserve">. </w:t>
            </w:r>
          </w:p>
        </w:tc>
      </w:tr>
      <w:tr w:rsidR="00F15F71">
        <w:trPr>
          <w:trHeight w:val="562"/>
        </w:trPr>
        <w:tc>
          <w:tcPr>
            <w:tcW w:w="9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Просыпается ли Ваш ребенок ночью по причине кашля, свистящего дыхания, одышки, затруднения дыхания, тяж</w:t>
            </w:r>
            <w:r>
              <w:t xml:space="preserve">елого дыхания? </w:t>
            </w:r>
          </w:p>
        </w:tc>
      </w:tr>
      <w:tr w:rsidR="00F15F71">
        <w:trPr>
          <w:trHeight w:val="562"/>
        </w:trPr>
        <w:tc>
          <w:tcPr>
            <w:tcW w:w="9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Останавливается ли Ваш ребенок во время бега или игры по причине кашля, свистящего дыхания, затруднения дыхания, тяжелого дыхания, одышки? </w:t>
            </w:r>
          </w:p>
        </w:tc>
      </w:tr>
      <w:tr w:rsidR="00F15F71">
        <w:trPr>
          <w:trHeight w:val="838"/>
        </w:trPr>
        <w:tc>
          <w:tcPr>
            <w:tcW w:w="9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Появляется ли у Вашего ребенка кашель, свистящее дыхание, затруднение дыхания, тяжелое дыхание, одышка при смехе, плаче, контакте с животными или при нахождении в помещении, где курят? </w:t>
            </w:r>
          </w:p>
        </w:tc>
      </w:tr>
      <w:tr w:rsidR="00F15F71">
        <w:trPr>
          <w:trHeight w:val="562"/>
        </w:trPr>
        <w:tc>
          <w:tcPr>
            <w:tcW w:w="9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>Была ли диагностирована ранее у Вашего ребенка пищевая аллергия или а</w:t>
            </w:r>
            <w:r>
              <w:t xml:space="preserve">топический дерматит? </w:t>
            </w:r>
          </w:p>
        </w:tc>
      </w:tr>
      <w:tr w:rsidR="00F15F71">
        <w:trPr>
          <w:trHeight w:val="838"/>
        </w:trPr>
        <w:tc>
          <w:tcPr>
            <w:tcW w:w="9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15F71" w:rsidRDefault="00F974CD">
            <w:pPr>
              <w:spacing w:after="0" w:line="259" w:lineRule="auto"/>
              <w:ind w:left="0" w:firstLine="0"/>
              <w:jc w:val="left"/>
            </w:pPr>
            <w:r>
              <w:t xml:space="preserve">В Вашей семье кто-нибудь страдает бронхиальной астмой, поллинозом, пищевой аллергией, атопическим дерматитом, либо имеет другие заболевания, связанные с респираторными проблемами? </w:t>
            </w:r>
          </w:p>
        </w:tc>
      </w:tr>
    </w:tbl>
    <w:p w:rsidR="00F15F71" w:rsidRDefault="00F974CD">
      <w:pPr>
        <w:spacing w:after="0" w:line="259" w:lineRule="auto"/>
        <w:ind w:left="0" w:firstLine="0"/>
        <w:jc w:val="left"/>
      </w:pPr>
      <w:r>
        <w:rPr>
          <w:b/>
          <w:i/>
        </w:rPr>
        <w:t xml:space="preserve"> </w:t>
      </w:r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  <w:i/>
        </w:rPr>
        <w:t xml:space="preserve"> </w:t>
      </w:r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  <w:i/>
        </w:rPr>
        <w:t xml:space="preserve"> </w:t>
      </w:r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  <w:i/>
        </w:rPr>
        <w:t xml:space="preserve"> </w:t>
      </w:r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  <w:i/>
        </w:rPr>
        <w:t xml:space="preserve"> </w:t>
      </w:r>
    </w:p>
    <w:p w:rsidR="00F15F71" w:rsidRDefault="00F974CD">
      <w:pPr>
        <w:spacing w:after="0" w:line="259" w:lineRule="auto"/>
        <w:ind w:left="0" w:firstLine="0"/>
        <w:jc w:val="left"/>
      </w:pPr>
      <w:r>
        <w:rPr>
          <w:b/>
          <w:i/>
        </w:rPr>
        <w:t xml:space="preserve"> </w:t>
      </w:r>
    </w:p>
    <w:sectPr w:rsidR="00F15F71">
      <w:footerReference w:type="even" r:id="rId1535"/>
      <w:footerReference w:type="default" r:id="rId1536"/>
      <w:footerReference w:type="first" r:id="rId1537"/>
      <w:footnotePr>
        <w:numRestart w:val="eachPage"/>
      </w:footnotePr>
      <w:pgSz w:w="11906" w:h="16838"/>
      <w:pgMar w:top="1191" w:right="0" w:bottom="1147" w:left="1702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F974CD">
      <w:pPr>
        <w:spacing w:after="0" w:line="240" w:lineRule="auto"/>
      </w:pPr>
      <w:r>
        <w:separator/>
      </w:r>
    </w:p>
  </w:endnote>
  <w:endnote w:type="continuationSeparator" w:id="0">
    <w:p w:rsidR="00000000" w:rsidRDefault="00F974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F71" w:rsidRDefault="00F974CD">
    <w:pPr>
      <w:spacing w:after="0" w:line="259" w:lineRule="auto"/>
      <w:ind w:left="703" w:firstLine="0"/>
      <w:jc w:val="center"/>
    </w:pPr>
    <w: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F71" w:rsidRDefault="00F974CD">
    <w:pPr>
      <w:spacing w:after="0" w:line="259" w:lineRule="auto"/>
      <w:ind w:left="703" w:firstLine="0"/>
      <w:jc w:val="center"/>
    </w:pPr>
    <w: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F71" w:rsidRDefault="00F15F71">
    <w:pPr>
      <w:spacing w:after="160" w:line="259" w:lineRule="auto"/>
      <w:ind w:lef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F71" w:rsidRDefault="00F15F71">
    <w:pPr>
      <w:spacing w:after="160" w:line="259" w:lineRule="auto"/>
      <w:ind w:left="0" w:firstLine="0"/>
      <w:jc w:val="lef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F71" w:rsidRDefault="00F15F71">
    <w:pPr>
      <w:spacing w:after="160" w:line="259" w:lineRule="auto"/>
      <w:ind w:left="0" w:firstLine="0"/>
      <w:jc w:val="lef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F71" w:rsidRDefault="00F15F71">
    <w:pPr>
      <w:spacing w:after="160" w:line="259" w:lineRule="auto"/>
      <w:ind w:left="0" w:firstLine="0"/>
      <w:jc w:val="lef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F71" w:rsidRDefault="00F974CD">
    <w:pPr>
      <w:spacing w:after="0" w:line="259" w:lineRule="auto"/>
      <w:ind w:left="0" w:right="139" w:firstLine="0"/>
      <w:jc w:val="center"/>
    </w:pPr>
    <w: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F71" w:rsidRDefault="00F974CD">
    <w:pPr>
      <w:spacing w:after="0" w:line="259" w:lineRule="auto"/>
      <w:ind w:left="0" w:right="139" w:firstLine="0"/>
      <w:jc w:val="center"/>
    </w:pPr>
    <w: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F71" w:rsidRDefault="00F15F71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5F71" w:rsidRDefault="00F974CD">
      <w:pPr>
        <w:spacing w:after="271" w:line="341" w:lineRule="auto"/>
        <w:ind w:left="0" w:right="956" w:firstLine="0"/>
      </w:pPr>
      <w:r>
        <w:separator/>
      </w:r>
    </w:p>
  </w:footnote>
  <w:footnote w:type="continuationSeparator" w:id="0">
    <w:p w:rsidR="00F15F71" w:rsidRDefault="00F974CD">
      <w:pPr>
        <w:spacing w:after="271" w:line="341" w:lineRule="auto"/>
        <w:ind w:left="0" w:right="956" w:firstLine="0"/>
      </w:pPr>
      <w:r>
        <w:continuationSeparator/>
      </w:r>
    </w:p>
  </w:footnote>
  <w:footnote w:id="1">
    <w:p w:rsidR="00F15F71" w:rsidRDefault="00F974CD">
      <w:pPr>
        <w:pStyle w:val="footnotedescription"/>
        <w:spacing w:after="271" w:line="341" w:lineRule="auto"/>
        <w:ind w:right="956"/>
      </w:pPr>
      <w:r>
        <w:rPr>
          <w:rStyle w:val="footnotemark"/>
        </w:rPr>
        <w:footnoteRef/>
      </w:r>
      <w:r>
        <w:t xml:space="preserve"> - </w:t>
      </w:r>
      <w:r>
        <w:rPr>
          <w:color w:val="212121"/>
        </w:rPr>
        <w:t>Флутиказона фуроат** зарегистрирован в РФ в составе фиксированной комбинации вилантерол+флутиказона фуроат** ДПИ с 12 лет, а также в составе фиксированной комбинации Вилантерол+Умеклидиния бромид+Флутиказона фуроат** ДПИ</w:t>
      </w:r>
      <w:r>
        <w:rPr>
          <w:color w:val="212121"/>
        </w:rPr>
        <w:t xml:space="preserve"> с 18 лет.</w:t>
      </w:r>
      <w:r>
        <w:t xml:space="preserve"> </w:t>
      </w:r>
    </w:p>
  </w:footnote>
  <w:footnote w:id="2">
    <w:p w:rsidR="00F15F71" w:rsidRDefault="00F974CD">
      <w:pPr>
        <w:pStyle w:val="footnotedescription"/>
        <w:spacing w:after="261" w:line="266" w:lineRule="auto"/>
        <w:ind w:right="852"/>
      </w:pPr>
      <w:r>
        <w:rPr>
          <w:rStyle w:val="footnotemark"/>
        </w:rPr>
        <w:footnoteRef/>
      </w:r>
      <w:r>
        <w:t xml:space="preserve"> </w:t>
      </w:r>
      <w:r>
        <w:rPr>
          <w:color w:val="212121"/>
          <w:sz w:val="16"/>
        </w:rPr>
        <w:t xml:space="preserve">- </w:t>
      </w:r>
      <w:r>
        <w:rPr>
          <w:color w:val="212121"/>
        </w:rPr>
        <w:t xml:space="preserve">Мометазона фуроат зарегистрирован в РФ в составе фиксированной комбинации мометазона фуроат+индакатерол+ гликопиррония бромиддля применения у взрослых с 18 лет на 4 и 5 ступени терапии. </w:t>
      </w:r>
    </w:p>
  </w:footnote>
  <w:footnote w:id="3">
    <w:p w:rsidR="00F15F71" w:rsidRDefault="00F974CD">
      <w:pPr>
        <w:pStyle w:val="footnotedescription"/>
        <w:spacing w:line="259" w:lineRule="auto"/>
        <w:jc w:val="left"/>
      </w:pPr>
      <w:r>
        <w:rPr>
          <w:rStyle w:val="footnotemark"/>
        </w:rPr>
        <w:footnoteRef/>
      </w:r>
      <w:r>
        <w:t xml:space="preserve"> Мометазона фуроат в ДАИ не зарегистрирован в РФ  </w:t>
      </w:r>
    </w:p>
    <w:p w:rsidR="00F15F71" w:rsidRDefault="00F974CD">
      <w:pPr>
        <w:pStyle w:val="footnotedescription"/>
        <w:spacing w:after="0" w:line="259" w:lineRule="auto"/>
        <w:jc w:val="left"/>
      </w:pPr>
      <w:r>
        <w:t xml:space="preserve"> </w:t>
      </w:r>
    </w:p>
    <w:p w:rsidR="00F15F71" w:rsidRDefault="00F974CD">
      <w:pPr>
        <w:pStyle w:val="footnotedescription"/>
        <w:spacing w:after="0" w:line="259" w:lineRule="auto"/>
        <w:jc w:val="left"/>
      </w:pPr>
      <w:r>
        <w:rPr>
          <w:b/>
        </w:rPr>
        <w:t xml:space="preserve"> </w:t>
      </w:r>
    </w:p>
  </w:footnote>
  <w:footnote w:id="4">
    <w:p w:rsidR="00F15F71" w:rsidRDefault="00F974CD">
      <w:pPr>
        <w:pStyle w:val="footnotedescription"/>
        <w:spacing w:after="52" w:line="259" w:lineRule="auto"/>
        <w:jc w:val="left"/>
      </w:pPr>
      <w:r>
        <w:rPr>
          <w:rStyle w:val="footnotemark"/>
        </w:rPr>
        <w:footnoteRef/>
      </w:r>
      <w:r>
        <w:t xml:space="preserve"> У детей ДАИ всегда следует использовать со спейсеро</w:t>
      </w:r>
      <w:r>
        <w:t xml:space="preserve">м </w:t>
      </w:r>
    </w:p>
  </w:footnote>
  <w:footnote w:id="5">
    <w:p w:rsidR="00F15F71" w:rsidRDefault="00F974CD">
      <w:pPr>
        <w:pStyle w:val="footnotedescription"/>
        <w:spacing w:after="0"/>
        <w:ind w:right="850"/>
      </w:pPr>
      <w:r>
        <w:rPr>
          <w:rStyle w:val="footnotemark"/>
        </w:rPr>
        <w:footnoteRef/>
      </w:r>
      <w:r>
        <w:t xml:space="preserve"> Флутиказона пропионат зарегистрирован в Российской Федерации в виде монопрепарата для детей в возрасте от 1 года, в комбинации сальметерол + флутиказон** для детей с 4 лет.  </w:t>
      </w:r>
    </w:p>
    <w:p w:rsidR="00F15F71" w:rsidRDefault="00F974CD">
      <w:pPr>
        <w:pStyle w:val="footnotedescription"/>
        <w:spacing w:after="229" w:line="277" w:lineRule="auto"/>
      </w:pPr>
      <w:r>
        <w:t>Комбинация сальметерол + флутиказон** доступен так же в виде ДПИ для детей 4</w:t>
      </w:r>
      <w:r>
        <w:t xml:space="preserve"> лет и старше.  </w:t>
      </w:r>
    </w:p>
    <w:p w:rsidR="00F15F71" w:rsidRDefault="00F974CD">
      <w:pPr>
        <w:pStyle w:val="footnotedescription"/>
        <w:spacing w:after="0" w:line="259" w:lineRule="auto"/>
        <w:jc w:val="left"/>
      </w:pPr>
      <w:r>
        <w:rPr>
          <w:rFonts w:ascii="Calibri" w:eastAsia="Calibri" w:hAnsi="Calibri" w:cs="Calibri"/>
        </w:rPr>
        <w:t xml:space="preserve"> </w:t>
      </w:r>
    </w:p>
  </w:footnote>
  <w:footnote w:id="6">
    <w:p w:rsidR="00F15F71" w:rsidRDefault="00F974CD">
      <w:pPr>
        <w:pStyle w:val="footnotedescription"/>
        <w:spacing w:after="0" w:line="409" w:lineRule="auto"/>
        <w:jc w:val="left"/>
      </w:pPr>
      <w:r>
        <w:rPr>
          <w:rStyle w:val="footnotemark"/>
        </w:rPr>
        <w:footnoteRef/>
      </w:r>
      <w:r>
        <w:t xml:space="preserve"> </w:t>
      </w:r>
      <w:r>
        <w:rPr>
          <w:i/>
        </w:rPr>
        <w:t xml:space="preserve">режим </w:t>
      </w:r>
      <w:r>
        <w:rPr>
          <w:i/>
        </w:rPr>
        <w:tab/>
        <w:t xml:space="preserve">единого </w:t>
      </w:r>
      <w:r>
        <w:rPr>
          <w:i/>
        </w:rPr>
        <w:tab/>
        <w:t xml:space="preserve">ингалятора </w:t>
      </w:r>
      <w:r>
        <w:rPr>
          <w:i/>
        </w:rPr>
        <w:tab/>
        <w:t xml:space="preserve">- </w:t>
      </w:r>
      <w:r>
        <w:rPr>
          <w:i/>
        </w:rPr>
        <w:tab/>
        <w:t xml:space="preserve">низкие </w:t>
      </w:r>
      <w:r>
        <w:rPr>
          <w:i/>
        </w:rPr>
        <w:tab/>
        <w:t xml:space="preserve">дозы </w:t>
      </w:r>
      <w:r>
        <w:rPr>
          <w:i/>
        </w:rPr>
        <w:tab/>
        <w:t xml:space="preserve">будесонида+формотерол** </w:t>
      </w:r>
      <w:r>
        <w:rPr>
          <w:i/>
        </w:rPr>
        <w:tab/>
        <w:t xml:space="preserve">или беклометазона+формотерол**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E1E5F"/>
    <w:multiLevelType w:val="hybridMultilevel"/>
    <w:tmpl w:val="AEC4165C"/>
    <w:lvl w:ilvl="0" w:tplc="2EA6E40A">
      <w:start w:val="1"/>
      <w:numFmt w:val="bullet"/>
      <w:lvlText w:val="-"/>
      <w:lvlJc w:val="left"/>
      <w:pPr>
        <w:ind w:left="1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E981A82">
      <w:start w:val="1"/>
      <w:numFmt w:val="bullet"/>
      <w:lvlText w:val="o"/>
      <w:lvlJc w:val="left"/>
      <w:pPr>
        <w:ind w:left="26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A20E294">
      <w:start w:val="1"/>
      <w:numFmt w:val="bullet"/>
      <w:lvlText w:val="▪"/>
      <w:lvlJc w:val="left"/>
      <w:pPr>
        <w:ind w:left="33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4FABB82">
      <w:start w:val="1"/>
      <w:numFmt w:val="bullet"/>
      <w:lvlText w:val="•"/>
      <w:lvlJc w:val="left"/>
      <w:pPr>
        <w:ind w:left="40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86E7620">
      <w:start w:val="1"/>
      <w:numFmt w:val="bullet"/>
      <w:lvlText w:val="o"/>
      <w:lvlJc w:val="left"/>
      <w:pPr>
        <w:ind w:left="47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354C1DEC">
      <w:start w:val="1"/>
      <w:numFmt w:val="bullet"/>
      <w:lvlText w:val="▪"/>
      <w:lvlJc w:val="left"/>
      <w:pPr>
        <w:ind w:left="55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50C5454">
      <w:start w:val="1"/>
      <w:numFmt w:val="bullet"/>
      <w:lvlText w:val="•"/>
      <w:lvlJc w:val="left"/>
      <w:pPr>
        <w:ind w:left="6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394522A">
      <w:start w:val="1"/>
      <w:numFmt w:val="bullet"/>
      <w:lvlText w:val="o"/>
      <w:lvlJc w:val="left"/>
      <w:pPr>
        <w:ind w:left="6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D34BF26">
      <w:start w:val="1"/>
      <w:numFmt w:val="bullet"/>
      <w:lvlText w:val="▪"/>
      <w:lvlJc w:val="left"/>
      <w:pPr>
        <w:ind w:left="7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1CD3BBB"/>
    <w:multiLevelType w:val="hybridMultilevel"/>
    <w:tmpl w:val="68588FCE"/>
    <w:lvl w:ilvl="0" w:tplc="6916F1F6">
      <w:start w:val="1"/>
      <w:numFmt w:val="decimal"/>
      <w:lvlText w:val="%1)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786B6C6">
      <w:start w:val="1"/>
      <w:numFmt w:val="lowerLetter"/>
      <w:lvlText w:val="%2"/>
      <w:lvlJc w:val="left"/>
      <w:pPr>
        <w:ind w:left="1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61C22BA">
      <w:start w:val="1"/>
      <w:numFmt w:val="lowerRoman"/>
      <w:lvlText w:val="%3"/>
      <w:lvlJc w:val="left"/>
      <w:pPr>
        <w:ind w:left="2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9C01BD6">
      <w:start w:val="1"/>
      <w:numFmt w:val="decimal"/>
      <w:lvlText w:val="%4"/>
      <w:lvlJc w:val="left"/>
      <w:pPr>
        <w:ind w:left="2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27886FC">
      <w:start w:val="1"/>
      <w:numFmt w:val="lowerLetter"/>
      <w:lvlText w:val="%5"/>
      <w:lvlJc w:val="left"/>
      <w:pPr>
        <w:ind w:left="36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F5EB720">
      <w:start w:val="1"/>
      <w:numFmt w:val="lowerRoman"/>
      <w:lvlText w:val="%6"/>
      <w:lvlJc w:val="left"/>
      <w:pPr>
        <w:ind w:left="43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47AC14E">
      <w:start w:val="1"/>
      <w:numFmt w:val="decimal"/>
      <w:lvlText w:val="%7"/>
      <w:lvlJc w:val="left"/>
      <w:pPr>
        <w:ind w:left="51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EE26B9E">
      <w:start w:val="1"/>
      <w:numFmt w:val="lowerLetter"/>
      <w:lvlText w:val="%8"/>
      <w:lvlJc w:val="left"/>
      <w:pPr>
        <w:ind w:left="58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07A9DB8">
      <w:start w:val="1"/>
      <w:numFmt w:val="lowerRoman"/>
      <w:lvlText w:val="%9"/>
      <w:lvlJc w:val="left"/>
      <w:pPr>
        <w:ind w:left="65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3CD6E42"/>
    <w:multiLevelType w:val="hybridMultilevel"/>
    <w:tmpl w:val="3294CB9C"/>
    <w:lvl w:ilvl="0" w:tplc="93E2D550">
      <w:start w:val="1"/>
      <w:numFmt w:val="bullet"/>
      <w:lvlText w:val="•"/>
      <w:lvlJc w:val="left"/>
      <w:pPr>
        <w:ind w:left="141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48EBEF4">
      <w:start w:val="1"/>
      <w:numFmt w:val="bullet"/>
      <w:lvlText w:val="✓"/>
      <w:lvlJc w:val="left"/>
      <w:pPr>
        <w:ind w:left="212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2BA6AD8">
      <w:start w:val="1"/>
      <w:numFmt w:val="bullet"/>
      <w:lvlText w:val="▪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9787DA2">
      <w:start w:val="1"/>
      <w:numFmt w:val="bullet"/>
      <w:lvlText w:val="•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53C44C2">
      <w:start w:val="1"/>
      <w:numFmt w:val="bullet"/>
      <w:lvlText w:val="o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FC8BE5C">
      <w:start w:val="1"/>
      <w:numFmt w:val="bullet"/>
      <w:lvlText w:val="▪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99C2382">
      <w:start w:val="1"/>
      <w:numFmt w:val="bullet"/>
      <w:lvlText w:val="•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9208F4A">
      <w:start w:val="1"/>
      <w:numFmt w:val="bullet"/>
      <w:lvlText w:val="o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0165A34">
      <w:start w:val="1"/>
      <w:numFmt w:val="bullet"/>
      <w:lvlText w:val="▪"/>
      <w:lvlJc w:val="left"/>
      <w:pPr>
        <w:ind w:left="71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6AD5076"/>
    <w:multiLevelType w:val="hybridMultilevel"/>
    <w:tmpl w:val="F01CE420"/>
    <w:lvl w:ilvl="0" w:tplc="20BADB10">
      <w:start w:val="1"/>
      <w:numFmt w:val="bullet"/>
      <w:lvlText w:val="•"/>
      <w:lvlJc w:val="left"/>
      <w:pPr>
        <w:ind w:left="11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5187C5A">
      <w:start w:val="1"/>
      <w:numFmt w:val="bullet"/>
      <w:lvlText w:val="o"/>
      <w:lvlJc w:val="left"/>
      <w:pPr>
        <w:ind w:left="183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7D4779E">
      <w:start w:val="1"/>
      <w:numFmt w:val="bullet"/>
      <w:lvlText w:val="▪"/>
      <w:lvlJc w:val="left"/>
      <w:pPr>
        <w:ind w:left="255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E68E808">
      <w:start w:val="1"/>
      <w:numFmt w:val="bullet"/>
      <w:lvlText w:val="•"/>
      <w:lvlJc w:val="left"/>
      <w:pPr>
        <w:ind w:left="327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F8EA268">
      <w:start w:val="1"/>
      <w:numFmt w:val="bullet"/>
      <w:lvlText w:val="o"/>
      <w:lvlJc w:val="left"/>
      <w:pPr>
        <w:ind w:left="399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91A35D6">
      <w:start w:val="1"/>
      <w:numFmt w:val="bullet"/>
      <w:lvlText w:val="▪"/>
      <w:lvlJc w:val="left"/>
      <w:pPr>
        <w:ind w:left="471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9AEA020">
      <w:start w:val="1"/>
      <w:numFmt w:val="bullet"/>
      <w:lvlText w:val="•"/>
      <w:lvlJc w:val="left"/>
      <w:pPr>
        <w:ind w:left="543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3BE9CD6">
      <w:start w:val="1"/>
      <w:numFmt w:val="bullet"/>
      <w:lvlText w:val="o"/>
      <w:lvlJc w:val="left"/>
      <w:pPr>
        <w:ind w:left="615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336B0FE">
      <w:start w:val="1"/>
      <w:numFmt w:val="bullet"/>
      <w:lvlText w:val="▪"/>
      <w:lvlJc w:val="left"/>
      <w:pPr>
        <w:ind w:left="687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81D70B2"/>
    <w:multiLevelType w:val="hybridMultilevel"/>
    <w:tmpl w:val="67F0C818"/>
    <w:lvl w:ilvl="0" w:tplc="F81873EE">
      <w:start w:val="1"/>
      <w:numFmt w:val="bullet"/>
      <w:lvlText w:val="o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F601BC4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906C2A0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6AE2FC4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E5005DC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9141082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508B612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2C89DCC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C52F03C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849092D"/>
    <w:multiLevelType w:val="hybridMultilevel"/>
    <w:tmpl w:val="6B480C4C"/>
    <w:lvl w:ilvl="0" w:tplc="F9BC4382">
      <w:start w:val="1"/>
      <w:numFmt w:val="bullet"/>
      <w:lvlText w:val="▪"/>
      <w:lvlJc w:val="left"/>
      <w:pPr>
        <w:ind w:left="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1F218BE">
      <w:start w:val="1"/>
      <w:numFmt w:val="bullet"/>
      <w:lvlText w:val="o"/>
      <w:lvlJc w:val="left"/>
      <w:pPr>
        <w:ind w:left="11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88CB78">
      <w:start w:val="1"/>
      <w:numFmt w:val="bullet"/>
      <w:lvlText w:val="▪"/>
      <w:lvlJc w:val="left"/>
      <w:pPr>
        <w:ind w:left="19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BD0C0A6">
      <w:start w:val="1"/>
      <w:numFmt w:val="bullet"/>
      <w:lvlText w:val="•"/>
      <w:lvlJc w:val="left"/>
      <w:pPr>
        <w:ind w:left="26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1E8C61A">
      <w:start w:val="1"/>
      <w:numFmt w:val="bullet"/>
      <w:lvlText w:val="o"/>
      <w:lvlJc w:val="left"/>
      <w:pPr>
        <w:ind w:left="33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BD0344C">
      <w:start w:val="1"/>
      <w:numFmt w:val="bullet"/>
      <w:lvlText w:val="▪"/>
      <w:lvlJc w:val="left"/>
      <w:pPr>
        <w:ind w:left="40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950989C">
      <w:start w:val="1"/>
      <w:numFmt w:val="bullet"/>
      <w:lvlText w:val="•"/>
      <w:lvlJc w:val="left"/>
      <w:pPr>
        <w:ind w:left="4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DA21E32">
      <w:start w:val="1"/>
      <w:numFmt w:val="bullet"/>
      <w:lvlText w:val="o"/>
      <w:lvlJc w:val="left"/>
      <w:pPr>
        <w:ind w:left="5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356F53E">
      <w:start w:val="1"/>
      <w:numFmt w:val="bullet"/>
      <w:lvlText w:val="▪"/>
      <w:lvlJc w:val="left"/>
      <w:pPr>
        <w:ind w:left="6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885073B"/>
    <w:multiLevelType w:val="hybridMultilevel"/>
    <w:tmpl w:val="20F85584"/>
    <w:lvl w:ilvl="0" w:tplc="1E8437B4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83A0D5E">
      <w:start w:val="1"/>
      <w:numFmt w:val="bullet"/>
      <w:lvlText w:val="o"/>
      <w:lvlJc w:val="left"/>
      <w:pPr>
        <w:ind w:left="18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97615C2">
      <w:start w:val="1"/>
      <w:numFmt w:val="bullet"/>
      <w:lvlText w:val="▪"/>
      <w:lvlJc w:val="left"/>
      <w:pPr>
        <w:ind w:left="26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35C1022">
      <w:start w:val="1"/>
      <w:numFmt w:val="bullet"/>
      <w:lvlText w:val="•"/>
      <w:lvlJc w:val="left"/>
      <w:pPr>
        <w:ind w:left="33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F5ACD28">
      <w:start w:val="1"/>
      <w:numFmt w:val="bullet"/>
      <w:lvlText w:val="o"/>
      <w:lvlJc w:val="left"/>
      <w:pPr>
        <w:ind w:left="40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3608D1E">
      <w:start w:val="1"/>
      <w:numFmt w:val="bullet"/>
      <w:lvlText w:val="▪"/>
      <w:lvlJc w:val="left"/>
      <w:pPr>
        <w:ind w:left="47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898DE04">
      <w:start w:val="1"/>
      <w:numFmt w:val="bullet"/>
      <w:lvlText w:val="•"/>
      <w:lvlJc w:val="left"/>
      <w:pPr>
        <w:ind w:left="5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14AB3EC">
      <w:start w:val="1"/>
      <w:numFmt w:val="bullet"/>
      <w:lvlText w:val="o"/>
      <w:lvlJc w:val="left"/>
      <w:pPr>
        <w:ind w:left="62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62C1910">
      <w:start w:val="1"/>
      <w:numFmt w:val="bullet"/>
      <w:lvlText w:val="▪"/>
      <w:lvlJc w:val="left"/>
      <w:pPr>
        <w:ind w:left="69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A7A1983"/>
    <w:multiLevelType w:val="hybridMultilevel"/>
    <w:tmpl w:val="F3E65022"/>
    <w:lvl w:ilvl="0" w:tplc="98B4B412">
      <w:start w:val="1"/>
      <w:numFmt w:val="bullet"/>
      <w:lvlText w:val="-"/>
      <w:lvlJc w:val="left"/>
      <w:pPr>
        <w:ind w:left="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AACA8C">
      <w:start w:val="1"/>
      <w:numFmt w:val="bullet"/>
      <w:lvlText w:val="o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5EE6E5A">
      <w:start w:val="1"/>
      <w:numFmt w:val="bullet"/>
      <w:lvlText w:val="▪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1FE8B9A">
      <w:start w:val="1"/>
      <w:numFmt w:val="bullet"/>
      <w:lvlText w:val="•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24C444E">
      <w:start w:val="1"/>
      <w:numFmt w:val="bullet"/>
      <w:lvlText w:val="o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64C7012">
      <w:start w:val="1"/>
      <w:numFmt w:val="bullet"/>
      <w:lvlText w:val="▪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AAE18EE">
      <w:start w:val="1"/>
      <w:numFmt w:val="bullet"/>
      <w:lvlText w:val="•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A302428">
      <w:start w:val="1"/>
      <w:numFmt w:val="bullet"/>
      <w:lvlText w:val="o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FCEEFEA">
      <w:start w:val="1"/>
      <w:numFmt w:val="bullet"/>
      <w:lvlText w:val="▪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D3B50C0"/>
    <w:multiLevelType w:val="hybridMultilevel"/>
    <w:tmpl w:val="5BEE0B9E"/>
    <w:lvl w:ilvl="0" w:tplc="06B6F6DA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7825D08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864D8DE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5FAD688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B0477D8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141A8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0C248FA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56A9258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B9EF8D4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0AF3FB1"/>
    <w:multiLevelType w:val="hybridMultilevel"/>
    <w:tmpl w:val="38265C98"/>
    <w:lvl w:ilvl="0" w:tplc="AC48DC46">
      <w:start w:val="1"/>
      <w:numFmt w:val="bullet"/>
      <w:lvlText w:val="-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822134C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7C6C28E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F24582E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384B216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F122722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BB236B0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78CDA3C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0A0D898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11C06B8"/>
    <w:multiLevelType w:val="hybridMultilevel"/>
    <w:tmpl w:val="FE522158"/>
    <w:lvl w:ilvl="0" w:tplc="B14E6B30">
      <w:start w:val="1"/>
      <w:numFmt w:val="bullet"/>
      <w:lvlText w:val="➢"/>
      <w:lvlJc w:val="left"/>
      <w:pPr>
        <w:ind w:left="72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F6E0F04">
      <w:start w:val="1"/>
      <w:numFmt w:val="bullet"/>
      <w:lvlText w:val="o"/>
      <w:lvlJc w:val="left"/>
      <w:pPr>
        <w:ind w:left="11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4A04FD2">
      <w:start w:val="1"/>
      <w:numFmt w:val="bullet"/>
      <w:lvlText w:val="▪"/>
      <w:lvlJc w:val="left"/>
      <w:pPr>
        <w:ind w:left="19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5A63926">
      <w:start w:val="1"/>
      <w:numFmt w:val="bullet"/>
      <w:lvlText w:val="•"/>
      <w:lvlJc w:val="left"/>
      <w:pPr>
        <w:ind w:left="26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AB471EC">
      <w:start w:val="1"/>
      <w:numFmt w:val="bullet"/>
      <w:lvlText w:val="o"/>
      <w:lvlJc w:val="left"/>
      <w:pPr>
        <w:ind w:left="33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3541B2C">
      <w:start w:val="1"/>
      <w:numFmt w:val="bullet"/>
      <w:lvlText w:val="▪"/>
      <w:lvlJc w:val="left"/>
      <w:pPr>
        <w:ind w:left="40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5DCFB08">
      <w:start w:val="1"/>
      <w:numFmt w:val="bullet"/>
      <w:lvlText w:val="•"/>
      <w:lvlJc w:val="left"/>
      <w:pPr>
        <w:ind w:left="4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536CBDA">
      <w:start w:val="1"/>
      <w:numFmt w:val="bullet"/>
      <w:lvlText w:val="o"/>
      <w:lvlJc w:val="left"/>
      <w:pPr>
        <w:ind w:left="5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A5C36CC">
      <w:start w:val="1"/>
      <w:numFmt w:val="bullet"/>
      <w:lvlText w:val="▪"/>
      <w:lvlJc w:val="left"/>
      <w:pPr>
        <w:ind w:left="6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4EF590E"/>
    <w:multiLevelType w:val="hybridMultilevel"/>
    <w:tmpl w:val="5950ED96"/>
    <w:lvl w:ilvl="0" w:tplc="2804AD48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003E48">
      <w:start w:val="1"/>
      <w:numFmt w:val="bullet"/>
      <w:lvlText w:val="o"/>
      <w:lvlJc w:val="left"/>
      <w:pPr>
        <w:ind w:left="11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4081FB8">
      <w:start w:val="1"/>
      <w:numFmt w:val="bullet"/>
      <w:lvlText w:val="▪"/>
      <w:lvlJc w:val="left"/>
      <w:pPr>
        <w:ind w:left="19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A2AB588">
      <w:start w:val="1"/>
      <w:numFmt w:val="bullet"/>
      <w:lvlText w:val="•"/>
      <w:lvlJc w:val="left"/>
      <w:pPr>
        <w:ind w:left="26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3C065FE">
      <w:start w:val="1"/>
      <w:numFmt w:val="bullet"/>
      <w:lvlText w:val="o"/>
      <w:lvlJc w:val="left"/>
      <w:pPr>
        <w:ind w:left="33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94C3EDA">
      <w:start w:val="1"/>
      <w:numFmt w:val="bullet"/>
      <w:lvlText w:val="▪"/>
      <w:lvlJc w:val="left"/>
      <w:pPr>
        <w:ind w:left="40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56A3FBC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2AA8414">
      <w:start w:val="1"/>
      <w:numFmt w:val="bullet"/>
      <w:lvlText w:val="o"/>
      <w:lvlJc w:val="left"/>
      <w:pPr>
        <w:ind w:left="5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A8C151E">
      <w:start w:val="1"/>
      <w:numFmt w:val="bullet"/>
      <w:lvlText w:val="▪"/>
      <w:lvlJc w:val="left"/>
      <w:pPr>
        <w:ind w:left="62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9772EB3"/>
    <w:multiLevelType w:val="hybridMultilevel"/>
    <w:tmpl w:val="A30EF68A"/>
    <w:lvl w:ilvl="0" w:tplc="D272F1F4">
      <w:start w:val="1"/>
      <w:numFmt w:val="bullet"/>
      <w:lvlText w:val="➢"/>
      <w:lvlJc w:val="left"/>
      <w:pPr>
        <w:ind w:left="7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46EF008">
      <w:start w:val="1"/>
      <w:numFmt w:val="bullet"/>
      <w:lvlText w:val="o"/>
      <w:lvlJc w:val="left"/>
      <w:pPr>
        <w:ind w:left="1227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60C4464">
      <w:start w:val="1"/>
      <w:numFmt w:val="bullet"/>
      <w:lvlText w:val="▪"/>
      <w:lvlJc w:val="left"/>
      <w:pPr>
        <w:ind w:left="2267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8D0629E">
      <w:start w:val="1"/>
      <w:numFmt w:val="bullet"/>
      <w:lvlText w:val="•"/>
      <w:lvlJc w:val="left"/>
      <w:pPr>
        <w:ind w:left="2987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68EBAAE">
      <w:start w:val="1"/>
      <w:numFmt w:val="bullet"/>
      <w:lvlText w:val="o"/>
      <w:lvlJc w:val="left"/>
      <w:pPr>
        <w:ind w:left="3707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26CA098">
      <w:start w:val="1"/>
      <w:numFmt w:val="bullet"/>
      <w:lvlText w:val="▪"/>
      <w:lvlJc w:val="left"/>
      <w:pPr>
        <w:ind w:left="4427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096B706">
      <w:start w:val="1"/>
      <w:numFmt w:val="bullet"/>
      <w:lvlText w:val="•"/>
      <w:lvlJc w:val="left"/>
      <w:pPr>
        <w:ind w:left="5147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1B2D22E">
      <w:start w:val="1"/>
      <w:numFmt w:val="bullet"/>
      <w:lvlText w:val="o"/>
      <w:lvlJc w:val="left"/>
      <w:pPr>
        <w:ind w:left="5867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4706B74">
      <w:start w:val="1"/>
      <w:numFmt w:val="bullet"/>
      <w:lvlText w:val="▪"/>
      <w:lvlJc w:val="left"/>
      <w:pPr>
        <w:ind w:left="6587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199C1CE2"/>
    <w:multiLevelType w:val="hybridMultilevel"/>
    <w:tmpl w:val="9F2E252A"/>
    <w:lvl w:ilvl="0" w:tplc="25BACEF0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ECE7BF2">
      <w:start w:val="1"/>
      <w:numFmt w:val="bullet"/>
      <w:lvlText w:val="o"/>
      <w:lvlJc w:val="left"/>
      <w:pPr>
        <w:ind w:left="11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6527B20">
      <w:start w:val="1"/>
      <w:numFmt w:val="bullet"/>
      <w:lvlText w:val="▪"/>
      <w:lvlJc w:val="left"/>
      <w:pPr>
        <w:ind w:left="19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F123A48">
      <w:start w:val="1"/>
      <w:numFmt w:val="bullet"/>
      <w:lvlText w:val="•"/>
      <w:lvlJc w:val="left"/>
      <w:pPr>
        <w:ind w:left="26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E5C4436">
      <w:start w:val="1"/>
      <w:numFmt w:val="bullet"/>
      <w:lvlText w:val="o"/>
      <w:lvlJc w:val="left"/>
      <w:pPr>
        <w:ind w:left="33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81AB9B6">
      <w:start w:val="1"/>
      <w:numFmt w:val="bullet"/>
      <w:lvlText w:val="▪"/>
      <w:lvlJc w:val="left"/>
      <w:pPr>
        <w:ind w:left="40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B362ADC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03A4A20">
      <w:start w:val="1"/>
      <w:numFmt w:val="bullet"/>
      <w:lvlText w:val="o"/>
      <w:lvlJc w:val="left"/>
      <w:pPr>
        <w:ind w:left="5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DB8BB54">
      <w:start w:val="1"/>
      <w:numFmt w:val="bullet"/>
      <w:lvlText w:val="▪"/>
      <w:lvlJc w:val="left"/>
      <w:pPr>
        <w:ind w:left="62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B123188"/>
    <w:multiLevelType w:val="hybridMultilevel"/>
    <w:tmpl w:val="EA100E6A"/>
    <w:lvl w:ilvl="0" w:tplc="5CF80E66">
      <w:start w:val="1"/>
      <w:numFmt w:val="bullet"/>
      <w:lvlText w:val="➢"/>
      <w:lvlJc w:val="left"/>
      <w:pPr>
        <w:ind w:left="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AC3D0C">
      <w:start w:val="1"/>
      <w:numFmt w:val="bullet"/>
      <w:lvlText w:val="o"/>
      <w:lvlJc w:val="left"/>
      <w:pPr>
        <w:ind w:left="11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5EADE12">
      <w:start w:val="1"/>
      <w:numFmt w:val="bullet"/>
      <w:lvlText w:val="▪"/>
      <w:lvlJc w:val="left"/>
      <w:pPr>
        <w:ind w:left="19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0AC5C4">
      <w:start w:val="1"/>
      <w:numFmt w:val="bullet"/>
      <w:lvlText w:val="•"/>
      <w:lvlJc w:val="left"/>
      <w:pPr>
        <w:ind w:left="26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43A610E">
      <w:start w:val="1"/>
      <w:numFmt w:val="bullet"/>
      <w:lvlText w:val="o"/>
      <w:lvlJc w:val="left"/>
      <w:pPr>
        <w:ind w:left="33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404FC88">
      <w:start w:val="1"/>
      <w:numFmt w:val="bullet"/>
      <w:lvlText w:val="▪"/>
      <w:lvlJc w:val="left"/>
      <w:pPr>
        <w:ind w:left="40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AB22F64">
      <w:start w:val="1"/>
      <w:numFmt w:val="bullet"/>
      <w:lvlText w:val="•"/>
      <w:lvlJc w:val="left"/>
      <w:pPr>
        <w:ind w:left="4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206B2A6">
      <w:start w:val="1"/>
      <w:numFmt w:val="bullet"/>
      <w:lvlText w:val="o"/>
      <w:lvlJc w:val="left"/>
      <w:pPr>
        <w:ind w:left="5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0DEC52A">
      <w:start w:val="1"/>
      <w:numFmt w:val="bullet"/>
      <w:lvlText w:val="▪"/>
      <w:lvlJc w:val="left"/>
      <w:pPr>
        <w:ind w:left="6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B927962"/>
    <w:multiLevelType w:val="hybridMultilevel"/>
    <w:tmpl w:val="C99AC5A4"/>
    <w:lvl w:ilvl="0" w:tplc="B90694EA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E87064">
      <w:start w:val="1"/>
      <w:numFmt w:val="lowerLetter"/>
      <w:lvlText w:val="%2"/>
      <w:lvlJc w:val="left"/>
      <w:pPr>
        <w:ind w:left="17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AF49ADA">
      <w:start w:val="1"/>
      <w:numFmt w:val="lowerRoman"/>
      <w:lvlText w:val="%3"/>
      <w:lvlJc w:val="left"/>
      <w:pPr>
        <w:ind w:left="24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642572E">
      <w:start w:val="1"/>
      <w:numFmt w:val="decimal"/>
      <w:lvlText w:val="%4"/>
      <w:lvlJc w:val="left"/>
      <w:pPr>
        <w:ind w:left="31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0F4AF26">
      <w:start w:val="1"/>
      <w:numFmt w:val="lowerLetter"/>
      <w:lvlText w:val="%5"/>
      <w:lvlJc w:val="left"/>
      <w:pPr>
        <w:ind w:left="38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8BC43D2">
      <w:start w:val="1"/>
      <w:numFmt w:val="lowerRoman"/>
      <w:lvlText w:val="%6"/>
      <w:lvlJc w:val="left"/>
      <w:pPr>
        <w:ind w:left="46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B7486C0">
      <w:start w:val="1"/>
      <w:numFmt w:val="decimal"/>
      <w:lvlText w:val="%7"/>
      <w:lvlJc w:val="left"/>
      <w:pPr>
        <w:ind w:left="53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F08C092">
      <w:start w:val="1"/>
      <w:numFmt w:val="lowerLetter"/>
      <w:lvlText w:val="%8"/>
      <w:lvlJc w:val="left"/>
      <w:pPr>
        <w:ind w:left="60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2AE62BE">
      <w:start w:val="1"/>
      <w:numFmt w:val="lowerRoman"/>
      <w:lvlText w:val="%9"/>
      <w:lvlJc w:val="left"/>
      <w:pPr>
        <w:ind w:left="67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1C4B1167"/>
    <w:multiLevelType w:val="hybridMultilevel"/>
    <w:tmpl w:val="91AE5596"/>
    <w:lvl w:ilvl="0" w:tplc="EF0EB1D4">
      <w:start w:val="1"/>
      <w:numFmt w:val="bullet"/>
      <w:lvlText w:val="-"/>
      <w:lvlJc w:val="left"/>
      <w:pPr>
        <w:ind w:left="7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BD0C18C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C165C66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4061BD6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7888D3E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63EB3FC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958F184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E5C96A8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9E46D70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1EC64CC7"/>
    <w:multiLevelType w:val="hybridMultilevel"/>
    <w:tmpl w:val="67520FE0"/>
    <w:lvl w:ilvl="0" w:tplc="667AD066">
      <w:start w:val="1"/>
      <w:numFmt w:val="bullet"/>
      <w:lvlText w:val="•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460D70E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F8AB4F2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922EA88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730D2A2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9D0D054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188ABF2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232FF7C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FBCAB5A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12121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25433308"/>
    <w:multiLevelType w:val="hybridMultilevel"/>
    <w:tmpl w:val="FF924ED6"/>
    <w:lvl w:ilvl="0" w:tplc="B72CA32E">
      <w:start w:val="1"/>
      <w:numFmt w:val="bullet"/>
      <w:lvlText w:val="➢"/>
      <w:lvlJc w:val="left"/>
      <w:pPr>
        <w:ind w:left="7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DEC935C">
      <w:start w:val="1"/>
      <w:numFmt w:val="bullet"/>
      <w:lvlText w:val="o"/>
      <w:lvlJc w:val="left"/>
      <w:pPr>
        <w:ind w:left="11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4087EC8">
      <w:start w:val="1"/>
      <w:numFmt w:val="bullet"/>
      <w:lvlText w:val="▪"/>
      <w:lvlJc w:val="left"/>
      <w:pPr>
        <w:ind w:left="19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6025C70">
      <w:start w:val="1"/>
      <w:numFmt w:val="bullet"/>
      <w:lvlText w:val="•"/>
      <w:lvlJc w:val="left"/>
      <w:pPr>
        <w:ind w:left="26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1D62F8C">
      <w:start w:val="1"/>
      <w:numFmt w:val="bullet"/>
      <w:lvlText w:val="o"/>
      <w:lvlJc w:val="left"/>
      <w:pPr>
        <w:ind w:left="33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87E67E0">
      <w:start w:val="1"/>
      <w:numFmt w:val="bullet"/>
      <w:lvlText w:val="▪"/>
      <w:lvlJc w:val="left"/>
      <w:pPr>
        <w:ind w:left="40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CB24B5C">
      <w:start w:val="1"/>
      <w:numFmt w:val="bullet"/>
      <w:lvlText w:val="•"/>
      <w:lvlJc w:val="left"/>
      <w:pPr>
        <w:ind w:left="47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A966C24">
      <w:start w:val="1"/>
      <w:numFmt w:val="bullet"/>
      <w:lvlText w:val="o"/>
      <w:lvlJc w:val="left"/>
      <w:pPr>
        <w:ind w:left="55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A0E95EE">
      <w:start w:val="1"/>
      <w:numFmt w:val="bullet"/>
      <w:lvlText w:val="▪"/>
      <w:lvlJc w:val="left"/>
      <w:pPr>
        <w:ind w:left="62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262C205D"/>
    <w:multiLevelType w:val="hybridMultilevel"/>
    <w:tmpl w:val="9ADA1C1C"/>
    <w:lvl w:ilvl="0" w:tplc="D098E20C">
      <w:start w:val="1"/>
      <w:numFmt w:val="bullet"/>
      <w:lvlText w:val="-"/>
      <w:lvlJc w:val="left"/>
      <w:pPr>
        <w:ind w:left="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32220C8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80E22D0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AE008EE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80C11A0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A203CDC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D32D958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B926874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B766388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2D804C92"/>
    <w:multiLevelType w:val="hybridMultilevel"/>
    <w:tmpl w:val="9C2482D4"/>
    <w:lvl w:ilvl="0" w:tplc="8132CECC">
      <w:start w:val="1"/>
      <w:numFmt w:val="decimal"/>
      <w:lvlText w:val="%1)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03AEF76">
      <w:start w:val="1"/>
      <w:numFmt w:val="lowerLetter"/>
      <w:lvlText w:val="%2"/>
      <w:lvlJc w:val="left"/>
      <w:pPr>
        <w:ind w:left="1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B544EDE">
      <w:start w:val="1"/>
      <w:numFmt w:val="lowerRoman"/>
      <w:lvlText w:val="%3"/>
      <w:lvlJc w:val="left"/>
      <w:pPr>
        <w:ind w:left="2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400B246">
      <w:start w:val="1"/>
      <w:numFmt w:val="decimal"/>
      <w:lvlText w:val="%4"/>
      <w:lvlJc w:val="left"/>
      <w:pPr>
        <w:ind w:left="2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8C48E82">
      <w:start w:val="1"/>
      <w:numFmt w:val="lowerLetter"/>
      <w:lvlText w:val="%5"/>
      <w:lvlJc w:val="left"/>
      <w:pPr>
        <w:ind w:left="36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5C6446A">
      <w:start w:val="1"/>
      <w:numFmt w:val="lowerRoman"/>
      <w:lvlText w:val="%6"/>
      <w:lvlJc w:val="left"/>
      <w:pPr>
        <w:ind w:left="43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56ACCC">
      <w:start w:val="1"/>
      <w:numFmt w:val="decimal"/>
      <w:lvlText w:val="%7"/>
      <w:lvlJc w:val="left"/>
      <w:pPr>
        <w:ind w:left="51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80A609E">
      <w:start w:val="1"/>
      <w:numFmt w:val="lowerLetter"/>
      <w:lvlText w:val="%8"/>
      <w:lvlJc w:val="left"/>
      <w:pPr>
        <w:ind w:left="58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B26C1A4">
      <w:start w:val="1"/>
      <w:numFmt w:val="lowerRoman"/>
      <w:lvlText w:val="%9"/>
      <w:lvlJc w:val="left"/>
      <w:pPr>
        <w:ind w:left="65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339C3121"/>
    <w:multiLevelType w:val="hybridMultilevel"/>
    <w:tmpl w:val="EB9E9BCC"/>
    <w:lvl w:ilvl="0" w:tplc="775C701A">
      <w:start w:val="2"/>
      <w:numFmt w:val="decimal"/>
      <w:lvlText w:val="%1)"/>
      <w:lvlJc w:val="left"/>
      <w:pPr>
        <w:ind w:left="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EA4FBD4">
      <w:start w:val="1"/>
      <w:numFmt w:val="lowerLetter"/>
      <w:lvlText w:val="%2"/>
      <w:lvlJc w:val="left"/>
      <w:pPr>
        <w:ind w:left="1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A66A5C0">
      <w:start w:val="1"/>
      <w:numFmt w:val="lowerRoman"/>
      <w:lvlText w:val="%3"/>
      <w:lvlJc w:val="left"/>
      <w:pPr>
        <w:ind w:left="2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A3079A4">
      <w:start w:val="1"/>
      <w:numFmt w:val="decimal"/>
      <w:lvlText w:val="%4"/>
      <w:lvlJc w:val="left"/>
      <w:pPr>
        <w:ind w:left="2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03A9684">
      <w:start w:val="1"/>
      <w:numFmt w:val="lowerLetter"/>
      <w:lvlText w:val="%5"/>
      <w:lvlJc w:val="left"/>
      <w:pPr>
        <w:ind w:left="36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4C6219C">
      <w:start w:val="1"/>
      <w:numFmt w:val="lowerRoman"/>
      <w:lvlText w:val="%6"/>
      <w:lvlJc w:val="left"/>
      <w:pPr>
        <w:ind w:left="43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000627A">
      <w:start w:val="1"/>
      <w:numFmt w:val="decimal"/>
      <w:lvlText w:val="%7"/>
      <w:lvlJc w:val="left"/>
      <w:pPr>
        <w:ind w:left="51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3CC45F4">
      <w:start w:val="1"/>
      <w:numFmt w:val="lowerLetter"/>
      <w:lvlText w:val="%8"/>
      <w:lvlJc w:val="left"/>
      <w:pPr>
        <w:ind w:left="58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5A2030A">
      <w:start w:val="1"/>
      <w:numFmt w:val="lowerRoman"/>
      <w:lvlText w:val="%9"/>
      <w:lvlJc w:val="left"/>
      <w:pPr>
        <w:ind w:left="65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34D33963"/>
    <w:multiLevelType w:val="hybridMultilevel"/>
    <w:tmpl w:val="817E4D96"/>
    <w:lvl w:ilvl="0" w:tplc="DA047274">
      <w:start w:val="1"/>
      <w:numFmt w:val="bullet"/>
      <w:lvlText w:val="-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6F2EF8E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D2207B8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6DCCCAA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9ECE5CC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6E62A16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CCA0198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FAE4114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22870BA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368A0198"/>
    <w:multiLevelType w:val="hybridMultilevel"/>
    <w:tmpl w:val="A1C8015A"/>
    <w:lvl w:ilvl="0" w:tplc="17465A1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1C83C28">
      <w:start w:val="1"/>
      <w:numFmt w:val="bullet"/>
      <w:lvlText w:val="o"/>
      <w:lvlJc w:val="left"/>
      <w:pPr>
        <w:ind w:left="11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00C3B32">
      <w:start w:val="1"/>
      <w:numFmt w:val="bullet"/>
      <w:lvlText w:val="▪"/>
      <w:lvlJc w:val="left"/>
      <w:pPr>
        <w:ind w:left="19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948767C">
      <w:start w:val="1"/>
      <w:numFmt w:val="bullet"/>
      <w:lvlText w:val="•"/>
      <w:lvlJc w:val="left"/>
      <w:pPr>
        <w:ind w:left="26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91A3E70">
      <w:start w:val="1"/>
      <w:numFmt w:val="bullet"/>
      <w:lvlText w:val="o"/>
      <w:lvlJc w:val="left"/>
      <w:pPr>
        <w:ind w:left="33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40C546E">
      <w:start w:val="1"/>
      <w:numFmt w:val="bullet"/>
      <w:lvlText w:val="▪"/>
      <w:lvlJc w:val="left"/>
      <w:pPr>
        <w:ind w:left="40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6E25864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90CC47C">
      <w:start w:val="1"/>
      <w:numFmt w:val="bullet"/>
      <w:lvlText w:val="o"/>
      <w:lvlJc w:val="left"/>
      <w:pPr>
        <w:ind w:left="5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28D27E">
      <w:start w:val="1"/>
      <w:numFmt w:val="bullet"/>
      <w:lvlText w:val="▪"/>
      <w:lvlJc w:val="left"/>
      <w:pPr>
        <w:ind w:left="62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393017E6"/>
    <w:multiLevelType w:val="hybridMultilevel"/>
    <w:tmpl w:val="FE886FE2"/>
    <w:lvl w:ilvl="0" w:tplc="CE669B96">
      <w:start w:val="1"/>
      <w:numFmt w:val="bullet"/>
      <w:lvlText w:val="-"/>
      <w:lvlJc w:val="left"/>
      <w:pPr>
        <w:ind w:left="8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7A48530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1C6D42E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A8A9356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EF0D6A0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5BE1744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5F80914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01213D0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200527E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3AE76764"/>
    <w:multiLevelType w:val="hybridMultilevel"/>
    <w:tmpl w:val="8A568948"/>
    <w:lvl w:ilvl="0" w:tplc="1EC25A52">
      <w:start w:val="1"/>
      <w:numFmt w:val="bullet"/>
      <w:lvlText w:val="-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B8AFA54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53830B6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D487828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BE243F0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FC85A22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904CAFA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E06A7B6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AB23804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3C572046"/>
    <w:multiLevelType w:val="hybridMultilevel"/>
    <w:tmpl w:val="B5E802A6"/>
    <w:lvl w:ilvl="0" w:tplc="F4EA724C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9AEB942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DFA6CE8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D4642DC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A0A3A5A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C70D874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C669BA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7001EC6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5F477A8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3DCE566E"/>
    <w:multiLevelType w:val="hybridMultilevel"/>
    <w:tmpl w:val="12664CCA"/>
    <w:lvl w:ilvl="0" w:tplc="6792BB46">
      <w:start w:val="1"/>
      <w:numFmt w:val="bullet"/>
      <w:lvlText w:val="-"/>
      <w:lvlJc w:val="left"/>
      <w:pPr>
        <w:ind w:left="1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AB8EB82">
      <w:start w:val="1"/>
      <w:numFmt w:val="bullet"/>
      <w:lvlText w:val="o"/>
      <w:lvlJc w:val="left"/>
      <w:pPr>
        <w:ind w:left="26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4949D9A">
      <w:start w:val="1"/>
      <w:numFmt w:val="bullet"/>
      <w:lvlText w:val="▪"/>
      <w:lvlJc w:val="left"/>
      <w:pPr>
        <w:ind w:left="33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B5CD3D0">
      <w:start w:val="1"/>
      <w:numFmt w:val="bullet"/>
      <w:lvlText w:val="•"/>
      <w:lvlJc w:val="left"/>
      <w:pPr>
        <w:ind w:left="40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FD6027E">
      <w:start w:val="1"/>
      <w:numFmt w:val="bullet"/>
      <w:lvlText w:val="o"/>
      <w:lvlJc w:val="left"/>
      <w:pPr>
        <w:ind w:left="47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E4EDD3C">
      <w:start w:val="1"/>
      <w:numFmt w:val="bullet"/>
      <w:lvlText w:val="▪"/>
      <w:lvlJc w:val="left"/>
      <w:pPr>
        <w:ind w:left="55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BB8EA9A">
      <w:start w:val="1"/>
      <w:numFmt w:val="bullet"/>
      <w:lvlText w:val="•"/>
      <w:lvlJc w:val="left"/>
      <w:pPr>
        <w:ind w:left="6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872A2CA">
      <w:start w:val="1"/>
      <w:numFmt w:val="bullet"/>
      <w:lvlText w:val="o"/>
      <w:lvlJc w:val="left"/>
      <w:pPr>
        <w:ind w:left="6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0CCFADE">
      <w:start w:val="1"/>
      <w:numFmt w:val="bullet"/>
      <w:lvlText w:val="▪"/>
      <w:lvlJc w:val="left"/>
      <w:pPr>
        <w:ind w:left="7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402206D5"/>
    <w:multiLevelType w:val="hybridMultilevel"/>
    <w:tmpl w:val="8590710E"/>
    <w:lvl w:ilvl="0" w:tplc="BC6C04C0">
      <w:start w:val="1"/>
      <w:numFmt w:val="bullet"/>
      <w:lvlText w:val="-"/>
      <w:lvlJc w:val="left"/>
      <w:pPr>
        <w:ind w:left="1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A203D5C">
      <w:start w:val="1"/>
      <w:numFmt w:val="bullet"/>
      <w:lvlText w:val="o"/>
      <w:lvlJc w:val="left"/>
      <w:pPr>
        <w:ind w:left="20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2FEFEBE">
      <w:start w:val="1"/>
      <w:numFmt w:val="bullet"/>
      <w:lvlText w:val="▪"/>
      <w:lvlJc w:val="left"/>
      <w:pPr>
        <w:ind w:left="2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17C5BDC">
      <w:start w:val="1"/>
      <w:numFmt w:val="bullet"/>
      <w:lvlText w:val="•"/>
      <w:lvlJc w:val="left"/>
      <w:pPr>
        <w:ind w:left="3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0CCE43E">
      <w:start w:val="1"/>
      <w:numFmt w:val="bullet"/>
      <w:lvlText w:val="o"/>
      <w:lvlJc w:val="left"/>
      <w:pPr>
        <w:ind w:left="4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22C8944">
      <w:start w:val="1"/>
      <w:numFmt w:val="bullet"/>
      <w:lvlText w:val="▪"/>
      <w:lvlJc w:val="left"/>
      <w:pPr>
        <w:ind w:left="4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1485D26">
      <w:start w:val="1"/>
      <w:numFmt w:val="bullet"/>
      <w:lvlText w:val="•"/>
      <w:lvlJc w:val="left"/>
      <w:pPr>
        <w:ind w:left="5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D9660C2">
      <w:start w:val="1"/>
      <w:numFmt w:val="bullet"/>
      <w:lvlText w:val="o"/>
      <w:lvlJc w:val="left"/>
      <w:pPr>
        <w:ind w:left="6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A05FA0">
      <w:start w:val="1"/>
      <w:numFmt w:val="bullet"/>
      <w:lvlText w:val="▪"/>
      <w:lvlJc w:val="left"/>
      <w:pPr>
        <w:ind w:left="7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41D70ECD"/>
    <w:multiLevelType w:val="hybridMultilevel"/>
    <w:tmpl w:val="149E40C8"/>
    <w:lvl w:ilvl="0" w:tplc="964C535C">
      <w:start w:val="1"/>
      <w:numFmt w:val="bullet"/>
      <w:lvlText w:val="➢"/>
      <w:lvlJc w:val="left"/>
      <w:pPr>
        <w:ind w:left="7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D8C6DE8">
      <w:start w:val="1"/>
      <w:numFmt w:val="bullet"/>
      <w:lvlText w:val="o"/>
      <w:lvlJc w:val="left"/>
      <w:pPr>
        <w:ind w:left="11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F267528">
      <w:start w:val="1"/>
      <w:numFmt w:val="bullet"/>
      <w:lvlText w:val="▪"/>
      <w:lvlJc w:val="left"/>
      <w:pPr>
        <w:ind w:left="19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30494B4">
      <w:start w:val="1"/>
      <w:numFmt w:val="bullet"/>
      <w:lvlText w:val="•"/>
      <w:lvlJc w:val="left"/>
      <w:pPr>
        <w:ind w:left="26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A2ABAFC">
      <w:start w:val="1"/>
      <w:numFmt w:val="bullet"/>
      <w:lvlText w:val="o"/>
      <w:lvlJc w:val="left"/>
      <w:pPr>
        <w:ind w:left="33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D8FDEA">
      <w:start w:val="1"/>
      <w:numFmt w:val="bullet"/>
      <w:lvlText w:val="▪"/>
      <w:lvlJc w:val="left"/>
      <w:pPr>
        <w:ind w:left="40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F546BD2">
      <w:start w:val="1"/>
      <w:numFmt w:val="bullet"/>
      <w:lvlText w:val="•"/>
      <w:lvlJc w:val="left"/>
      <w:pPr>
        <w:ind w:left="47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BBA565E">
      <w:start w:val="1"/>
      <w:numFmt w:val="bullet"/>
      <w:lvlText w:val="o"/>
      <w:lvlJc w:val="left"/>
      <w:pPr>
        <w:ind w:left="55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88EA7FE">
      <w:start w:val="1"/>
      <w:numFmt w:val="bullet"/>
      <w:lvlText w:val="▪"/>
      <w:lvlJc w:val="left"/>
      <w:pPr>
        <w:ind w:left="62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41F51931"/>
    <w:multiLevelType w:val="hybridMultilevel"/>
    <w:tmpl w:val="5FC0B86E"/>
    <w:lvl w:ilvl="0" w:tplc="083ADDAE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D665986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0A8983E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4C64A60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9E670CA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846A02E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6641C8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F26EB86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83671A8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41F94166"/>
    <w:multiLevelType w:val="hybridMultilevel"/>
    <w:tmpl w:val="49D877FA"/>
    <w:lvl w:ilvl="0" w:tplc="15085A3A">
      <w:start w:val="1"/>
      <w:numFmt w:val="bullet"/>
      <w:lvlText w:val="-"/>
      <w:lvlJc w:val="left"/>
      <w:pPr>
        <w:ind w:left="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8B814A6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F6822FE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60D3B0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DC43EA2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FE8055E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6A098A8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3E8FC3C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D549A66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4317018B"/>
    <w:multiLevelType w:val="hybridMultilevel"/>
    <w:tmpl w:val="ADA0656E"/>
    <w:lvl w:ilvl="0" w:tplc="894459F2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87EEB3A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6F242DA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3DC175C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8E32F4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346BA24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A06389A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C4E49CE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7CE58CC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449E21DC"/>
    <w:multiLevelType w:val="hybridMultilevel"/>
    <w:tmpl w:val="566CE8C6"/>
    <w:lvl w:ilvl="0" w:tplc="84F8A46A">
      <w:start w:val="1"/>
      <w:numFmt w:val="bullet"/>
      <w:lvlText w:val="•"/>
      <w:lvlJc w:val="left"/>
      <w:pPr>
        <w:ind w:left="17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D9E8392">
      <w:start w:val="1"/>
      <w:numFmt w:val="bullet"/>
      <w:lvlText w:val="o"/>
      <w:lvlJc w:val="left"/>
      <w:pPr>
        <w:ind w:left="118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6C0D5C2">
      <w:start w:val="1"/>
      <w:numFmt w:val="bullet"/>
      <w:lvlText w:val="▪"/>
      <w:lvlJc w:val="left"/>
      <w:pPr>
        <w:ind w:left="190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07CB062">
      <w:start w:val="1"/>
      <w:numFmt w:val="bullet"/>
      <w:lvlText w:val="•"/>
      <w:lvlJc w:val="left"/>
      <w:pPr>
        <w:ind w:left="262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E74A24E">
      <w:start w:val="1"/>
      <w:numFmt w:val="bullet"/>
      <w:lvlText w:val="o"/>
      <w:lvlJc w:val="left"/>
      <w:pPr>
        <w:ind w:left="334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3666A18">
      <w:start w:val="1"/>
      <w:numFmt w:val="bullet"/>
      <w:lvlText w:val="▪"/>
      <w:lvlJc w:val="left"/>
      <w:pPr>
        <w:ind w:left="406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4D8C52C">
      <w:start w:val="1"/>
      <w:numFmt w:val="bullet"/>
      <w:lvlText w:val="•"/>
      <w:lvlJc w:val="left"/>
      <w:pPr>
        <w:ind w:left="47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31696A6">
      <w:start w:val="1"/>
      <w:numFmt w:val="bullet"/>
      <w:lvlText w:val="o"/>
      <w:lvlJc w:val="left"/>
      <w:pPr>
        <w:ind w:left="550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36E0A8C">
      <w:start w:val="1"/>
      <w:numFmt w:val="bullet"/>
      <w:lvlText w:val="▪"/>
      <w:lvlJc w:val="left"/>
      <w:pPr>
        <w:ind w:left="6229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45D427CA"/>
    <w:multiLevelType w:val="hybridMultilevel"/>
    <w:tmpl w:val="63A080CE"/>
    <w:lvl w:ilvl="0" w:tplc="E6EC6F06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B2E24B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032A9E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452B04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67AEFA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2860B1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F2E257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ED02AC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FEC733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47913B99"/>
    <w:multiLevelType w:val="hybridMultilevel"/>
    <w:tmpl w:val="4B824030"/>
    <w:lvl w:ilvl="0" w:tplc="E0468D4E">
      <w:start w:val="1"/>
      <w:numFmt w:val="bullet"/>
      <w:lvlText w:val="➢"/>
      <w:lvlJc w:val="left"/>
      <w:pPr>
        <w:ind w:left="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B26C3E2">
      <w:start w:val="1"/>
      <w:numFmt w:val="bullet"/>
      <w:lvlText w:val="o"/>
      <w:lvlJc w:val="left"/>
      <w:pPr>
        <w:ind w:left="11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2D09248">
      <w:start w:val="1"/>
      <w:numFmt w:val="bullet"/>
      <w:lvlText w:val="▪"/>
      <w:lvlJc w:val="left"/>
      <w:pPr>
        <w:ind w:left="19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95E2850">
      <w:start w:val="1"/>
      <w:numFmt w:val="bullet"/>
      <w:lvlText w:val="•"/>
      <w:lvlJc w:val="left"/>
      <w:pPr>
        <w:ind w:left="26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670EE68">
      <w:start w:val="1"/>
      <w:numFmt w:val="bullet"/>
      <w:lvlText w:val="o"/>
      <w:lvlJc w:val="left"/>
      <w:pPr>
        <w:ind w:left="33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BA8BF44">
      <w:start w:val="1"/>
      <w:numFmt w:val="bullet"/>
      <w:lvlText w:val="▪"/>
      <w:lvlJc w:val="left"/>
      <w:pPr>
        <w:ind w:left="40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58CF7FA">
      <w:start w:val="1"/>
      <w:numFmt w:val="bullet"/>
      <w:lvlText w:val="•"/>
      <w:lvlJc w:val="left"/>
      <w:pPr>
        <w:ind w:left="4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01AEAE8">
      <w:start w:val="1"/>
      <w:numFmt w:val="bullet"/>
      <w:lvlText w:val="o"/>
      <w:lvlJc w:val="left"/>
      <w:pPr>
        <w:ind w:left="5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F486546">
      <w:start w:val="1"/>
      <w:numFmt w:val="bullet"/>
      <w:lvlText w:val="▪"/>
      <w:lvlJc w:val="left"/>
      <w:pPr>
        <w:ind w:left="6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489C3E54"/>
    <w:multiLevelType w:val="hybridMultilevel"/>
    <w:tmpl w:val="AD645E86"/>
    <w:lvl w:ilvl="0" w:tplc="C052B3E8">
      <w:start w:val="1"/>
      <w:numFmt w:val="bullet"/>
      <w:lvlText w:val="➢"/>
      <w:lvlJc w:val="left"/>
      <w:pPr>
        <w:ind w:left="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932416C">
      <w:start w:val="1"/>
      <w:numFmt w:val="bullet"/>
      <w:lvlText w:val="o"/>
      <w:lvlJc w:val="left"/>
      <w:pPr>
        <w:ind w:left="11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1F6292E">
      <w:start w:val="1"/>
      <w:numFmt w:val="bullet"/>
      <w:lvlText w:val="▪"/>
      <w:lvlJc w:val="left"/>
      <w:pPr>
        <w:ind w:left="19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14CEEB2">
      <w:start w:val="1"/>
      <w:numFmt w:val="bullet"/>
      <w:lvlText w:val="•"/>
      <w:lvlJc w:val="left"/>
      <w:pPr>
        <w:ind w:left="26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A162228">
      <w:start w:val="1"/>
      <w:numFmt w:val="bullet"/>
      <w:lvlText w:val="o"/>
      <w:lvlJc w:val="left"/>
      <w:pPr>
        <w:ind w:left="33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0CA058E">
      <w:start w:val="1"/>
      <w:numFmt w:val="bullet"/>
      <w:lvlText w:val="▪"/>
      <w:lvlJc w:val="left"/>
      <w:pPr>
        <w:ind w:left="40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616ADD0">
      <w:start w:val="1"/>
      <w:numFmt w:val="bullet"/>
      <w:lvlText w:val="•"/>
      <w:lvlJc w:val="left"/>
      <w:pPr>
        <w:ind w:left="4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140E6D4">
      <w:start w:val="1"/>
      <w:numFmt w:val="bullet"/>
      <w:lvlText w:val="o"/>
      <w:lvlJc w:val="left"/>
      <w:pPr>
        <w:ind w:left="5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CECAC10">
      <w:start w:val="1"/>
      <w:numFmt w:val="bullet"/>
      <w:lvlText w:val="▪"/>
      <w:lvlJc w:val="left"/>
      <w:pPr>
        <w:ind w:left="6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48FD63FE"/>
    <w:multiLevelType w:val="hybridMultilevel"/>
    <w:tmpl w:val="AD38E1CA"/>
    <w:lvl w:ilvl="0" w:tplc="9CD89896">
      <w:start w:val="1"/>
      <w:numFmt w:val="bullet"/>
      <w:lvlText w:val="-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B7EE0A8">
      <w:start w:val="1"/>
      <w:numFmt w:val="bullet"/>
      <w:lvlText w:val="o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786BFF8">
      <w:start w:val="1"/>
      <w:numFmt w:val="bullet"/>
      <w:lvlText w:val="▪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566E82E">
      <w:start w:val="1"/>
      <w:numFmt w:val="bullet"/>
      <w:lvlText w:val="•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E68AFD6">
      <w:start w:val="1"/>
      <w:numFmt w:val="bullet"/>
      <w:lvlText w:val="o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88CA4B0">
      <w:start w:val="1"/>
      <w:numFmt w:val="bullet"/>
      <w:lvlText w:val="▪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BCEDF22">
      <w:start w:val="1"/>
      <w:numFmt w:val="bullet"/>
      <w:lvlText w:val="•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FDA5B34">
      <w:start w:val="1"/>
      <w:numFmt w:val="bullet"/>
      <w:lvlText w:val="o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114EF24">
      <w:start w:val="1"/>
      <w:numFmt w:val="bullet"/>
      <w:lvlText w:val="▪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495918B2"/>
    <w:multiLevelType w:val="hybridMultilevel"/>
    <w:tmpl w:val="53EE6CC0"/>
    <w:lvl w:ilvl="0" w:tplc="9F20FA4A">
      <w:start w:val="1"/>
      <w:numFmt w:val="bullet"/>
      <w:lvlText w:val="-"/>
      <w:lvlJc w:val="left"/>
      <w:pPr>
        <w:ind w:left="1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9CA4460">
      <w:start w:val="1"/>
      <w:numFmt w:val="bullet"/>
      <w:lvlText w:val="o"/>
      <w:lvlJc w:val="left"/>
      <w:pPr>
        <w:ind w:left="26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BAC1DAC">
      <w:start w:val="1"/>
      <w:numFmt w:val="bullet"/>
      <w:lvlText w:val="▪"/>
      <w:lvlJc w:val="left"/>
      <w:pPr>
        <w:ind w:left="33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DCC0112">
      <w:start w:val="1"/>
      <w:numFmt w:val="bullet"/>
      <w:lvlText w:val="•"/>
      <w:lvlJc w:val="left"/>
      <w:pPr>
        <w:ind w:left="40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99C47FA">
      <w:start w:val="1"/>
      <w:numFmt w:val="bullet"/>
      <w:lvlText w:val="o"/>
      <w:lvlJc w:val="left"/>
      <w:pPr>
        <w:ind w:left="47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FDC0C62">
      <w:start w:val="1"/>
      <w:numFmt w:val="bullet"/>
      <w:lvlText w:val="▪"/>
      <w:lvlJc w:val="left"/>
      <w:pPr>
        <w:ind w:left="55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656DC20">
      <w:start w:val="1"/>
      <w:numFmt w:val="bullet"/>
      <w:lvlText w:val="•"/>
      <w:lvlJc w:val="left"/>
      <w:pPr>
        <w:ind w:left="6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F76DCE8">
      <w:start w:val="1"/>
      <w:numFmt w:val="bullet"/>
      <w:lvlText w:val="o"/>
      <w:lvlJc w:val="left"/>
      <w:pPr>
        <w:ind w:left="6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21ECD62">
      <w:start w:val="1"/>
      <w:numFmt w:val="bullet"/>
      <w:lvlText w:val="▪"/>
      <w:lvlJc w:val="left"/>
      <w:pPr>
        <w:ind w:left="7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4D3A6A22"/>
    <w:multiLevelType w:val="hybridMultilevel"/>
    <w:tmpl w:val="DE587256"/>
    <w:lvl w:ilvl="0" w:tplc="C2105326">
      <w:start w:val="1"/>
      <w:numFmt w:val="bullet"/>
      <w:lvlText w:val="•"/>
      <w:lvlJc w:val="left"/>
      <w:pPr>
        <w:ind w:left="56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7642DC8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A7448AEA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84A06C2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AFA4AD32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416B062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CF25FE8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A3EAC4E0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AFA296E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4DE92FCF"/>
    <w:multiLevelType w:val="hybridMultilevel"/>
    <w:tmpl w:val="B46E5CB0"/>
    <w:lvl w:ilvl="0" w:tplc="42ECD34E">
      <w:start w:val="1"/>
      <w:numFmt w:val="bullet"/>
      <w:lvlText w:val="•"/>
      <w:lvlJc w:val="left"/>
      <w:pPr>
        <w:ind w:left="3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CC07044">
      <w:start w:val="1"/>
      <w:numFmt w:val="bullet"/>
      <w:lvlText w:val="o"/>
      <w:lvlJc w:val="left"/>
      <w:pPr>
        <w:ind w:left="12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F7E8036">
      <w:start w:val="1"/>
      <w:numFmt w:val="bullet"/>
      <w:lvlText w:val="▪"/>
      <w:lvlJc w:val="left"/>
      <w:pPr>
        <w:ind w:left="19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E2C673E">
      <w:start w:val="1"/>
      <w:numFmt w:val="bullet"/>
      <w:lvlText w:val="•"/>
      <w:lvlJc w:val="left"/>
      <w:pPr>
        <w:ind w:left="26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1BC7C8E">
      <w:start w:val="1"/>
      <w:numFmt w:val="bullet"/>
      <w:lvlText w:val="o"/>
      <w:lvlJc w:val="left"/>
      <w:pPr>
        <w:ind w:left="33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396C3D4">
      <w:start w:val="1"/>
      <w:numFmt w:val="bullet"/>
      <w:lvlText w:val="▪"/>
      <w:lvlJc w:val="left"/>
      <w:pPr>
        <w:ind w:left="40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DF0E3C8">
      <w:start w:val="1"/>
      <w:numFmt w:val="bullet"/>
      <w:lvlText w:val="•"/>
      <w:lvlJc w:val="left"/>
      <w:pPr>
        <w:ind w:left="4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D0A7EB2">
      <w:start w:val="1"/>
      <w:numFmt w:val="bullet"/>
      <w:lvlText w:val="o"/>
      <w:lvlJc w:val="left"/>
      <w:pPr>
        <w:ind w:left="5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31E0DB8">
      <w:start w:val="1"/>
      <w:numFmt w:val="bullet"/>
      <w:lvlText w:val="▪"/>
      <w:lvlJc w:val="left"/>
      <w:pPr>
        <w:ind w:left="6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4FDB3A88"/>
    <w:multiLevelType w:val="hybridMultilevel"/>
    <w:tmpl w:val="4474A582"/>
    <w:lvl w:ilvl="0" w:tplc="EC8A1114">
      <w:start w:val="1"/>
      <w:numFmt w:val="bullet"/>
      <w:lvlText w:val="•"/>
      <w:lvlJc w:val="left"/>
      <w:pPr>
        <w:ind w:left="5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33C1DFC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14EB810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2C28B0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6EEFC42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546345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CE06894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136E18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004ABBC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4FF40E45"/>
    <w:multiLevelType w:val="hybridMultilevel"/>
    <w:tmpl w:val="50041D50"/>
    <w:lvl w:ilvl="0" w:tplc="0E7635EE">
      <w:start w:val="1"/>
      <w:numFmt w:val="bullet"/>
      <w:lvlText w:val="➢"/>
      <w:lvlJc w:val="left"/>
      <w:pPr>
        <w:ind w:left="64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6CCA376">
      <w:start w:val="1"/>
      <w:numFmt w:val="bullet"/>
      <w:lvlText w:val="o"/>
      <w:lvlJc w:val="left"/>
      <w:pPr>
        <w:ind w:left="154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3E4427A">
      <w:start w:val="1"/>
      <w:numFmt w:val="bullet"/>
      <w:lvlText w:val="▪"/>
      <w:lvlJc w:val="left"/>
      <w:pPr>
        <w:ind w:left="226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B400254">
      <w:start w:val="1"/>
      <w:numFmt w:val="bullet"/>
      <w:lvlText w:val="•"/>
      <w:lvlJc w:val="left"/>
      <w:pPr>
        <w:ind w:left="298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0203ADE">
      <w:start w:val="1"/>
      <w:numFmt w:val="bullet"/>
      <w:lvlText w:val="o"/>
      <w:lvlJc w:val="left"/>
      <w:pPr>
        <w:ind w:left="370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02057A2">
      <w:start w:val="1"/>
      <w:numFmt w:val="bullet"/>
      <w:lvlText w:val="▪"/>
      <w:lvlJc w:val="left"/>
      <w:pPr>
        <w:ind w:left="442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8E2197A">
      <w:start w:val="1"/>
      <w:numFmt w:val="bullet"/>
      <w:lvlText w:val="•"/>
      <w:lvlJc w:val="left"/>
      <w:pPr>
        <w:ind w:left="514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B7AAEFC">
      <w:start w:val="1"/>
      <w:numFmt w:val="bullet"/>
      <w:lvlText w:val="o"/>
      <w:lvlJc w:val="left"/>
      <w:pPr>
        <w:ind w:left="586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C6498E2">
      <w:start w:val="1"/>
      <w:numFmt w:val="bullet"/>
      <w:lvlText w:val="▪"/>
      <w:lvlJc w:val="left"/>
      <w:pPr>
        <w:ind w:left="6585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505231A2"/>
    <w:multiLevelType w:val="hybridMultilevel"/>
    <w:tmpl w:val="B9742464"/>
    <w:lvl w:ilvl="0" w:tplc="89A857E8">
      <w:start w:val="1"/>
      <w:numFmt w:val="bullet"/>
      <w:lvlText w:val="✓"/>
      <w:lvlJc w:val="left"/>
      <w:pPr>
        <w:ind w:left="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00E0CE8">
      <w:start w:val="1"/>
      <w:numFmt w:val="bullet"/>
      <w:lvlText w:val="o"/>
      <w:lvlJc w:val="left"/>
      <w:pPr>
        <w:ind w:left="11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502D6CE">
      <w:start w:val="1"/>
      <w:numFmt w:val="bullet"/>
      <w:lvlText w:val="▪"/>
      <w:lvlJc w:val="left"/>
      <w:pPr>
        <w:ind w:left="19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708F100">
      <w:start w:val="1"/>
      <w:numFmt w:val="bullet"/>
      <w:lvlText w:val="•"/>
      <w:lvlJc w:val="left"/>
      <w:pPr>
        <w:ind w:left="26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BFCBFD4">
      <w:start w:val="1"/>
      <w:numFmt w:val="bullet"/>
      <w:lvlText w:val="o"/>
      <w:lvlJc w:val="left"/>
      <w:pPr>
        <w:ind w:left="33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A4204F0">
      <w:start w:val="1"/>
      <w:numFmt w:val="bullet"/>
      <w:lvlText w:val="▪"/>
      <w:lvlJc w:val="left"/>
      <w:pPr>
        <w:ind w:left="40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280EBEC">
      <w:start w:val="1"/>
      <w:numFmt w:val="bullet"/>
      <w:lvlText w:val="•"/>
      <w:lvlJc w:val="left"/>
      <w:pPr>
        <w:ind w:left="4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116B63A">
      <w:start w:val="1"/>
      <w:numFmt w:val="bullet"/>
      <w:lvlText w:val="o"/>
      <w:lvlJc w:val="left"/>
      <w:pPr>
        <w:ind w:left="5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0749044">
      <w:start w:val="1"/>
      <w:numFmt w:val="bullet"/>
      <w:lvlText w:val="▪"/>
      <w:lvlJc w:val="left"/>
      <w:pPr>
        <w:ind w:left="6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50592EFA"/>
    <w:multiLevelType w:val="hybridMultilevel"/>
    <w:tmpl w:val="AF284184"/>
    <w:lvl w:ilvl="0" w:tplc="D6088972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8E279E4">
      <w:start w:val="1"/>
      <w:numFmt w:val="bullet"/>
      <w:lvlText w:val="o"/>
      <w:lvlJc w:val="left"/>
      <w:pPr>
        <w:ind w:left="13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93E9BE2">
      <w:start w:val="1"/>
      <w:numFmt w:val="bullet"/>
      <w:lvlText w:val="▪"/>
      <w:lvlJc w:val="left"/>
      <w:pPr>
        <w:ind w:left="20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CCE5092">
      <w:start w:val="1"/>
      <w:numFmt w:val="bullet"/>
      <w:lvlText w:val="•"/>
      <w:lvlJc w:val="left"/>
      <w:pPr>
        <w:ind w:left="28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5D2CE02A">
      <w:start w:val="1"/>
      <w:numFmt w:val="bullet"/>
      <w:lvlText w:val="o"/>
      <w:lvlJc w:val="left"/>
      <w:pPr>
        <w:ind w:left="35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34C1DE2">
      <w:start w:val="1"/>
      <w:numFmt w:val="bullet"/>
      <w:lvlText w:val="▪"/>
      <w:lvlJc w:val="left"/>
      <w:pPr>
        <w:ind w:left="42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E84246E">
      <w:start w:val="1"/>
      <w:numFmt w:val="bullet"/>
      <w:lvlText w:val="•"/>
      <w:lvlJc w:val="left"/>
      <w:pPr>
        <w:ind w:left="49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1D6B536">
      <w:start w:val="1"/>
      <w:numFmt w:val="bullet"/>
      <w:lvlText w:val="o"/>
      <w:lvlJc w:val="left"/>
      <w:pPr>
        <w:ind w:left="56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DA22318">
      <w:start w:val="1"/>
      <w:numFmt w:val="bullet"/>
      <w:lvlText w:val="▪"/>
      <w:lvlJc w:val="left"/>
      <w:pPr>
        <w:ind w:left="64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50AB788B"/>
    <w:multiLevelType w:val="hybridMultilevel"/>
    <w:tmpl w:val="59428C86"/>
    <w:lvl w:ilvl="0" w:tplc="796A589A">
      <w:start w:val="1"/>
      <w:numFmt w:val="bullet"/>
      <w:lvlText w:val="➢"/>
      <w:lvlJc w:val="left"/>
      <w:pPr>
        <w:ind w:left="7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DFA0004">
      <w:start w:val="1"/>
      <w:numFmt w:val="bullet"/>
      <w:lvlText w:val="o"/>
      <w:lvlJc w:val="left"/>
      <w:pPr>
        <w:ind w:left="10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22C753E">
      <w:start w:val="1"/>
      <w:numFmt w:val="bullet"/>
      <w:lvlText w:val="▪"/>
      <w:lvlJc w:val="left"/>
      <w:pPr>
        <w:ind w:left="18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942EEA8">
      <w:start w:val="1"/>
      <w:numFmt w:val="bullet"/>
      <w:lvlText w:val="•"/>
      <w:lvlJc w:val="left"/>
      <w:pPr>
        <w:ind w:left="25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63025CE">
      <w:start w:val="1"/>
      <w:numFmt w:val="bullet"/>
      <w:lvlText w:val="o"/>
      <w:lvlJc w:val="left"/>
      <w:pPr>
        <w:ind w:left="32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6F2EF0A">
      <w:start w:val="1"/>
      <w:numFmt w:val="bullet"/>
      <w:lvlText w:val="▪"/>
      <w:lvlJc w:val="left"/>
      <w:pPr>
        <w:ind w:left="39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45ED11C">
      <w:start w:val="1"/>
      <w:numFmt w:val="bullet"/>
      <w:lvlText w:val="•"/>
      <w:lvlJc w:val="left"/>
      <w:pPr>
        <w:ind w:left="46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3D68B44">
      <w:start w:val="1"/>
      <w:numFmt w:val="bullet"/>
      <w:lvlText w:val="o"/>
      <w:lvlJc w:val="left"/>
      <w:pPr>
        <w:ind w:left="54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A803E1A">
      <w:start w:val="1"/>
      <w:numFmt w:val="bullet"/>
      <w:lvlText w:val="▪"/>
      <w:lvlJc w:val="left"/>
      <w:pPr>
        <w:ind w:left="61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51225B66"/>
    <w:multiLevelType w:val="hybridMultilevel"/>
    <w:tmpl w:val="611AA67E"/>
    <w:lvl w:ilvl="0" w:tplc="AEFC9648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988E230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110086E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AB0549A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924C08C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23C758E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C663BC2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3346054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AB61E3E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54D94475"/>
    <w:multiLevelType w:val="hybridMultilevel"/>
    <w:tmpl w:val="1E2A872A"/>
    <w:lvl w:ilvl="0" w:tplc="F5C08A02">
      <w:start w:val="1"/>
      <w:numFmt w:val="bullet"/>
      <w:lvlText w:val="•"/>
      <w:lvlJc w:val="left"/>
      <w:pPr>
        <w:ind w:left="14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25A0CD6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3B07220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F1A0084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092AA40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860275E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BDED9E2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994E040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AAE48B4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562A47B2"/>
    <w:multiLevelType w:val="hybridMultilevel"/>
    <w:tmpl w:val="8D22C018"/>
    <w:lvl w:ilvl="0" w:tplc="F684E738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FF6BC02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F608ED6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740168C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D7E21A2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6E4A3D8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340F8D8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4C4FE5E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9C8FCE6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9" w15:restartNumberingAfterBreak="0">
    <w:nsid w:val="57743B07"/>
    <w:multiLevelType w:val="hybridMultilevel"/>
    <w:tmpl w:val="5CFCBAE6"/>
    <w:lvl w:ilvl="0" w:tplc="C096DC1C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4EC35A0">
      <w:start w:val="1"/>
      <w:numFmt w:val="bullet"/>
      <w:lvlText w:val="o"/>
      <w:lvlJc w:val="left"/>
      <w:pPr>
        <w:ind w:left="141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8D89AE6">
      <w:start w:val="1"/>
      <w:numFmt w:val="bullet"/>
      <w:lvlText w:val="▪"/>
      <w:lvlJc w:val="left"/>
      <w:pPr>
        <w:ind w:left="213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2600FB6">
      <w:start w:val="1"/>
      <w:numFmt w:val="bullet"/>
      <w:lvlText w:val="•"/>
      <w:lvlJc w:val="left"/>
      <w:pPr>
        <w:ind w:left="28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AAC2860">
      <w:start w:val="1"/>
      <w:numFmt w:val="bullet"/>
      <w:lvlText w:val="o"/>
      <w:lvlJc w:val="left"/>
      <w:pPr>
        <w:ind w:left="357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D5A2F56">
      <w:start w:val="1"/>
      <w:numFmt w:val="bullet"/>
      <w:lvlText w:val="▪"/>
      <w:lvlJc w:val="left"/>
      <w:pPr>
        <w:ind w:left="429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FA23ABA">
      <w:start w:val="1"/>
      <w:numFmt w:val="bullet"/>
      <w:lvlText w:val="•"/>
      <w:lvlJc w:val="left"/>
      <w:pPr>
        <w:ind w:left="50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81CABDE">
      <w:start w:val="1"/>
      <w:numFmt w:val="bullet"/>
      <w:lvlText w:val="o"/>
      <w:lvlJc w:val="left"/>
      <w:pPr>
        <w:ind w:left="573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5CC497C">
      <w:start w:val="1"/>
      <w:numFmt w:val="bullet"/>
      <w:lvlText w:val="▪"/>
      <w:lvlJc w:val="left"/>
      <w:pPr>
        <w:ind w:left="645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57E65FB6"/>
    <w:multiLevelType w:val="hybridMultilevel"/>
    <w:tmpl w:val="1EE8EF9A"/>
    <w:lvl w:ilvl="0" w:tplc="915E634A">
      <w:start w:val="1"/>
      <w:numFmt w:val="bullet"/>
      <w:lvlText w:val="➢"/>
      <w:lvlJc w:val="left"/>
      <w:pPr>
        <w:ind w:left="72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494C7F0">
      <w:start w:val="1"/>
      <w:numFmt w:val="bullet"/>
      <w:lvlText w:val="o"/>
      <w:lvlJc w:val="left"/>
      <w:pPr>
        <w:ind w:left="154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048CA92">
      <w:start w:val="1"/>
      <w:numFmt w:val="bullet"/>
      <w:lvlText w:val="▪"/>
      <w:lvlJc w:val="left"/>
      <w:pPr>
        <w:ind w:left="226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F42A00C">
      <w:start w:val="1"/>
      <w:numFmt w:val="bullet"/>
      <w:lvlText w:val="•"/>
      <w:lvlJc w:val="left"/>
      <w:pPr>
        <w:ind w:left="298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A0691BC">
      <w:start w:val="1"/>
      <w:numFmt w:val="bullet"/>
      <w:lvlText w:val="o"/>
      <w:lvlJc w:val="left"/>
      <w:pPr>
        <w:ind w:left="370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7A240AE">
      <w:start w:val="1"/>
      <w:numFmt w:val="bullet"/>
      <w:lvlText w:val="▪"/>
      <w:lvlJc w:val="left"/>
      <w:pPr>
        <w:ind w:left="442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DE419B8">
      <w:start w:val="1"/>
      <w:numFmt w:val="bullet"/>
      <w:lvlText w:val="•"/>
      <w:lvlJc w:val="left"/>
      <w:pPr>
        <w:ind w:left="514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24C161E">
      <w:start w:val="1"/>
      <w:numFmt w:val="bullet"/>
      <w:lvlText w:val="o"/>
      <w:lvlJc w:val="left"/>
      <w:pPr>
        <w:ind w:left="586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E4A9D00">
      <w:start w:val="1"/>
      <w:numFmt w:val="bullet"/>
      <w:lvlText w:val="▪"/>
      <w:lvlJc w:val="left"/>
      <w:pPr>
        <w:ind w:left="658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58B610E4"/>
    <w:multiLevelType w:val="hybridMultilevel"/>
    <w:tmpl w:val="3F88A822"/>
    <w:lvl w:ilvl="0" w:tplc="C7025578">
      <w:start w:val="1"/>
      <w:numFmt w:val="bullet"/>
      <w:lvlText w:val="o"/>
      <w:lvlJc w:val="left"/>
      <w:pPr>
        <w:ind w:left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4461F6C">
      <w:start w:val="1"/>
      <w:numFmt w:val="bullet"/>
      <w:lvlText w:val="o"/>
      <w:lvlJc w:val="left"/>
      <w:pPr>
        <w:ind w:left="1188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6D6E68A">
      <w:start w:val="1"/>
      <w:numFmt w:val="bullet"/>
      <w:lvlText w:val="▪"/>
      <w:lvlJc w:val="left"/>
      <w:pPr>
        <w:ind w:left="1908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3A41BD4">
      <w:start w:val="1"/>
      <w:numFmt w:val="bullet"/>
      <w:lvlText w:val="•"/>
      <w:lvlJc w:val="left"/>
      <w:pPr>
        <w:ind w:left="2628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B48EDA6">
      <w:start w:val="1"/>
      <w:numFmt w:val="bullet"/>
      <w:lvlText w:val="o"/>
      <w:lvlJc w:val="left"/>
      <w:pPr>
        <w:ind w:left="3348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78633E0">
      <w:start w:val="1"/>
      <w:numFmt w:val="bullet"/>
      <w:lvlText w:val="▪"/>
      <w:lvlJc w:val="left"/>
      <w:pPr>
        <w:ind w:left="4068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46682B2">
      <w:start w:val="1"/>
      <w:numFmt w:val="bullet"/>
      <w:lvlText w:val="•"/>
      <w:lvlJc w:val="left"/>
      <w:pPr>
        <w:ind w:left="4788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4F0DC8E">
      <w:start w:val="1"/>
      <w:numFmt w:val="bullet"/>
      <w:lvlText w:val="o"/>
      <w:lvlJc w:val="left"/>
      <w:pPr>
        <w:ind w:left="5508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50EE208">
      <w:start w:val="1"/>
      <w:numFmt w:val="bullet"/>
      <w:lvlText w:val="▪"/>
      <w:lvlJc w:val="left"/>
      <w:pPr>
        <w:ind w:left="6228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58E46C72"/>
    <w:multiLevelType w:val="hybridMultilevel"/>
    <w:tmpl w:val="58EA8876"/>
    <w:lvl w:ilvl="0" w:tplc="B33A5CD4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C804390">
      <w:start w:val="1"/>
      <w:numFmt w:val="bullet"/>
      <w:lvlText w:val="o"/>
      <w:lvlJc w:val="left"/>
      <w:pPr>
        <w:ind w:left="18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0A083FE">
      <w:start w:val="1"/>
      <w:numFmt w:val="bullet"/>
      <w:lvlText w:val="▪"/>
      <w:lvlJc w:val="left"/>
      <w:pPr>
        <w:ind w:left="26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58E5C28">
      <w:start w:val="1"/>
      <w:numFmt w:val="bullet"/>
      <w:lvlText w:val="•"/>
      <w:lvlJc w:val="left"/>
      <w:pPr>
        <w:ind w:left="33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4FACA86">
      <w:start w:val="1"/>
      <w:numFmt w:val="bullet"/>
      <w:lvlText w:val="o"/>
      <w:lvlJc w:val="left"/>
      <w:pPr>
        <w:ind w:left="40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6265914">
      <w:start w:val="1"/>
      <w:numFmt w:val="bullet"/>
      <w:lvlText w:val="▪"/>
      <w:lvlJc w:val="left"/>
      <w:pPr>
        <w:ind w:left="47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C387F6E">
      <w:start w:val="1"/>
      <w:numFmt w:val="bullet"/>
      <w:lvlText w:val="•"/>
      <w:lvlJc w:val="left"/>
      <w:pPr>
        <w:ind w:left="5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CE2FB38">
      <w:start w:val="1"/>
      <w:numFmt w:val="bullet"/>
      <w:lvlText w:val="o"/>
      <w:lvlJc w:val="left"/>
      <w:pPr>
        <w:ind w:left="62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98A6988">
      <w:start w:val="1"/>
      <w:numFmt w:val="bullet"/>
      <w:lvlText w:val="▪"/>
      <w:lvlJc w:val="left"/>
      <w:pPr>
        <w:ind w:left="69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3" w15:restartNumberingAfterBreak="0">
    <w:nsid w:val="591F3E22"/>
    <w:multiLevelType w:val="hybridMultilevel"/>
    <w:tmpl w:val="D5780EC4"/>
    <w:lvl w:ilvl="0" w:tplc="BCB62D12">
      <w:start w:val="1"/>
      <w:numFmt w:val="bullet"/>
      <w:lvlText w:val="-"/>
      <w:lvlJc w:val="left"/>
      <w:pPr>
        <w:ind w:left="1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DDE699E">
      <w:start w:val="1"/>
      <w:numFmt w:val="bullet"/>
      <w:lvlText w:val="o"/>
      <w:lvlJc w:val="left"/>
      <w:pPr>
        <w:ind w:left="26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DE449E6">
      <w:start w:val="1"/>
      <w:numFmt w:val="bullet"/>
      <w:lvlText w:val="▪"/>
      <w:lvlJc w:val="left"/>
      <w:pPr>
        <w:ind w:left="33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6C8410C">
      <w:start w:val="1"/>
      <w:numFmt w:val="bullet"/>
      <w:lvlText w:val="•"/>
      <w:lvlJc w:val="left"/>
      <w:pPr>
        <w:ind w:left="40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FD6A5F6">
      <w:start w:val="1"/>
      <w:numFmt w:val="bullet"/>
      <w:lvlText w:val="o"/>
      <w:lvlJc w:val="left"/>
      <w:pPr>
        <w:ind w:left="47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9C08D26">
      <w:start w:val="1"/>
      <w:numFmt w:val="bullet"/>
      <w:lvlText w:val="▪"/>
      <w:lvlJc w:val="left"/>
      <w:pPr>
        <w:ind w:left="55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DA050B0">
      <w:start w:val="1"/>
      <w:numFmt w:val="bullet"/>
      <w:lvlText w:val="•"/>
      <w:lvlJc w:val="left"/>
      <w:pPr>
        <w:ind w:left="6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94E45BA">
      <w:start w:val="1"/>
      <w:numFmt w:val="bullet"/>
      <w:lvlText w:val="o"/>
      <w:lvlJc w:val="left"/>
      <w:pPr>
        <w:ind w:left="6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85699C4">
      <w:start w:val="1"/>
      <w:numFmt w:val="bullet"/>
      <w:lvlText w:val="▪"/>
      <w:lvlJc w:val="left"/>
      <w:pPr>
        <w:ind w:left="7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4" w15:restartNumberingAfterBreak="0">
    <w:nsid w:val="5AA2371C"/>
    <w:multiLevelType w:val="hybridMultilevel"/>
    <w:tmpl w:val="D788F516"/>
    <w:lvl w:ilvl="0" w:tplc="DBFABCEA">
      <w:start w:val="1"/>
      <w:numFmt w:val="bullet"/>
      <w:lvlText w:val="-"/>
      <w:lvlJc w:val="left"/>
      <w:pPr>
        <w:ind w:left="5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AFCE8F4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148FFEC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E3AAF68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838DFA8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4D0C1B2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F084B84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442C820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9D8A22E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5B330467"/>
    <w:multiLevelType w:val="hybridMultilevel"/>
    <w:tmpl w:val="30C6884A"/>
    <w:lvl w:ilvl="0" w:tplc="F174A8CE">
      <w:start w:val="1"/>
      <w:numFmt w:val="bullet"/>
      <w:lvlText w:val="-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5B85430">
      <w:start w:val="1"/>
      <w:numFmt w:val="bullet"/>
      <w:lvlText w:val="o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ECC6594">
      <w:start w:val="1"/>
      <w:numFmt w:val="bullet"/>
      <w:lvlText w:val="▪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71ED8A2">
      <w:start w:val="1"/>
      <w:numFmt w:val="bullet"/>
      <w:lvlText w:val="•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628B678">
      <w:start w:val="1"/>
      <w:numFmt w:val="bullet"/>
      <w:lvlText w:val="o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FD87E74">
      <w:start w:val="1"/>
      <w:numFmt w:val="bullet"/>
      <w:lvlText w:val="▪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7CE2C6A">
      <w:start w:val="1"/>
      <w:numFmt w:val="bullet"/>
      <w:lvlText w:val="•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720D158">
      <w:start w:val="1"/>
      <w:numFmt w:val="bullet"/>
      <w:lvlText w:val="o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0B02AE2">
      <w:start w:val="1"/>
      <w:numFmt w:val="bullet"/>
      <w:lvlText w:val="▪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6" w15:restartNumberingAfterBreak="0">
    <w:nsid w:val="5B5F1BAC"/>
    <w:multiLevelType w:val="hybridMultilevel"/>
    <w:tmpl w:val="B290E930"/>
    <w:lvl w:ilvl="0" w:tplc="897C0150">
      <w:start w:val="1"/>
      <w:numFmt w:val="bullet"/>
      <w:lvlText w:val="•"/>
      <w:lvlJc w:val="left"/>
      <w:pPr>
        <w:ind w:left="7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48C0834">
      <w:start w:val="1"/>
      <w:numFmt w:val="bullet"/>
      <w:lvlText w:val="o"/>
      <w:lvlJc w:val="left"/>
      <w:pPr>
        <w:ind w:left="140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A629AD8">
      <w:start w:val="1"/>
      <w:numFmt w:val="bullet"/>
      <w:lvlText w:val="▪"/>
      <w:lvlJc w:val="left"/>
      <w:pPr>
        <w:ind w:left="21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8A0DF4A">
      <w:start w:val="1"/>
      <w:numFmt w:val="bullet"/>
      <w:lvlText w:val="•"/>
      <w:lvlJc w:val="left"/>
      <w:pPr>
        <w:ind w:left="28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29EFAC4">
      <w:start w:val="1"/>
      <w:numFmt w:val="bullet"/>
      <w:lvlText w:val="o"/>
      <w:lvlJc w:val="left"/>
      <w:pPr>
        <w:ind w:left="35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7B68C4C">
      <w:start w:val="1"/>
      <w:numFmt w:val="bullet"/>
      <w:lvlText w:val="▪"/>
      <w:lvlJc w:val="left"/>
      <w:pPr>
        <w:ind w:left="428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480F89E">
      <w:start w:val="1"/>
      <w:numFmt w:val="bullet"/>
      <w:lvlText w:val="•"/>
      <w:lvlJc w:val="left"/>
      <w:pPr>
        <w:ind w:left="50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4D42238">
      <w:start w:val="1"/>
      <w:numFmt w:val="bullet"/>
      <w:lvlText w:val="o"/>
      <w:lvlJc w:val="left"/>
      <w:pPr>
        <w:ind w:left="57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7AEBF18">
      <w:start w:val="1"/>
      <w:numFmt w:val="bullet"/>
      <w:lvlText w:val="▪"/>
      <w:lvlJc w:val="left"/>
      <w:pPr>
        <w:ind w:left="644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5E1800B7"/>
    <w:multiLevelType w:val="hybridMultilevel"/>
    <w:tmpl w:val="394207E0"/>
    <w:lvl w:ilvl="0" w:tplc="5AE09E84">
      <w:start w:val="1"/>
      <w:numFmt w:val="decimal"/>
      <w:lvlText w:val="%1."/>
      <w:lvlJc w:val="left"/>
      <w:pPr>
        <w:ind w:left="1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5A4BD5A">
      <w:start w:val="1"/>
      <w:numFmt w:val="bullet"/>
      <w:lvlText w:val="•"/>
      <w:lvlJc w:val="left"/>
      <w:pPr>
        <w:ind w:left="14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C8343E">
      <w:start w:val="1"/>
      <w:numFmt w:val="bullet"/>
      <w:lvlText w:val="▪"/>
      <w:lvlJc w:val="left"/>
      <w:pPr>
        <w:ind w:left="2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29E31FA">
      <w:start w:val="1"/>
      <w:numFmt w:val="bullet"/>
      <w:lvlText w:val="•"/>
      <w:lvlJc w:val="left"/>
      <w:pPr>
        <w:ind w:left="28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12218A0">
      <w:start w:val="1"/>
      <w:numFmt w:val="bullet"/>
      <w:lvlText w:val="o"/>
      <w:lvlJc w:val="left"/>
      <w:pPr>
        <w:ind w:left="35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9D6CCE2">
      <w:start w:val="1"/>
      <w:numFmt w:val="bullet"/>
      <w:lvlText w:val="▪"/>
      <w:lvlJc w:val="left"/>
      <w:pPr>
        <w:ind w:left="43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8582E82">
      <w:start w:val="1"/>
      <w:numFmt w:val="bullet"/>
      <w:lvlText w:val="•"/>
      <w:lvlJc w:val="left"/>
      <w:pPr>
        <w:ind w:left="50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8801EBC">
      <w:start w:val="1"/>
      <w:numFmt w:val="bullet"/>
      <w:lvlText w:val="o"/>
      <w:lvlJc w:val="left"/>
      <w:pPr>
        <w:ind w:left="57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42DC0E">
      <w:start w:val="1"/>
      <w:numFmt w:val="bullet"/>
      <w:lvlText w:val="▪"/>
      <w:lvlJc w:val="left"/>
      <w:pPr>
        <w:ind w:left="64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8" w15:restartNumberingAfterBreak="0">
    <w:nsid w:val="5F1919B4"/>
    <w:multiLevelType w:val="hybridMultilevel"/>
    <w:tmpl w:val="9088562E"/>
    <w:lvl w:ilvl="0" w:tplc="78F82D1C">
      <w:start w:val="1"/>
      <w:numFmt w:val="bullet"/>
      <w:lvlText w:val="➢"/>
      <w:lvlJc w:val="left"/>
      <w:pPr>
        <w:ind w:left="71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5B893E6">
      <w:start w:val="1"/>
      <w:numFmt w:val="bullet"/>
      <w:lvlText w:val="o"/>
      <w:lvlJc w:val="left"/>
      <w:pPr>
        <w:ind w:left="155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2305016">
      <w:start w:val="1"/>
      <w:numFmt w:val="bullet"/>
      <w:lvlText w:val="▪"/>
      <w:lvlJc w:val="left"/>
      <w:pPr>
        <w:ind w:left="227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1ADAE6">
      <w:start w:val="1"/>
      <w:numFmt w:val="bullet"/>
      <w:lvlText w:val="•"/>
      <w:lvlJc w:val="left"/>
      <w:pPr>
        <w:ind w:left="299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CFEFC74">
      <w:start w:val="1"/>
      <w:numFmt w:val="bullet"/>
      <w:lvlText w:val="o"/>
      <w:lvlJc w:val="left"/>
      <w:pPr>
        <w:ind w:left="371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EBAED98">
      <w:start w:val="1"/>
      <w:numFmt w:val="bullet"/>
      <w:lvlText w:val="▪"/>
      <w:lvlJc w:val="left"/>
      <w:pPr>
        <w:ind w:left="443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B025066">
      <w:start w:val="1"/>
      <w:numFmt w:val="bullet"/>
      <w:lvlText w:val="•"/>
      <w:lvlJc w:val="left"/>
      <w:pPr>
        <w:ind w:left="515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5E2411E">
      <w:start w:val="1"/>
      <w:numFmt w:val="bullet"/>
      <w:lvlText w:val="o"/>
      <w:lvlJc w:val="left"/>
      <w:pPr>
        <w:ind w:left="587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2A8A69E">
      <w:start w:val="1"/>
      <w:numFmt w:val="bullet"/>
      <w:lvlText w:val="▪"/>
      <w:lvlJc w:val="left"/>
      <w:pPr>
        <w:ind w:left="659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9" w15:restartNumberingAfterBreak="0">
    <w:nsid w:val="5FF327F3"/>
    <w:multiLevelType w:val="hybridMultilevel"/>
    <w:tmpl w:val="8BE09002"/>
    <w:lvl w:ilvl="0" w:tplc="02FA8A58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EE48CF2">
      <w:start w:val="1"/>
      <w:numFmt w:val="bullet"/>
      <w:lvlText w:val="o"/>
      <w:lvlJc w:val="left"/>
      <w:pPr>
        <w:ind w:left="89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52C30E4">
      <w:start w:val="1"/>
      <w:numFmt w:val="bullet"/>
      <w:lvlRestart w:val="0"/>
      <w:lvlText w:val="•"/>
      <w:lvlJc w:val="left"/>
      <w:pPr>
        <w:ind w:left="141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DC6D56">
      <w:start w:val="1"/>
      <w:numFmt w:val="bullet"/>
      <w:lvlText w:val="•"/>
      <w:lvlJc w:val="left"/>
      <w:pPr>
        <w:ind w:left="21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0F62D92">
      <w:start w:val="1"/>
      <w:numFmt w:val="bullet"/>
      <w:lvlText w:val="o"/>
      <w:lvlJc w:val="left"/>
      <w:pPr>
        <w:ind w:left="28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188E50">
      <w:start w:val="1"/>
      <w:numFmt w:val="bullet"/>
      <w:lvlText w:val="▪"/>
      <w:lvlJc w:val="left"/>
      <w:pPr>
        <w:ind w:left="35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ED6009A">
      <w:start w:val="1"/>
      <w:numFmt w:val="bullet"/>
      <w:lvlText w:val="•"/>
      <w:lvlJc w:val="left"/>
      <w:pPr>
        <w:ind w:left="43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C5013D8">
      <w:start w:val="1"/>
      <w:numFmt w:val="bullet"/>
      <w:lvlText w:val="o"/>
      <w:lvlJc w:val="left"/>
      <w:pPr>
        <w:ind w:left="50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7582BD6">
      <w:start w:val="1"/>
      <w:numFmt w:val="bullet"/>
      <w:lvlText w:val="▪"/>
      <w:lvlJc w:val="left"/>
      <w:pPr>
        <w:ind w:left="57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0" w15:restartNumberingAfterBreak="0">
    <w:nsid w:val="61553BD7"/>
    <w:multiLevelType w:val="hybridMultilevel"/>
    <w:tmpl w:val="C526E388"/>
    <w:lvl w:ilvl="0" w:tplc="68F61A4C">
      <w:start w:val="1"/>
      <w:numFmt w:val="bullet"/>
      <w:lvlText w:val="➢"/>
      <w:lvlJc w:val="left"/>
      <w:pPr>
        <w:ind w:left="72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88E3FF6">
      <w:start w:val="1"/>
      <w:numFmt w:val="bullet"/>
      <w:lvlText w:val="o"/>
      <w:lvlJc w:val="left"/>
      <w:pPr>
        <w:ind w:left="11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402B5CC">
      <w:start w:val="1"/>
      <w:numFmt w:val="bullet"/>
      <w:lvlText w:val="▪"/>
      <w:lvlJc w:val="left"/>
      <w:pPr>
        <w:ind w:left="19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64AB7E2">
      <w:start w:val="1"/>
      <w:numFmt w:val="bullet"/>
      <w:lvlText w:val="•"/>
      <w:lvlJc w:val="left"/>
      <w:pPr>
        <w:ind w:left="26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684BFE8">
      <w:start w:val="1"/>
      <w:numFmt w:val="bullet"/>
      <w:lvlText w:val="o"/>
      <w:lvlJc w:val="left"/>
      <w:pPr>
        <w:ind w:left="33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4B08EC2">
      <w:start w:val="1"/>
      <w:numFmt w:val="bullet"/>
      <w:lvlText w:val="▪"/>
      <w:lvlJc w:val="left"/>
      <w:pPr>
        <w:ind w:left="40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686590C">
      <w:start w:val="1"/>
      <w:numFmt w:val="bullet"/>
      <w:lvlText w:val="•"/>
      <w:lvlJc w:val="left"/>
      <w:pPr>
        <w:ind w:left="4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25ADAB4">
      <w:start w:val="1"/>
      <w:numFmt w:val="bullet"/>
      <w:lvlText w:val="o"/>
      <w:lvlJc w:val="left"/>
      <w:pPr>
        <w:ind w:left="5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55E0EB2">
      <w:start w:val="1"/>
      <w:numFmt w:val="bullet"/>
      <w:lvlText w:val="▪"/>
      <w:lvlJc w:val="left"/>
      <w:pPr>
        <w:ind w:left="6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61C0467D"/>
    <w:multiLevelType w:val="hybridMultilevel"/>
    <w:tmpl w:val="B832DF48"/>
    <w:lvl w:ilvl="0" w:tplc="4634B662">
      <w:start w:val="1"/>
      <w:numFmt w:val="bullet"/>
      <w:lvlText w:val="•"/>
      <w:lvlJc w:val="left"/>
      <w:pPr>
        <w:ind w:left="1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3384122">
      <w:start w:val="1"/>
      <w:numFmt w:val="bullet"/>
      <w:lvlText w:val="o"/>
      <w:lvlJc w:val="left"/>
      <w:pPr>
        <w:ind w:left="17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0182656">
      <w:start w:val="1"/>
      <w:numFmt w:val="bullet"/>
      <w:lvlText w:val="▪"/>
      <w:lvlJc w:val="left"/>
      <w:pPr>
        <w:ind w:left="25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604C1B8">
      <w:start w:val="1"/>
      <w:numFmt w:val="bullet"/>
      <w:lvlText w:val="•"/>
      <w:lvlJc w:val="left"/>
      <w:pPr>
        <w:ind w:left="3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828CF0E">
      <w:start w:val="1"/>
      <w:numFmt w:val="bullet"/>
      <w:lvlText w:val="o"/>
      <w:lvlJc w:val="left"/>
      <w:pPr>
        <w:ind w:left="39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5AE802">
      <w:start w:val="1"/>
      <w:numFmt w:val="bullet"/>
      <w:lvlText w:val="▪"/>
      <w:lvlJc w:val="left"/>
      <w:pPr>
        <w:ind w:left="46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8D87100">
      <w:start w:val="1"/>
      <w:numFmt w:val="bullet"/>
      <w:lvlText w:val="•"/>
      <w:lvlJc w:val="left"/>
      <w:pPr>
        <w:ind w:left="5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99A0D12">
      <w:start w:val="1"/>
      <w:numFmt w:val="bullet"/>
      <w:lvlText w:val="o"/>
      <w:lvlJc w:val="left"/>
      <w:pPr>
        <w:ind w:left="61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01896B6">
      <w:start w:val="1"/>
      <w:numFmt w:val="bullet"/>
      <w:lvlText w:val="▪"/>
      <w:lvlJc w:val="left"/>
      <w:pPr>
        <w:ind w:left="68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2" w15:restartNumberingAfterBreak="0">
    <w:nsid w:val="63A87944"/>
    <w:multiLevelType w:val="hybridMultilevel"/>
    <w:tmpl w:val="F3C469A2"/>
    <w:lvl w:ilvl="0" w:tplc="E54671F2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6065E38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2A08D58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B6C6D8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BE6CF24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778AE9E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5ECC9C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59CB06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05E580A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3" w15:restartNumberingAfterBreak="0">
    <w:nsid w:val="68E01F26"/>
    <w:multiLevelType w:val="hybridMultilevel"/>
    <w:tmpl w:val="37645CF2"/>
    <w:lvl w:ilvl="0" w:tplc="06C89FAA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14141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EE6A10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14141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2C8B64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14141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652BF5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14141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96041E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14141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D20E65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14141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2ECE55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14141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75059D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14141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226EE8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141414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4" w15:restartNumberingAfterBreak="0">
    <w:nsid w:val="6A866EA8"/>
    <w:multiLevelType w:val="hybridMultilevel"/>
    <w:tmpl w:val="F6FE2118"/>
    <w:lvl w:ilvl="0" w:tplc="156666A2">
      <w:start w:val="1"/>
      <w:numFmt w:val="decimal"/>
      <w:lvlText w:val="%1)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C6E0C4A">
      <w:start w:val="1"/>
      <w:numFmt w:val="lowerLetter"/>
      <w:lvlText w:val="%2"/>
      <w:lvlJc w:val="left"/>
      <w:pPr>
        <w:ind w:left="1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A8E2822">
      <w:start w:val="1"/>
      <w:numFmt w:val="lowerRoman"/>
      <w:lvlText w:val="%3"/>
      <w:lvlJc w:val="left"/>
      <w:pPr>
        <w:ind w:left="2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6CC9F1E">
      <w:start w:val="1"/>
      <w:numFmt w:val="decimal"/>
      <w:lvlText w:val="%4"/>
      <w:lvlJc w:val="left"/>
      <w:pPr>
        <w:ind w:left="2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CF853C2">
      <w:start w:val="1"/>
      <w:numFmt w:val="lowerLetter"/>
      <w:lvlText w:val="%5"/>
      <w:lvlJc w:val="left"/>
      <w:pPr>
        <w:ind w:left="36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35A5854">
      <w:start w:val="1"/>
      <w:numFmt w:val="lowerRoman"/>
      <w:lvlText w:val="%6"/>
      <w:lvlJc w:val="left"/>
      <w:pPr>
        <w:ind w:left="43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ABA5238">
      <w:start w:val="1"/>
      <w:numFmt w:val="decimal"/>
      <w:lvlText w:val="%7"/>
      <w:lvlJc w:val="left"/>
      <w:pPr>
        <w:ind w:left="51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8B03B56">
      <w:start w:val="1"/>
      <w:numFmt w:val="lowerLetter"/>
      <w:lvlText w:val="%8"/>
      <w:lvlJc w:val="left"/>
      <w:pPr>
        <w:ind w:left="58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28C7D32">
      <w:start w:val="1"/>
      <w:numFmt w:val="lowerRoman"/>
      <w:lvlText w:val="%9"/>
      <w:lvlJc w:val="left"/>
      <w:pPr>
        <w:ind w:left="65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5" w15:restartNumberingAfterBreak="0">
    <w:nsid w:val="6B881D3D"/>
    <w:multiLevelType w:val="hybridMultilevel"/>
    <w:tmpl w:val="C636C34A"/>
    <w:lvl w:ilvl="0" w:tplc="773E153E">
      <w:start w:val="1"/>
      <w:numFmt w:val="bullet"/>
      <w:lvlText w:val="-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17205A6">
      <w:start w:val="1"/>
      <w:numFmt w:val="bullet"/>
      <w:lvlText w:val="o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C1E44D0">
      <w:start w:val="1"/>
      <w:numFmt w:val="bullet"/>
      <w:lvlText w:val="▪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532656A">
      <w:start w:val="1"/>
      <w:numFmt w:val="bullet"/>
      <w:lvlText w:val="•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F3A3044">
      <w:start w:val="1"/>
      <w:numFmt w:val="bullet"/>
      <w:lvlText w:val="o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D262DA2">
      <w:start w:val="1"/>
      <w:numFmt w:val="bullet"/>
      <w:lvlText w:val="▪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696AA08">
      <w:start w:val="1"/>
      <w:numFmt w:val="bullet"/>
      <w:lvlText w:val="•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BB42DEE">
      <w:start w:val="1"/>
      <w:numFmt w:val="bullet"/>
      <w:lvlText w:val="o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7D430D6">
      <w:start w:val="1"/>
      <w:numFmt w:val="bullet"/>
      <w:lvlText w:val="▪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6" w15:restartNumberingAfterBreak="0">
    <w:nsid w:val="6B9C1667"/>
    <w:multiLevelType w:val="hybridMultilevel"/>
    <w:tmpl w:val="2506AC56"/>
    <w:lvl w:ilvl="0" w:tplc="D8DE5D30">
      <w:start w:val="1"/>
      <w:numFmt w:val="bullet"/>
      <w:lvlText w:val="-"/>
      <w:lvlJc w:val="left"/>
      <w:pPr>
        <w:ind w:left="18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58AFBAC">
      <w:start w:val="1"/>
      <w:numFmt w:val="bullet"/>
      <w:lvlText w:val="o"/>
      <w:lvlJc w:val="left"/>
      <w:pPr>
        <w:ind w:left="26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448405C">
      <w:start w:val="1"/>
      <w:numFmt w:val="bullet"/>
      <w:lvlText w:val="▪"/>
      <w:lvlJc w:val="left"/>
      <w:pPr>
        <w:ind w:left="33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03A23C0">
      <w:start w:val="1"/>
      <w:numFmt w:val="bullet"/>
      <w:lvlText w:val="•"/>
      <w:lvlJc w:val="left"/>
      <w:pPr>
        <w:ind w:left="40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0AE1E26">
      <w:start w:val="1"/>
      <w:numFmt w:val="bullet"/>
      <w:lvlText w:val="o"/>
      <w:lvlJc w:val="left"/>
      <w:pPr>
        <w:ind w:left="47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E4A7002">
      <w:start w:val="1"/>
      <w:numFmt w:val="bullet"/>
      <w:lvlText w:val="▪"/>
      <w:lvlJc w:val="left"/>
      <w:pPr>
        <w:ind w:left="55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DB4F300">
      <w:start w:val="1"/>
      <w:numFmt w:val="bullet"/>
      <w:lvlText w:val="•"/>
      <w:lvlJc w:val="left"/>
      <w:pPr>
        <w:ind w:left="6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E0A877C">
      <w:start w:val="1"/>
      <w:numFmt w:val="bullet"/>
      <w:lvlText w:val="o"/>
      <w:lvlJc w:val="left"/>
      <w:pPr>
        <w:ind w:left="6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A8E7DA0">
      <w:start w:val="1"/>
      <w:numFmt w:val="bullet"/>
      <w:lvlText w:val="▪"/>
      <w:lvlJc w:val="left"/>
      <w:pPr>
        <w:ind w:left="7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7" w15:restartNumberingAfterBreak="0">
    <w:nsid w:val="6F431C69"/>
    <w:multiLevelType w:val="hybridMultilevel"/>
    <w:tmpl w:val="3EEE91CE"/>
    <w:lvl w:ilvl="0" w:tplc="173EFCF8">
      <w:start w:val="1"/>
      <w:numFmt w:val="bullet"/>
      <w:lvlText w:val="✓"/>
      <w:lvlJc w:val="left"/>
      <w:pPr>
        <w:ind w:left="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50F39C">
      <w:start w:val="1"/>
      <w:numFmt w:val="bullet"/>
      <w:lvlText w:val="o"/>
      <w:lvlJc w:val="left"/>
      <w:pPr>
        <w:ind w:left="11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4488890">
      <w:start w:val="1"/>
      <w:numFmt w:val="bullet"/>
      <w:lvlText w:val="▪"/>
      <w:lvlJc w:val="left"/>
      <w:pPr>
        <w:ind w:left="19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6D40346">
      <w:start w:val="1"/>
      <w:numFmt w:val="bullet"/>
      <w:lvlText w:val="•"/>
      <w:lvlJc w:val="left"/>
      <w:pPr>
        <w:ind w:left="26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A3AD196">
      <w:start w:val="1"/>
      <w:numFmt w:val="bullet"/>
      <w:lvlText w:val="o"/>
      <w:lvlJc w:val="left"/>
      <w:pPr>
        <w:ind w:left="33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2C81928">
      <w:start w:val="1"/>
      <w:numFmt w:val="bullet"/>
      <w:lvlText w:val="▪"/>
      <w:lvlJc w:val="left"/>
      <w:pPr>
        <w:ind w:left="40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E9CC6A4">
      <w:start w:val="1"/>
      <w:numFmt w:val="bullet"/>
      <w:lvlText w:val="•"/>
      <w:lvlJc w:val="left"/>
      <w:pPr>
        <w:ind w:left="4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5269278">
      <w:start w:val="1"/>
      <w:numFmt w:val="bullet"/>
      <w:lvlText w:val="o"/>
      <w:lvlJc w:val="left"/>
      <w:pPr>
        <w:ind w:left="5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BFA85EE">
      <w:start w:val="1"/>
      <w:numFmt w:val="bullet"/>
      <w:lvlText w:val="▪"/>
      <w:lvlJc w:val="left"/>
      <w:pPr>
        <w:ind w:left="6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8" w15:restartNumberingAfterBreak="0">
    <w:nsid w:val="7363757D"/>
    <w:multiLevelType w:val="hybridMultilevel"/>
    <w:tmpl w:val="117627AA"/>
    <w:lvl w:ilvl="0" w:tplc="32C8A8FE">
      <w:start w:val="1"/>
      <w:numFmt w:val="decimal"/>
      <w:lvlText w:val="%1."/>
      <w:lvlJc w:val="left"/>
      <w:pPr>
        <w:ind w:left="8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7B4D398">
      <w:start w:val="10"/>
      <w:numFmt w:val="upperLetter"/>
      <w:lvlText w:val="%2."/>
      <w:lvlJc w:val="left"/>
      <w:pPr>
        <w:ind w:left="6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C948BAC">
      <w:start w:val="1"/>
      <w:numFmt w:val="lowerRoman"/>
      <w:lvlText w:val="%3"/>
      <w:lvlJc w:val="left"/>
      <w:pPr>
        <w:ind w:left="15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5304A4C">
      <w:start w:val="1"/>
      <w:numFmt w:val="decimal"/>
      <w:lvlText w:val="%4"/>
      <w:lvlJc w:val="left"/>
      <w:pPr>
        <w:ind w:left="22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EE4A1E">
      <w:start w:val="1"/>
      <w:numFmt w:val="lowerLetter"/>
      <w:lvlText w:val="%5"/>
      <w:lvlJc w:val="left"/>
      <w:pPr>
        <w:ind w:left="30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4669D02">
      <w:start w:val="1"/>
      <w:numFmt w:val="lowerRoman"/>
      <w:lvlText w:val="%6"/>
      <w:lvlJc w:val="left"/>
      <w:pPr>
        <w:ind w:left="3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CCCD860">
      <w:start w:val="1"/>
      <w:numFmt w:val="decimal"/>
      <w:lvlText w:val="%7"/>
      <w:lvlJc w:val="left"/>
      <w:pPr>
        <w:ind w:left="4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0ACF362">
      <w:start w:val="1"/>
      <w:numFmt w:val="lowerLetter"/>
      <w:lvlText w:val="%8"/>
      <w:lvlJc w:val="left"/>
      <w:pPr>
        <w:ind w:left="5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0BAAA30">
      <w:start w:val="1"/>
      <w:numFmt w:val="lowerRoman"/>
      <w:lvlText w:val="%9"/>
      <w:lvlJc w:val="left"/>
      <w:pPr>
        <w:ind w:left="5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9" w15:restartNumberingAfterBreak="0">
    <w:nsid w:val="7400746F"/>
    <w:multiLevelType w:val="hybridMultilevel"/>
    <w:tmpl w:val="169CA9D8"/>
    <w:lvl w:ilvl="0" w:tplc="375A0AE6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A4258AC">
      <w:start w:val="1"/>
      <w:numFmt w:val="bullet"/>
      <w:lvlText w:val="o"/>
      <w:lvlJc w:val="left"/>
      <w:pPr>
        <w:ind w:left="18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D0436C6">
      <w:start w:val="1"/>
      <w:numFmt w:val="bullet"/>
      <w:lvlText w:val="▪"/>
      <w:lvlJc w:val="left"/>
      <w:pPr>
        <w:ind w:left="26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A82EDBE">
      <w:start w:val="1"/>
      <w:numFmt w:val="bullet"/>
      <w:lvlText w:val="•"/>
      <w:lvlJc w:val="left"/>
      <w:pPr>
        <w:ind w:left="33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B02111E">
      <w:start w:val="1"/>
      <w:numFmt w:val="bullet"/>
      <w:lvlText w:val="o"/>
      <w:lvlJc w:val="left"/>
      <w:pPr>
        <w:ind w:left="40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D56AF22">
      <w:start w:val="1"/>
      <w:numFmt w:val="bullet"/>
      <w:lvlText w:val="▪"/>
      <w:lvlJc w:val="left"/>
      <w:pPr>
        <w:ind w:left="47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5BA337E">
      <w:start w:val="1"/>
      <w:numFmt w:val="bullet"/>
      <w:lvlText w:val="•"/>
      <w:lvlJc w:val="left"/>
      <w:pPr>
        <w:ind w:left="5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5A8ED38">
      <w:start w:val="1"/>
      <w:numFmt w:val="bullet"/>
      <w:lvlText w:val="o"/>
      <w:lvlJc w:val="left"/>
      <w:pPr>
        <w:ind w:left="62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D601F9C">
      <w:start w:val="1"/>
      <w:numFmt w:val="bullet"/>
      <w:lvlText w:val="▪"/>
      <w:lvlJc w:val="left"/>
      <w:pPr>
        <w:ind w:left="69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0" w15:restartNumberingAfterBreak="0">
    <w:nsid w:val="745A5FE3"/>
    <w:multiLevelType w:val="hybridMultilevel"/>
    <w:tmpl w:val="C576BE20"/>
    <w:lvl w:ilvl="0" w:tplc="6F7E99BC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86ABCA0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60A8CD0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A9A83DC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6082886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F8A44F8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D9E3FB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A769336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7787728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1" w15:restartNumberingAfterBreak="0">
    <w:nsid w:val="745C335A"/>
    <w:multiLevelType w:val="hybridMultilevel"/>
    <w:tmpl w:val="96B2C8C6"/>
    <w:lvl w:ilvl="0" w:tplc="F24014C4">
      <w:start w:val="1"/>
      <w:numFmt w:val="bullet"/>
      <w:lvlText w:val="▪"/>
      <w:lvlJc w:val="left"/>
      <w:pPr>
        <w:ind w:left="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4C89460">
      <w:start w:val="1"/>
      <w:numFmt w:val="bullet"/>
      <w:lvlText w:val="o"/>
      <w:lvlJc w:val="left"/>
      <w:pPr>
        <w:ind w:left="11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4C81AF0">
      <w:start w:val="1"/>
      <w:numFmt w:val="bullet"/>
      <w:lvlText w:val="▪"/>
      <w:lvlJc w:val="left"/>
      <w:pPr>
        <w:ind w:left="19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94CD818">
      <w:start w:val="1"/>
      <w:numFmt w:val="bullet"/>
      <w:lvlText w:val="•"/>
      <w:lvlJc w:val="left"/>
      <w:pPr>
        <w:ind w:left="26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4F2416E">
      <w:start w:val="1"/>
      <w:numFmt w:val="bullet"/>
      <w:lvlText w:val="o"/>
      <w:lvlJc w:val="left"/>
      <w:pPr>
        <w:ind w:left="334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127DF2">
      <w:start w:val="1"/>
      <w:numFmt w:val="bullet"/>
      <w:lvlText w:val="▪"/>
      <w:lvlJc w:val="left"/>
      <w:pPr>
        <w:ind w:left="406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5AE383E">
      <w:start w:val="1"/>
      <w:numFmt w:val="bullet"/>
      <w:lvlText w:val="•"/>
      <w:lvlJc w:val="left"/>
      <w:pPr>
        <w:ind w:left="478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AE2EA48">
      <w:start w:val="1"/>
      <w:numFmt w:val="bullet"/>
      <w:lvlText w:val="o"/>
      <w:lvlJc w:val="left"/>
      <w:pPr>
        <w:ind w:left="550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79E31DC">
      <w:start w:val="1"/>
      <w:numFmt w:val="bullet"/>
      <w:lvlText w:val="▪"/>
      <w:lvlJc w:val="left"/>
      <w:pPr>
        <w:ind w:left="622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2" w15:restartNumberingAfterBreak="0">
    <w:nsid w:val="762C4FB9"/>
    <w:multiLevelType w:val="hybridMultilevel"/>
    <w:tmpl w:val="6658C000"/>
    <w:lvl w:ilvl="0" w:tplc="572CBDE8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D404206">
      <w:start w:val="1"/>
      <w:numFmt w:val="upperRoman"/>
      <w:lvlText w:val="%2)"/>
      <w:lvlJc w:val="left"/>
      <w:pPr>
        <w:ind w:left="12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0F650AE">
      <w:start w:val="1"/>
      <w:numFmt w:val="lowerRoman"/>
      <w:lvlText w:val="%3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ACADA14">
      <w:start w:val="1"/>
      <w:numFmt w:val="decimal"/>
      <w:lvlText w:val="%4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8E6A062">
      <w:start w:val="1"/>
      <w:numFmt w:val="lowerLetter"/>
      <w:lvlText w:val="%5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A98DA1E">
      <w:start w:val="1"/>
      <w:numFmt w:val="lowerRoman"/>
      <w:lvlText w:val="%6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28277FC">
      <w:start w:val="1"/>
      <w:numFmt w:val="decimal"/>
      <w:lvlText w:val="%7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C22DCF4">
      <w:start w:val="1"/>
      <w:numFmt w:val="lowerLetter"/>
      <w:lvlText w:val="%8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4F4F9A4">
      <w:start w:val="1"/>
      <w:numFmt w:val="lowerRoman"/>
      <w:lvlText w:val="%9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3" w15:restartNumberingAfterBreak="0">
    <w:nsid w:val="768B0DA4"/>
    <w:multiLevelType w:val="hybridMultilevel"/>
    <w:tmpl w:val="1A4ACBEE"/>
    <w:lvl w:ilvl="0" w:tplc="0818D66E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66CAE0A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EFA2EF8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3C0C798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1E2DA6E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952C900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1402752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5222226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AEE942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4" w15:restartNumberingAfterBreak="0">
    <w:nsid w:val="772773A3"/>
    <w:multiLevelType w:val="hybridMultilevel"/>
    <w:tmpl w:val="1D28088C"/>
    <w:lvl w:ilvl="0" w:tplc="655AA31A">
      <w:start w:val="1"/>
      <w:numFmt w:val="bullet"/>
      <w:lvlText w:val="•"/>
      <w:lvlJc w:val="left"/>
      <w:pPr>
        <w:ind w:left="1121"/>
      </w:pPr>
      <w:rPr>
        <w:rFonts w:ascii="Arial" w:eastAsia="Arial" w:hAnsi="Arial" w:cs="Arial"/>
        <w:b w:val="0"/>
        <w:i w:val="0"/>
        <w:strike w:val="0"/>
        <w:dstrike w:val="0"/>
        <w:color w:val="231F2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8088288">
      <w:start w:val="1"/>
      <w:numFmt w:val="bullet"/>
      <w:lvlText w:val="o"/>
      <w:lvlJc w:val="left"/>
      <w:pPr>
        <w:ind w:left="113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31F2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E2C8C1E">
      <w:start w:val="1"/>
      <w:numFmt w:val="bullet"/>
      <w:lvlText w:val="▪"/>
      <w:lvlJc w:val="left"/>
      <w:pPr>
        <w:ind w:left="185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31F2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60872A4">
      <w:start w:val="1"/>
      <w:numFmt w:val="bullet"/>
      <w:lvlText w:val="•"/>
      <w:lvlJc w:val="left"/>
      <w:pPr>
        <w:ind w:left="2573"/>
      </w:pPr>
      <w:rPr>
        <w:rFonts w:ascii="Arial" w:eastAsia="Arial" w:hAnsi="Arial" w:cs="Arial"/>
        <w:b w:val="0"/>
        <w:i w:val="0"/>
        <w:strike w:val="0"/>
        <w:dstrike w:val="0"/>
        <w:color w:val="231F2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804E7C2">
      <w:start w:val="1"/>
      <w:numFmt w:val="bullet"/>
      <w:lvlText w:val="o"/>
      <w:lvlJc w:val="left"/>
      <w:pPr>
        <w:ind w:left="329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31F2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61670CC">
      <w:start w:val="1"/>
      <w:numFmt w:val="bullet"/>
      <w:lvlText w:val="▪"/>
      <w:lvlJc w:val="left"/>
      <w:pPr>
        <w:ind w:left="401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31F2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1F6C86E">
      <w:start w:val="1"/>
      <w:numFmt w:val="bullet"/>
      <w:lvlText w:val="•"/>
      <w:lvlJc w:val="left"/>
      <w:pPr>
        <w:ind w:left="4733"/>
      </w:pPr>
      <w:rPr>
        <w:rFonts w:ascii="Arial" w:eastAsia="Arial" w:hAnsi="Arial" w:cs="Arial"/>
        <w:b w:val="0"/>
        <w:i w:val="0"/>
        <w:strike w:val="0"/>
        <w:dstrike w:val="0"/>
        <w:color w:val="231F2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42C2258">
      <w:start w:val="1"/>
      <w:numFmt w:val="bullet"/>
      <w:lvlText w:val="o"/>
      <w:lvlJc w:val="left"/>
      <w:pPr>
        <w:ind w:left="545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31F2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66C7814">
      <w:start w:val="1"/>
      <w:numFmt w:val="bullet"/>
      <w:lvlText w:val="▪"/>
      <w:lvlJc w:val="left"/>
      <w:pPr>
        <w:ind w:left="617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231F2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5" w15:restartNumberingAfterBreak="0">
    <w:nsid w:val="77467D03"/>
    <w:multiLevelType w:val="hybridMultilevel"/>
    <w:tmpl w:val="671065FA"/>
    <w:lvl w:ilvl="0" w:tplc="8AF443F0">
      <w:start w:val="1"/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4C8A680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BD0F7DC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4DCC776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6D24C64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E18A2A0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A26C338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AE4E39A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D68321A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6" w15:restartNumberingAfterBreak="0">
    <w:nsid w:val="785D55A1"/>
    <w:multiLevelType w:val="hybridMultilevel"/>
    <w:tmpl w:val="B4F83DB0"/>
    <w:lvl w:ilvl="0" w:tplc="0F4AE4C2">
      <w:start w:val="1"/>
      <w:numFmt w:val="decimal"/>
      <w:lvlText w:val="%1."/>
      <w:lvlJc w:val="left"/>
      <w:pPr>
        <w:ind w:left="17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1DC791E">
      <w:start w:val="1"/>
      <w:numFmt w:val="lowerLetter"/>
      <w:lvlText w:val="%2"/>
      <w:lvlJc w:val="left"/>
      <w:pPr>
        <w:ind w:left="19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3A4957A">
      <w:start w:val="1"/>
      <w:numFmt w:val="lowerRoman"/>
      <w:lvlText w:val="%3"/>
      <w:lvlJc w:val="left"/>
      <w:pPr>
        <w:ind w:left="26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74874D6">
      <w:start w:val="1"/>
      <w:numFmt w:val="decimal"/>
      <w:lvlText w:val="%4"/>
      <w:lvlJc w:val="left"/>
      <w:pPr>
        <w:ind w:left="33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D641EA0">
      <w:start w:val="1"/>
      <w:numFmt w:val="lowerLetter"/>
      <w:lvlText w:val="%5"/>
      <w:lvlJc w:val="left"/>
      <w:pPr>
        <w:ind w:left="4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2AA3D70">
      <w:start w:val="1"/>
      <w:numFmt w:val="lowerRoman"/>
      <w:lvlText w:val="%6"/>
      <w:lvlJc w:val="left"/>
      <w:pPr>
        <w:ind w:left="4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7DA0BD8">
      <w:start w:val="1"/>
      <w:numFmt w:val="decimal"/>
      <w:lvlText w:val="%7"/>
      <w:lvlJc w:val="left"/>
      <w:pPr>
        <w:ind w:left="5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84A70DC">
      <w:start w:val="1"/>
      <w:numFmt w:val="lowerLetter"/>
      <w:lvlText w:val="%8"/>
      <w:lvlJc w:val="left"/>
      <w:pPr>
        <w:ind w:left="6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90C2F16">
      <w:start w:val="1"/>
      <w:numFmt w:val="lowerRoman"/>
      <w:lvlText w:val="%9"/>
      <w:lvlJc w:val="left"/>
      <w:pPr>
        <w:ind w:left="69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7" w15:restartNumberingAfterBreak="0">
    <w:nsid w:val="78C1633F"/>
    <w:multiLevelType w:val="hybridMultilevel"/>
    <w:tmpl w:val="6D82B674"/>
    <w:lvl w:ilvl="0" w:tplc="F7A61D74">
      <w:start w:val="1"/>
      <w:numFmt w:val="bullet"/>
      <w:lvlText w:val="-"/>
      <w:lvlJc w:val="left"/>
      <w:pPr>
        <w:ind w:left="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0C05EC2">
      <w:start w:val="1"/>
      <w:numFmt w:val="bullet"/>
      <w:lvlText w:val="o"/>
      <w:lvlJc w:val="left"/>
      <w:pPr>
        <w:ind w:left="11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2A8A010">
      <w:start w:val="1"/>
      <w:numFmt w:val="bullet"/>
      <w:lvlText w:val="▪"/>
      <w:lvlJc w:val="left"/>
      <w:pPr>
        <w:ind w:left="19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0EA86E">
      <w:start w:val="1"/>
      <w:numFmt w:val="bullet"/>
      <w:lvlText w:val="•"/>
      <w:lvlJc w:val="left"/>
      <w:pPr>
        <w:ind w:left="26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5A878D6">
      <w:start w:val="1"/>
      <w:numFmt w:val="bullet"/>
      <w:lvlText w:val="o"/>
      <w:lvlJc w:val="left"/>
      <w:pPr>
        <w:ind w:left="33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334BE70">
      <w:start w:val="1"/>
      <w:numFmt w:val="bullet"/>
      <w:lvlText w:val="▪"/>
      <w:lvlJc w:val="left"/>
      <w:pPr>
        <w:ind w:left="40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02224E4">
      <w:start w:val="1"/>
      <w:numFmt w:val="bullet"/>
      <w:lvlText w:val="•"/>
      <w:lvlJc w:val="left"/>
      <w:pPr>
        <w:ind w:left="4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3E47ED8">
      <w:start w:val="1"/>
      <w:numFmt w:val="bullet"/>
      <w:lvlText w:val="o"/>
      <w:lvlJc w:val="left"/>
      <w:pPr>
        <w:ind w:left="5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188CAF4">
      <w:start w:val="1"/>
      <w:numFmt w:val="bullet"/>
      <w:lvlText w:val="▪"/>
      <w:lvlJc w:val="left"/>
      <w:pPr>
        <w:ind w:left="6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8" w15:restartNumberingAfterBreak="0">
    <w:nsid w:val="7ACC3F4D"/>
    <w:multiLevelType w:val="hybridMultilevel"/>
    <w:tmpl w:val="66402E44"/>
    <w:lvl w:ilvl="0" w:tplc="5F301160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9085CC2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ECA94F8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45E60F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FE8EC98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CCE203C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8AE773A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906109E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8C8F228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9" w15:restartNumberingAfterBreak="0">
    <w:nsid w:val="7D586562"/>
    <w:multiLevelType w:val="hybridMultilevel"/>
    <w:tmpl w:val="5A168982"/>
    <w:lvl w:ilvl="0" w:tplc="D2E4EC0A">
      <w:start w:val="1"/>
      <w:numFmt w:val="bullet"/>
      <w:lvlText w:val="-"/>
      <w:lvlJc w:val="left"/>
      <w:pPr>
        <w:ind w:left="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5E424E0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B9A8668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8040FC6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2BCF840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66CFCE2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E54C8A2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98C2722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6B45154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3"/>
  </w:num>
  <w:num w:numId="2">
    <w:abstractNumId w:val="24"/>
  </w:num>
  <w:num w:numId="3">
    <w:abstractNumId w:val="17"/>
  </w:num>
  <w:num w:numId="4">
    <w:abstractNumId w:val="7"/>
  </w:num>
  <w:num w:numId="5">
    <w:abstractNumId w:val="28"/>
  </w:num>
  <w:num w:numId="6">
    <w:abstractNumId w:val="2"/>
  </w:num>
  <w:num w:numId="7">
    <w:abstractNumId w:val="73"/>
  </w:num>
  <w:num w:numId="8">
    <w:abstractNumId w:val="8"/>
  </w:num>
  <w:num w:numId="9">
    <w:abstractNumId w:val="41"/>
  </w:num>
  <w:num w:numId="10">
    <w:abstractNumId w:val="78"/>
  </w:num>
  <w:num w:numId="11">
    <w:abstractNumId w:val="26"/>
  </w:num>
  <w:num w:numId="12">
    <w:abstractNumId w:val="75"/>
  </w:num>
  <w:num w:numId="13">
    <w:abstractNumId w:val="32"/>
  </w:num>
  <w:num w:numId="14">
    <w:abstractNumId w:val="72"/>
  </w:num>
  <w:num w:numId="15">
    <w:abstractNumId w:val="49"/>
  </w:num>
  <w:num w:numId="16">
    <w:abstractNumId w:val="39"/>
  </w:num>
  <w:num w:numId="17">
    <w:abstractNumId w:val="56"/>
  </w:num>
  <w:num w:numId="18">
    <w:abstractNumId w:val="55"/>
  </w:num>
  <w:num w:numId="19">
    <w:abstractNumId w:val="30"/>
  </w:num>
  <w:num w:numId="20">
    <w:abstractNumId w:val="48"/>
  </w:num>
  <w:num w:numId="21">
    <w:abstractNumId w:val="44"/>
  </w:num>
  <w:num w:numId="22">
    <w:abstractNumId w:val="37"/>
  </w:num>
  <w:num w:numId="23">
    <w:abstractNumId w:val="62"/>
  </w:num>
  <w:num w:numId="24">
    <w:abstractNumId w:val="70"/>
  </w:num>
  <w:num w:numId="25">
    <w:abstractNumId w:val="65"/>
  </w:num>
  <w:num w:numId="26">
    <w:abstractNumId w:val="64"/>
  </w:num>
  <w:num w:numId="27">
    <w:abstractNumId w:val="20"/>
  </w:num>
  <w:num w:numId="28">
    <w:abstractNumId w:val="21"/>
  </w:num>
  <w:num w:numId="29">
    <w:abstractNumId w:val="1"/>
  </w:num>
  <w:num w:numId="30">
    <w:abstractNumId w:val="16"/>
  </w:num>
  <w:num w:numId="31">
    <w:abstractNumId w:val="68"/>
  </w:num>
  <w:num w:numId="32">
    <w:abstractNumId w:val="34"/>
  </w:num>
  <w:num w:numId="33">
    <w:abstractNumId w:val="57"/>
  </w:num>
  <w:num w:numId="34">
    <w:abstractNumId w:val="61"/>
  </w:num>
  <w:num w:numId="35">
    <w:abstractNumId w:val="15"/>
  </w:num>
  <w:num w:numId="36">
    <w:abstractNumId w:val="46"/>
  </w:num>
  <w:num w:numId="37">
    <w:abstractNumId w:val="45"/>
  </w:num>
  <w:num w:numId="38">
    <w:abstractNumId w:val="76"/>
  </w:num>
  <w:num w:numId="39">
    <w:abstractNumId w:val="47"/>
  </w:num>
  <w:num w:numId="40">
    <w:abstractNumId w:val="38"/>
  </w:num>
  <w:num w:numId="41">
    <w:abstractNumId w:val="63"/>
  </w:num>
  <w:num w:numId="42">
    <w:abstractNumId w:val="59"/>
  </w:num>
  <w:num w:numId="43">
    <w:abstractNumId w:val="0"/>
  </w:num>
  <w:num w:numId="44">
    <w:abstractNumId w:val="53"/>
  </w:num>
  <w:num w:numId="45">
    <w:abstractNumId w:val="27"/>
  </w:num>
  <w:num w:numId="46">
    <w:abstractNumId w:val="66"/>
  </w:num>
  <w:num w:numId="47">
    <w:abstractNumId w:val="74"/>
  </w:num>
  <w:num w:numId="48">
    <w:abstractNumId w:val="9"/>
  </w:num>
  <w:num w:numId="49">
    <w:abstractNumId w:val="58"/>
  </w:num>
  <w:num w:numId="50">
    <w:abstractNumId w:val="42"/>
  </w:num>
  <w:num w:numId="51">
    <w:abstractNumId w:val="60"/>
  </w:num>
  <w:num w:numId="52">
    <w:abstractNumId w:val="10"/>
  </w:num>
  <w:num w:numId="53">
    <w:abstractNumId w:val="36"/>
  </w:num>
  <w:num w:numId="54">
    <w:abstractNumId w:val="29"/>
  </w:num>
  <w:num w:numId="55">
    <w:abstractNumId w:val="18"/>
  </w:num>
  <w:num w:numId="56">
    <w:abstractNumId w:val="12"/>
  </w:num>
  <w:num w:numId="57">
    <w:abstractNumId w:val="50"/>
  </w:num>
  <w:num w:numId="58">
    <w:abstractNumId w:val="33"/>
  </w:num>
  <w:num w:numId="59">
    <w:abstractNumId w:val="6"/>
  </w:num>
  <w:num w:numId="60">
    <w:abstractNumId w:val="69"/>
  </w:num>
  <w:num w:numId="61">
    <w:abstractNumId w:val="77"/>
  </w:num>
  <w:num w:numId="62">
    <w:abstractNumId w:val="25"/>
  </w:num>
  <w:num w:numId="63">
    <w:abstractNumId w:val="22"/>
  </w:num>
  <w:num w:numId="64">
    <w:abstractNumId w:val="79"/>
  </w:num>
  <w:num w:numId="65">
    <w:abstractNumId w:val="31"/>
  </w:num>
  <w:num w:numId="66">
    <w:abstractNumId w:val="54"/>
  </w:num>
  <w:num w:numId="67">
    <w:abstractNumId w:val="19"/>
  </w:num>
  <w:num w:numId="68">
    <w:abstractNumId w:val="51"/>
  </w:num>
  <w:num w:numId="69">
    <w:abstractNumId w:val="5"/>
  </w:num>
  <w:num w:numId="70">
    <w:abstractNumId w:val="4"/>
  </w:num>
  <w:num w:numId="71">
    <w:abstractNumId w:val="71"/>
  </w:num>
  <w:num w:numId="72">
    <w:abstractNumId w:val="13"/>
  </w:num>
  <w:num w:numId="73">
    <w:abstractNumId w:val="14"/>
  </w:num>
  <w:num w:numId="74">
    <w:abstractNumId w:val="35"/>
  </w:num>
  <w:num w:numId="75">
    <w:abstractNumId w:val="43"/>
  </w:num>
  <w:num w:numId="76">
    <w:abstractNumId w:val="11"/>
  </w:num>
  <w:num w:numId="77">
    <w:abstractNumId w:val="23"/>
  </w:num>
  <w:num w:numId="78">
    <w:abstractNumId w:val="67"/>
  </w:num>
  <w:num w:numId="79">
    <w:abstractNumId w:val="40"/>
  </w:num>
  <w:num w:numId="80">
    <w:abstractNumId w:val="52"/>
  </w:num>
  <w:numIdMacAtCleanup w:val="8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numRestart w:val="eachPage"/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5F71"/>
    <w:rsid w:val="00F15F71"/>
    <w:rsid w:val="00F974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B6402089-A4CA-4F47-8137-82CF5409A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5" w:line="368" w:lineRule="auto"/>
      <w:ind w:left="2115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138"/>
      <w:ind w:left="10" w:right="8" w:hanging="10"/>
      <w:jc w:val="center"/>
      <w:outlineLvl w:val="0"/>
    </w:pPr>
    <w:rPr>
      <w:rFonts w:ascii="Times New Roman" w:eastAsia="Times New Roman" w:hAnsi="Times New Roman" w:cs="Times New Roman"/>
      <w:color w:val="000000"/>
      <w:sz w:val="28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5" w:line="270" w:lineRule="auto"/>
      <w:ind w:left="718" w:hanging="10"/>
      <w:jc w:val="both"/>
      <w:outlineLvl w:val="1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161"/>
      <w:ind w:left="718" w:hanging="10"/>
      <w:outlineLvl w:val="2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paragraph" w:styleId="Heading4">
    <w:name w:val="heading 4"/>
    <w:next w:val="Normal"/>
    <w:link w:val="Heading4Char"/>
    <w:uiPriority w:val="9"/>
    <w:unhideWhenUsed/>
    <w:qFormat/>
    <w:pPr>
      <w:keepNext/>
      <w:keepLines/>
      <w:spacing w:after="5" w:line="270" w:lineRule="auto"/>
      <w:ind w:left="718" w:hanging="10"/>
      <w:jc w:val="both"/>
      <w:outlineLvl w:val="3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Heading5">
    <w:name w:val="heading 5"/>
    <w:next w:val="Normal"/>
    <w:link w:val="Heading5Char"/>
    <w:uiPriority w:val="9"/>
    <w:unhideWhenUsed/>
    <w:qFormat/>
    <w:pPr>
      <w:keepNext/>
      <w:keepLines/>
      <w:spacing w:after="161"/>
      <w:ind w:left="718" w:hanging="10"/>
      <w:outlineLvl w:val="4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paragraph" w:styleId="Heading6">
    <w:name w:val="heading 6"/>
    <w:next w:val="Normal"/>
    <w:link w:val="Heading6Char"/>
    <w:uiPriority w:val="9"/>
    <w:unhideWhenUsed/>
    <w:qFormat/>
    <w:pPr>
      <w:keepNext/>
      <w:keepLines/>
      <w:spacing w:after="161"/>
      <w:ind w:left="718" w:hanging="10"/>
      <w:outlineLvl w:val="5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paragraph" w:styleId="Heading7">
    <w:name w:val="heading 7"/>
    <w:next w:val="Normal"/>
    <w:link w:val="Heading7Char"/>
    <w:uiPriority w:val="9"/>
    <w:unhideWhenUsed/>
    <w:qFormat/>
    <w:pPr>
      <w:keepNext/>
      <w:keepLines/>
      <w:spacing w:after="161"/>
      <w:ind w:left="718" w:hanging="10"/>
      <w:outlineLvl w:val="6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color w:val="000000"/>
      <w:sz w:val="28"/>
    </w:rPr>
  </w:style>
  <w:style w:type="paragraph" w:customStyle="1" w:styleId="footnotedescription">
    <w:name w:val="footnote description"/>
    <w:next w:val="Normal"/>
    <w:link w:val="footnotedescriptionChar"/>
    <w:hidden/>
    <w:pPr>
      <w:spacing w:after="117" w:line="267" w:lineRule="auto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footnotedescriptionChar">
    <w:name w:val="footnote description Char"/>
    <w:link w:val="footnotedescription"/>
    <w:rPr>
      <w:rFonts w:ascii="Times New Roman" w:eastAsia="Times New Roman" w:hAnsi="Times New Roman" w:cs="Times New Roman"/>
      <w:color w:val="000000"/>
      <w:sz w:val="24"/>
    </w:rPr>
  </w:style>
  <w:style w:type="character" w:customStyle="1" w:styleId="Heading6Char">
    <w:name w:val="Heading 6 Char"/>
    <w:link w:val="Heading6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customStyle="1" w:styleId="Heading7Char">
    <w:name w:val="Heading 7 Char"/>
    <w:link w:val="Heading7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customStyle="1" w:styleId="Heading4Char">
    <w:name w:val="Heading 4 Char"/>
    <w:link w:val="Heading4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Heading5Char">
    <w:name w:val="Heading 5 Char"/>
    <w:link w:val="Heading5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paragraph" w:styleId="TOC1">
    <w:name w:val="toc 1"/>
    <w:hidden/>
    <w:pPr>
      <w:spacing w:after="213"/>
      <w:ind w:left="25" w:right="19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TOC2">
    <w:name w:val="toc 2"/>
    <w:hidden/>
    <w:pPr>
      <w:spacing w:after="180" w:line="293" w:lineRule="auto"/>
      <w:ind w:left="185" w:right="18" w:firstLine="62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TOC3">
    <w:name w:val="toc 3"/>
    <w:hidden/>
    <w:pPr>
      <w:spacing w:after="171" w:line="300" w:lineRule="auto"/>
      <w:ind w:left="185" w:right="18" w:firstLine="62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TOC4">
    <w:name w:val="toc 4"/>
    <w:hidden/>
    <w:pPr>
      <w:spacing w:after="230"/>
      <w:ind w:left="308" w:right="16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TOC5">
    <w:name w:val="toc 5"/>
    <w:hidden/>
    <w:pPr>
      <w:spacing w:after="234"/>
      <w:ind w:left="308" w:right="23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footnotemark">
    <w:name w:val="footnote mark"/>
    <w:hidden/>
    <w:rPr>
      <w:rFonts w:ascii="Times New Roman" w:eastAsia="Times New Roman" w:hAnsi="Times New Roman" w:cs="Times New Roman"/>
      <w:color w:val="000000"/>
      <w:sz w:val="24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12.jpg"/><Relationship Id="rId21" Type="http://schemas.openxmlformats.org/officeDocument/2006/relationships/hyperlink" Target="https://doi.org/10.1164/RCCM.200906-0896OC" TargetMode="External"/><Relationship Id="rId170" Type="http://schemas.openxmlformats.org/officeDocument/2006/relationships/hyperlink" Target="https://doi.org/10.1016/J.JACI.2013.06.029" TargetMode="External"/><Relationship Id="rId268" Type="http://schemas.openxmlformats.org/officeDocument/2006/relationships/hyperlink" Target="https://doi.org/10.1111/CEA.12774" TargetMode="External"/><Relationship Id="rId475" Type="http://schemas.openxmlformats.org/officeDocument/2006/relationships/hyperlink" Target="https://doi.org/10.1164/AJRCCM.161.1.ATS11-99" TargetMode="External"/><Relationship Id="rId682" Type="http://schemas.openxmlformats.org/officeDocument/2006/relationships/hyperlink" Target="https://doi.org/10.1056/nejmoa063861" TargetMode="External"/><Relationship Id="rId128" Type="http://schemas.openxmlformats.org/officeDocument/2006/relationships/hyperlink" Target="https://cyberleninka.ru/article/n/osobennosti-techeniya-bronhialnoy-astmy-u-podrostkov-i-yunoshey-prizyvnogo-vozrasta" TargetMode="External"/><Relationship Id="rId335" Type="http://schemas.openxmlformats.org/officeDocument/2006/relationships/hyperlink" Target="https://www.rmj.ru/articles/bolezni_dykhatelnykh_putey/Infekcionnye_zabolevaniya_dyhatelynogo_trakta_u_bolynyh_s_bronhialynoy_astmoy/" TargetMode="External"/><Relationship Id="rId542" Type="http://schemas.openxmlformats.org/officeDocument/2006/relationships/hyperlink" Target="https://cyberleninka.ru/article/n/osobennosti-issledovaniya-funktsii-vneshnego-dyhaniya-u-detey-i-podrostkov" TargetMode="External"/><Relationship Id="rId987" Type="http://schemas.openxmlformats.org/officeDocument/2006/relationships/hyperlink" Target="https://doi.org/10.1186/1465-9921-8-19/FIGURES/2_557" TargetMode="External"/><Relationship Id="rId1172" Type="http://schemas.openxmlformats.org/officeDocument/2006/relationships/hyperlink" Target="https://doi.org/10.2147/JAA.S113747" TargetMode="External"/><Relationship Id="rId402" Type="http://schemas.openxmlformats.org/officeDocument/2006/relationships/hyperlink" Target="https://doi.org/10.18093/08690189-2023-33-3-307-340" TargetMode="External"/><Relationship Id="rId847" Type="http://schemas.openxmlformats.org/officeDocument/2006/relationships/hyperlink" Target="https://doi.org/10.1007/S41030-017-0043-5" TargetMode="External"/><Relationship Id="rId1032" Type="http://schemas.openxmlformats.org/officeDocument/2006/relationships/hyperlink" Target="https://doi.org/10.1111/RESP.12168" TargetMode="External"/><Relationship Id="rId1477" Type="http://schemas.openxmlformats.org/officeDocument/2006/relationships/hyperlink" Target="https://doi.org/10.1111/ALL.12368" TargetMode="External"/><Relationship Id="rId707" Type="http://schemas.openxmlformats.org/officeDocument/2006/relationships/hyperlink" Target="https://doi.org/10.1007/S12325-022-02092-7" TargetMode="External"/><Relationship Id="rId914" Type="http://schemas.openxmlformats.org/officeDocument/2006/relationships/hyperlink" Target="https://doi.org/10.1055/S-0031-1300502" TargetMode="External"/><Relationship Id="rId1337" Type="http://schemas.openxmlformats.org/officeDocument/2006/relationships/hyperlink" Target="https://cyberleninka.ru/article/n/bronhialnaya-astma-i-beremennost-4" TargetMode="External"/><Relationship Id="rId43" Type="http://schemas.openxmlformats.org/officeDocument/2006/relationships/hyperlink" Target="https://doi.org/10.1001/JAMA.1990.03450030090038" TargetMode="External"/><Relationship Id="rId1404" Type="http://schemas.openxmlformats.org/officeDocument/2006/relationships/hyperlink" Target="https://doi.org/10.1186/1471-2466-6-S1-S4" TargetMode="External"/><Relationship Id="rId192" Type="http://schemas.openxmlformats.org/officeDocument/2006/relationships/hyperlink" Target="https://doi.org/10.1016/J.JACI.2009.01.058" TargetMode="External"/><Relationship Id="rId497" Type="http://schemas.openxmlformats.org/officeDocument/2006/relationships/hyperlink" Target="https://cyberleninka.ru/article/n/bronhomotornye-testy-v-klinicheskoy-diagnostike-bronhialnoy-astmy" TargetMode="External"/><Relationship Id="rId357" Type="http://schemas.openxmlformats.org/officeDocument/2006/relationships/hyperlink" Target="https://doi.org/10.1530/EJE-16-0653" TargetMode="External"/><Relationship Id="rId1194" Type="http://schemas.openxmlformats.org/officeDocument/2006/relationships/hyperlink" Target="https://doi.org/10.1097/01.PCC.0000257115.02573.FC" TargetMode="External"/><Relationship Id="rId217" Type="http://schemas.openxmlformats.org/officeDocument/2006/relationships/hyperlink" Target="https://doi.org/10.1016/S2213-2600(15)00367-7" TargetMode="External"/><Relationship Id="rId564" Type="http://schemas.openxmlformats.org/officeDocument/2006/relationships/hyperlink" Target="https://doi.org/10.1186/S40733-018-0045-6" TargetMode="External"/><Relationship Id="rId771" Type="http://schemas.openxmlformats.org/officeDocument/2006/relationships/hyperlink" Target="https://doi.org/10.1186/S40733-016-0020-Z" TargetMode="External"/><Relationship Id="rId869" Type="http://schemas.openxmlformats.org/officeDocument/2006/relationships/hyperlink" Target="https://doi.org/10.1186/S12931-019-1065-3" TargetMode="External"/><Relationship Id="rId1499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424" Type="http://schemas.openxmlformats.org/officeDocument/2006/relationships/hyperlink" Target="https://doi.org/10.1183/09031936.05.00035205" TargetMode="External"/><Relationship Id="rId631" Type="http://schemas.openxmlformats.org/officeDocument/2006/relationships/hyperlink" Target="https://doi.org/10.1016/J.JAIP.2024.01.011" TargetMode="External"/><Relationship Id="rId729" Type="http://schemas.openxmlformats.org/officeDocument/2006/relationships/hyperlink" Target="https://doi.org/10.1016/J.JAIP.2019.06.030" TargetMode="External"/><Relationship Id="rId1054" Type="http://schemas.openxmlformats.org/officeDocument/2006/relationships/hyperlink" Target="https://doi.org/10.2165/00063030-200014040-00004" TargetMode="External"/><Relationship Id="rId1261" Type="http://schemas.openxmlformats.org/officeDocument/2006/relationships/hyperlink" Target="https://doi.org/10.1002/14651858.CD011293.pub3" TargetMode="External"/><Relationship Id="rId1359" Type="http://schemas.openxmlformats.org/officeDocument/2006/relationships/hyperlink" Target="https://doi.org/10.1016/S0029-7844(98)00191-4" TargetMode="External"/><Relationship Id="rId936" Type="http://schemas.openxmlformats.org/officeDocument/2006/relationships/hyperlink" Target="https://doi.org/10.1016/J.JACI.2010.04.004" TargetMode="External"/><Relationship Id="rId1121" Type="http://schemas.openxmlformats.org/officeDocument/2006/relationships/hyperlink" Target="https://doi.org/10.1016/S2213-2600(13)70070-5" TargetMode="External"/><Relationship Id="rId1219" Type="http://schemas.openxmlformats.org/officeDocument/2006/relationships/hyperlink" Target="https://doi.org/10.1111/pai.13915" TargetMode="External"/><Relationship Id="rId65" Type="http://schemas.openxmlformats.org/officeDocument/2006/relationships/hyperlink" Target="https://doi.org/10.1164/RCCM.200906-0896OC" TargetMode="External"/><Relationship Id="rId1426" Type="http://schemas.openxmlformats.org/officeDocument/2006/relationships/hyperlink" Target="https://doi.org/10.1111/RESP.13528" TargetMode="External"/><Relationship Id="rId281" Type="http://schemas.openxmlformats.org/officeDocument/2006/relationships/hyperlink" Target="https://doi.org/10.1001/JAMAPEDIATRICS.2015.4127" TargetMode="External"/><Relationship Id="rId141" Type="http://schemas.openxmlformats.org/officeDocument/2006/relationships/hyperlink" Target="https://cyberleninka.ru/article/n/osobennosti-techeniya-bronhialnoy-astmy-u-podrostkov-i-yunoshey-prizyvnogo-vozrasta" TargetMode="External"/><Relationship Id="rId379" Type="http://schemas.openxmlformats.org/officeDocument/2006/relationships/hyperlink" Target="https://spulmo.ru/upload/kr/Spirometria_2023.pdf?t=1" TargetMode="External"/><Relationship Id="rId586" Type="http://schemas.openxmlformats.org/officeDocument/2006/relationships/hyperlink" Target="https://doi.org/10.1111/J.1398-9995.2011.02728.X" TargetMode="External"/><Relationship Id="rId793" Type="http://schemas.openxmlformats.org/officeDocument/2006/relationships/hyperlink" Target="https://doi.org/10.1016/S2213-2600(20)30190-9" TargetMode="External"/><Relationship Id="rId7" Type="http://schemas.openxmlformats.org/officeDocument/2006/relationships/image" Target="media/image1.png"/><Relationship Id="rId239" Type="http://schemas.openxmlformats.org/officeDocument/2006/relationships/hyperlink" Target="https://doi.org/10.1016/S2213-2600(15)00050-8" TargetMode="External"/><Relationship Id="rId446" Type="http://schemas.openxmlformats.org/officeDocument/2006/relationships/hyperlink" Target="https://doi.org/10.1016/S0140-6736(98)06128-5" TargetMode="External"/><Relationship Id="rId653" Type="http://schemas.openxmlformats.org/officeDocument/2006/relationships/hyperlink" Target="https://doi.org/10.1016/S0091-6749(96)70282-8" TargetMode="External"/><Relationship Id="rId1076" Type="http://schemas.openxmlformats.org/officeDocument/2006/relationships/hyperlink" Target="https://doi.org/10.1080/08035259950168757" TargetMode="External"/><Relationship Id="rId1283" Type="http://schemas.openxmlformats.org/officeDocument/2006/relationships/hyperlink" Target="https://doi.org/10.1136/BMJOPEN-2018-026742" TargetMode="External"/><Relationship Id="rId1490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306" Type="http://schemas.openxmlformats.org/officeDocument/2006/relationships/hyperlink" Target="https://doi.org/10.18093/0869-0189-2017-27-3-311-319" TargetMode="External"/><Relationship Id="rId860" Type="http://schemas.openxmlformats.org/officeDocument/2006/relationships/hyperlink" Target="https://doi.org/10.1016/0091-6749(82)90065-3" TargetMode="External"/><Relationship Id="rId958" Type="http://schemas.openxmlformats.org/officeDocument/2006/relationships/hyperlink" Target="https://doi.org/10.1183/13993003.01381-2019" TargetMode="External"/><Relationship Id="rId1143" Type="http://schemas.openxmlformats.org/officeDocument/2006/relationships/hyperlink" Target="https://doi.org/10.1136/BMJRESP-2021-001137" TargetMode="External"/><Relationship Id="rId87" Type="http://schemas.openxmlformats.org/officeDocument/2006/relationships/hyperlink" Target="https://doi.org/10.1164/AJRCCM.162.2.9905079" TargetMode="External"/><Relationship Id="rId513" Type="http://schemas.openxmlformats.org/officeDocument/2006/relationships/hyperlink" Target="https://doi.org/10.1016/0954-6111(95)90249-X" TargetMode="External"/><Relationship Id="rId720" Type="http://schemas.openxmlformats.org/officeDocument/2006/relationships/hyperlink" Target="https://doi.org/10.1186/1465-9921-12-38" TargetMode="External"/><Relationship Id="rId818" Type="http://schemas.openxmlformats.org/officeDocument/2006/relationships/hyperlink" Target="https://doi.org/10.1016/S2213-2600(20)30178-8" TargetMode="External"/><Relationship Id="rId1350" Type="http://schemas.openxmlformats.org/officeDocument/2006/relationships/hyperlink" Target="https://doi.org/10.1111/J.1398-9995.2004.00526.X" TargetMode="External"/><Relationship Id="rId1448" Type="http://schemas.openxmlformats.org/officeDocument/2006/relationships/hyperlink" Target="https://doi.org/10.1111/J.1398-9995.1999.TB04391.X" TargetMode="External"/><Relationship Id="rId1003" Type="http://schemas.openxmlformats.org/officeDocument/2006/relationships/hyperlink" Target="https://cyberleninka.ru/article/n/nebulayzernaya-terapiya-suspenziey-pulmikorta-pri-tyazheloy-bronhialnoy-astme" TargetMode="External"/><Relationship Id="rId1210" Type="http://schemas.openxmlformats.org/officeDocument/2006/relationships/hyperlink" Target="https://doi.org/10.1007/S11882-020-00948-Y" TargetMode="External"/><Relationship Id="rId1308" Type="http://schemas.openxmlformats.org/officeDocument/2006/relationships/hyperlink" Target="https://doi.org/10.1186/s40001-023-01634-1" TargetMode="External"/><Relationship Id="rId1515" Type="http://schemas.openxmlformats.org/officeDocument/2006/relationships/hyperlink" Target="https://ginasthma.org/wp-content/uploads/2023/07/GINA-2023-Full-report-23_07_06-WMS.pdf" TargetMode="External"/><Relationship Id="rId14" Type="http://schemas.openxmlformats.org/officeDocument/2006/relationships/footer" Target="footer4.xml"/><Relationship Id="rId163" Type="http://schemas.openxmlformats.org/officeDocument/2006/relationships/hyperlink" Target="https://doi.org/10.1164/RCCM.200801-060ST" TargetMode="External"/><Relationship Id="rId370" Type="http://schemas.openxmlformats.org/officeDocument/2006/relationships/hyperlink" Target="https://spulmo.ru/upload/kr/Spirometria_2023.pdf?t=1" TargetMode="External"/><Relationship Id="rId230" Type="http://schemas.openxmlformats.org/officeDocument/2006/relationships/hyperlink" Target="https://doi.org/10.1164/RCCM.200310-1376OC" TargetMode="External"/><Relationship Id="rId468" Type="http://schemas.openxmlformats.org/officeDocument/2006/relationships/hyperlink" Target="https://doi.org/10.1183/13993003.01033-2018" TargetMode="External"/><Relationship Id="rId675" Type="http://schemas.openxmlformats.org/officeDocument/2006/relationships/hyperlink" Target="https://doi.org/10.1007/s12325-022-02092-7" TargetMode="External"/><Relationship Id="rId882" Type="http://schemas.openxmlformats.org/officeDocument/2006/relationships/hyperlink" Target="https://doi.org/10.1016/S0140-6736(16)30307-5" TargetMode="External"/><Relationship Id="rId1098" Type="http://schemas.openxmlformats.org/officeDocument/2006/relationships/hyperlink" Target="https://doi.org/10.3389/fimmu.2023.1310211" TargetMode="External"/><Relationship Id="rId328" Type="http://schemas.openxmlformats.org/officeDocument/2006/relationships/hyperlink" Target="https://www.rmj.ru/articles/bolezni_dykhatelnykh_putey/Infekcionnye_zabolevaniya_dyhatelynogo_trakta_u_bolynyh_s_bronhialynoy_astmoy/" TargetMode="External"/><Relationship Id="rId535" Type="http://schemas.openxmlformats.org/officeDocument/2006/relationships/hyperlink" Target="https://cyberleninka.ru/article/n/osobennosti-issledovaniya-funktsii-vneshnego-dyhaniya-u-detey-i-podrostkov" TargetMode="External"/><Relationship Id="rId742" Type="http://schemas.openxmlformats.org/officeDocument/2006/relationships/hyperlink" Target="https://doi.org/10.1183/16000617.0124-2023" TargetMode="External"/><Relationship Id="rId1165" Type="http://schemas.openxmlformats.org/officeDocument/2006/relationships/hyperlink" Target="https://doi.org/10.1164/RCCM.200906-0937OC" TargetMode="External"/><Relationship Id="rId1372" Type="http://schemas.openxmlformats.org/officeDocument/2006/relationships/hyperlink" Target="https://dissercat.com/content/osobennosti-techeniya-i-lecheniya-bronkhialnoi-astmy-v-period-beremennosti-0" TargetMode="External"/><Relationship Id="rId602" Type="http://schemas.openxmlformats.org/officeDocument/2006/relationships/hyperlink" Target="https://doi.org/10.1016/J.JAIP.2017.02.006" TargetMode="External"/><Relationship Id="rId1025" Type="http://schemas.openxmlformats.org/officeDocument/2006/relationships/hyperlink" Target="https://doi.org/10.1007/s12098-014-1498-0" TargetMode="External"/><Relationship Id="rId1232" Type="http://schemas.openxmlformats.org/officeDocument/2006/relationships/hyperlink" Target="https://raaci.ru/education/clinic_recomendations/103.html" TargetMode="External"/><Relationship Id="rId907" Type="http://schemas.openxmlformats.org/officeDocument/2006/relationships/hyperlink" Target="https://doi.org/10.1164/RCCM.200208-789OC" TargetMode="External"/><Relationship Id="rId1537" Type="http://schemas.openxmlformats.org/officeDocument/2006/relationships/footer" Target="footer9.xml"/><Relationship Id="rId36" Type="http://schemas.openxmlformats.org/officeDocument/2006/relationships/hyperlink" Target="https://www.cdc.gov/asthma/most_recent_data.htm" TargetMode="External"/><Relationship Id="rId185" Type="http://schemas.openxmlformats.org/officeDocument/2006/relationships/hyperlink" Target="https://doi.org/10.18093/0869-0189-2011-0-2-276-287" TargetMode="External"/><Relationship Id="rId392" Type="http://schemas.openxmlformats.org/officeDocument/2006/relationships/hyperlink" Target="https://doi.org/10.18093/08690189-2023-33-3-307-340" TargetMode="External"/><Relationship Id="rId697" Type="http://schemas.openxmlformats.org/officeDocument/2006/relationships/hyperlink" Target="https://doi.org/10.1007/S12325-022-02092-7" TargetMode="External"/><Relationship Id="rId252" Type="http://schemas.openxmlformats.org/officeDocument/2006/relationships/hyperlink" Target="https://doi.org/10.1136/BMJOPEN-2014-005748" TargetMode="External"/><Relationship Id="rId1187" Type="http://schemas.openxmlformats.org/officeDocument/2006/relationships/hyperlink" Target="https://doi.org/10.1136/BMJ.323.7304.98" TargetMode="External"/><Relationship Id="rId112" Type="http://schemas.openxmlformats.org/officeDocument/2006/relationships/hyperlink" Target="https://doi.org/10.18093/0869-0189-2005-0-2-57-62" TargetMode="External"/><Relationship Id="rId557" Type="http://schemas.openxmlformats.org/officeDocument/2006/relationships/hyperlink" Target="https://doi.org/10.3390/JCM8091475" TargetMode="External"/><Relationship Id="rId764" Type="http://schemas.openxmlformats.org/officeDocument/2006/relationships/hyperlink" Target="https://doi.org/10.5694/J.1326-5377.2003.TB05167.X" TargetMode="External"/><Relationship Id="rId971" Type="http://schemas.openxmlformats.org/officeDocument/2006/relationships/hyperlink" Target="https://doi.org/10.1136/thoraxjnl-2012-202698" TargetMode="External"/><Relationship Id="rId1394" Type="http://schemas.openxmlformats.org/officeDocument/2006/relationships/hyperlink" Target="https://doi.org/10.1024/0040-5930/A000516" TargetMode="External"/><Relationship Id="rId417" Type="http://schemas.openxmlformats.org/officeDocument/2006/relationships/hyperlink" Target="https://doi.org/10.18093/0869-0189-2014-0-6-11-24" TargetMode="External"/><Relationship Id="rId624" Type="http://schemas.openxmlformats.org/officeDocument/2006/relationships/hyperlink" Target="https://doi.org/10.1183/16000617.0039-2022" TargetMode="External"/><Relationship Id="rId831" Type="http://schemas.openxmlformats.org/officeDocument/2006/relationships/hyperlink" Target="https://doi.org/10.1002/14651858.CD011438.pub2" TargetMode="External"/><Relationship Id="rId1047" Type="http://schemas.openxmlformats.org/officeDocument/2006/relationships/hyperlink" Target="https://doi.org/10.1177/000992280104000203" TargetMode="External"/><Relationship Id="rId1254" Type="http://schemas.openxmlformats.org/officeDocument/2006/relationships/hyperlink" Target="https://doi.org/10.1186/1939-4551-7-6" TargetMode="External"/><Relationship Id="rId1461" Type="http://schemas.openxmlformats.org/officeDocument/2006/relationships/hyperlink" Target="https://doi.org/10.1016/J.RMED.2011.01.005" TargetMode="External"/><Relationship Id="rId929" Type="http://schemas.openxmlformats.org/officeDocument/2006/relationships/hyperlink" Target="https://doi.org/10.1016/S2213-2600(15)00042-9" TargetMode="External"/><Relationship Id="rId1114" Type="http://schemas.openxmlformats.org/officeDocument/2006/relationships/hyperlink" Target="https://doi.org/10.1002/14651858.CD010909.pub2" TargetMode="External"/><Relationship Id="rId1321" Type="http://schemas.openxmlformats.org/officeDocument/2006/relationships/hyperlink" Target="https://doi.org/10.1007/s12098-017-2519-6" TargetMode="External"/><Relationship Id="rId58" Type="http://schemas.openxmlformats.org/officeDocument/2006/relationships/hyperlink" Target="https://doi.org/10.1164/RCCM.200601-007OC" TargetMode="External"/><Relationship Id="rId1419" Type="http://schemas.openxmlformats.org/officeDocument/2006/relationships/hyperlink" Target="https://doi.org/10.1111/PAI.12762" TargetMode="External"/><Relationship Id="rId274" Type="http://schemas.openxmlformats.org/officeDocument/2006/relationships/hyperlink" Target="https://doi.org/10.1111/CEA.12774" TargetMode="External"/><Relationship Id="rId481" Type="http://schemas.openxmlformats.org/officeDocument/2006/relationships/hyperlink" Target="https://doi.org/10.1513/AnnalsATS.201409-433OC" TargetMode="External"/><Relationship Id="rId134" Type="http://schemas.openxmlformats.org/officeDocument/2006/relationships/hyperlink" Target="https://cyberleninka.ru/article/n/osobennosti-techeniya-bronhialnoy-astmy-u-podrostkov-i-yunoshey-prizyvnogo-vozrasta" TargetMode="External"/><Relationship Id="rId579" Type="http://schemas.openxmlformats.org/officeDocument/2006/relationships/hyperlink" Target="https://doi.org/10.1093/PCH/PXAB058" TargetMode="External"/><Relationship Id="rId786" Type="http://schemas.openxmlformats.org/officeDocument/2006/relationships/hyperlink" Target="https://doi.org/10.1002/14651858.CD011721.PUB2" TargetMode="External"/><Relationship Id="rId993" Type="http://schemas.openxmlformats.org/officeDocument/2006/relationships/hyperlink" Target="https://doi.org/10.18093/0869-0189-2006-4-58-67" TargetMode="External"/><Relationship Id="rId341" Type="http://schemas.openxmlformats.org/officeDocument/2006/relationships/hyperlink" Target="https://www.rmj.ru/articles/bolezni_dykhatelnykh_putey/Infekcionnye_zabolevaniya_dyhatelynogo_trakta_u_bolynyh_s_bronhialynoy_astmoy/" TargetMode="External"/><Relationship Id="rId439" Type="http://schemas.openxmlformats.org/officeDocument/2006/relationships/hyperlink" Target="https://doi.org/10.18203/2349-3291.IJCP20201631" TargetMode="External"/><Relationship Id="rId646" Type="http://schemas.openxmlformats.org/officeDocument/2006/relationships/hyperlink" Target="https://doi.org/10.1183/23120541.00701-2020" TargetMode="External"/><Relationship Id="rId1069" Type="http://schemas.openxmlformats.org/officeDocument/2006/relationships/hyperlink" Target="https://doi.org/10.1378/chest.121.6.1798" TargetMode="External"/><Relationship Id="rId1276" Type="http://schemas.openxmlformats.org/officeDocument/2006/relationships/hyperlink" Target="https://doi.org/10.1159/000488291" TargetMode="External"/><Relationship Id="rId1483" Type="http://schemas.openxmlformats.org/officeDocument/2006/relationships/hyperlink" Target="https://www.researchgate.net/publication/5778277_Validity_of_the_Asthma_Control_Test_completed_at_home" TargetMode="External"/><Relationship Id="rId201" Type="http://schemas.openxmlformats.org/officeDocument/2006/relationships/hyperlink" Target="https://doi.org/10.1186/1465-9921-13-59" TargetMode="External"/><Relationship Id="rId506" Type="http://schemas.openxmlformats.org/officeDocument/2006/relationships/hyperlink" Target="https://doi.org/10.1016/0091-6749(85)90032-6" TargetMode="External"/><Relationship Id="rId853" Type="http://schemas.openxmlformats.org/officeDocument/2006/relationships/hyperlink" Target="https://doi.org/10.1016/0954-6111(95)90154-X" TargetMode="External"/><Relationship Id="rId1136" Type="http://schemas.openxmlformats.org/officeDocument/2006/relationships/hyperlink" Target="https://doi.org/10.1016/B978-008055232-3.61213-9" TargetMode="External"/><Relationship Id="rId713" Type="http://schemas.openxmlformats.org/officeDocument/2006/relationships/hyperlink" Target="https://doi.org/10.2165/11598840-000000000-00000" TargetMode="External"/><Relationship Id="rId920" Type="http://schemas.openxmlformats.org/officeDocument/2006/relationships/hyperlink" Target="https://doi.org/10.1164/RCCM.201103-0396OC" TargetMode="External"/><Relationship Id="rId1343" Type="http://schemas.openxmlformats.org/officeDocument/2006/relationships/hyperlink" Target="https://cyberleninka.ru/article/n/bronhialnaya-astma-i-beremennost-4" TargetMode="External"/><Relationship Id="rId1203" Type="http://schemas.openxmlformats.org/officeDocument/2006/relationships/hyperlink" Target="https://doi.org/10.1002/14651858.CD002989" TargetMode="External"/><Relationship Id="rId1410" Type="http://schemas.openxmlformats.org/officeDocument/2006/relationships/hyperlink" Target="https://doi.org/10.1111/J.1398-9995.1998.TB03988.X" TargetMode="External"/><Relationship Id="rId1508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96" Type="http://schemas.openxmlformats.org/officeDocument/2006/relationships/hyperlink" Target="https://cr.minzdrav.gov.ru/schema/735_1" TargetMode="External"/><Relationship Id="rId156" Type="http://schemas.openxmlformats.org/officeDocument/2006/relationships/hyperlink" Target="https://doi.org/10.1183/13993003.01585-2021" TargetMode="External"/><Relationship Id="rId363" Type="http://schemas.openxmlformats.org/officeDocument/2006/relationships/hyperlink" Target="https://doi.org/10.1177/1179556517720675" TargetMode="External"/><Relationship Id="rId570" Type="http://schemas.openxmlformats.org/officeDocument/2006/relationships/hyperlink" Target="https://doi.org/10.1186/S40733-018-0045-6" TargetMode="External"/><Relationship Id="rId223" Type="http://schemas.openxmlformats.org/officeDocument/2006/relationships/hyperlink" Target="https://doi.org/10.1016/J.WAOJOU.2022.100727" TargetMode="External"/><Relationship Id="rId430" Type="http://schemas.openxmlformats.org/officeDocument/2006/relationships/hyperlink" Target="https://doi.org/10.1136/BMJPO-2021-001277" TargetMode="External"/><Relationship Id="rId668" Type="http://schemas.openxmlformats.org/officeDocument/2006/relationships/hyperlink" Target="https://doi.org/10.4046/TRD.2018.0013" TargetMode="External"/><Relationship Id="rId875" Type="http://schemas.openxmlformats.org/officeDocument/2006/relationships/hyperlink" Target="https://doi.org/10.1080/02770903.2016.1212371" TargetMode="External"/><Relationship Id="rId1060" Type="http://schemas.openxmlformats.org/officeDocument/2006/relationships/hyperlink" Target="https://doi.org/10.1111/J.1553-2712.1998.TB02614.X" TargetMode="External"/><Relationship Id="rId1298" Type="http://schemas.openxmlformats.org/officeDocument/2006/relationships/hyperlink" Target="https://doi.org/10.31550/1727-2378-2020-19-11-38-41" TargetMode="External"/><Relationship Id="rId528" Type="http://schemas.openxmlformats.org/officeDocument/2006/relationships/hyperlink" Target="https://doi.org/10.1136/THX.2004.023077" TargetMode="External"/><Relationship Id="rId735" Type="http://schemas.openxmlformats.org/officeDocument/2006/relationships/hyperlink" Target="https://doi.org/10.1164/ajrccm.163.5.1635c" TargetMode="External"/><Relationship Id="rId942" Type="http://schemas.openxmlformats.org/officeDocument/2006/relationships/hyperlink" Target="https://doi.org/10.1016/S0140-6736(19)31881-1" TargetMode="External"/><Relationship Id="rId1158" Type="http://schemas.openxmlformats.org/officeDocument/2006/relationships/hyperlink" Target="https://doi.org/10.1371/JOURNAL.PONE.0267445" TargetMode="External"/><Relationship Id="rId1365" Type="http://schemas.openxmlformats.org/officeDocument/2006/relationships/hyperlink" Target="https://doi.org/10.1016/S0029-7844(98)00191-4" TargetMode="External"/><Relationship Id="rId1018" Type="http://schemas.openxmlformats.org/officeDocument/2006/relationships/hyperlink" Target="https://doi.org/10.1002/14651858.CD002308.pub2" TargetMode="External"/><Relationship Id="rId1225" Type="http://schemas.openxmlformats.org/officeDocument/2006/relationships/hyperlink" Target="https://doi.org/10.1111/pai.13915" TargetMode="External"/><Relationship Id="rId1432" Type="http://schemas.openxmlformats.org/officeDocument/2006/relationships/hyperlink" Target="https://www.spr-journal.ru/757/" TargetMode="External"/><Relationship Id="rId71" Type="http://schemas.openxmlformats.org/officeDocument/2006/relationships/hyperlink" Target="https://doi.org/10.1164/RCCM.200801-060ST" TargetMode="External"/><Relationship Id="rId802" Type="http://schemas.openxmlformats.org/officeDocument/2006/relationships/hyperlink" Target="https://doi.org/10.1001/JAMA.2021.7872" TargetMode="External"/><Relationship Id="rId29" Type="http://schemas.openxmlformats.org/officeDocument/2006/relationships/hyperlink" Target="https://doi.org/10.1016/S0140-6736(20)30925-9" TargetMode="External"/><Relationship Id="rId178" Type="http://schemas.openxmlformats.org/officeDocument/2006/relationships/hyperlink" Target="https://doi.org/10.18093/0869-0189-2011-0-2-276-287" TargetMode="External"/><Relationship Id="rId385" Type="http://schemas.openxmlformats.org/officeDocument/2006/relationships/hyperlink" Target="https://spulmo.ru/upload/kr/Spirometria_2023.pdf?t=1" TargetMode="External"/><Relationship Id="rId592" Type="http://schemas.openxmlformats.org/officeDocument/2006/relationships/hyperlink" Target="https://doi.org/10.1136/THX.48.12.1211" TargetMode="External"/><Relationship Id="rId245" Type="http://schemas.openxmlformats.org/officeDocument/2006/relationships/hyperlink" Target="https://doi.org/10.1038/S41598-023-48381-1" TargetMode="External"/><Relationship Id="rId452" Type="http://schemas.openxmlformats.org/officeDocument/2006/relationships/hyperlink" Target="https://doi.org/10.1016/S0140-6736(98)06128-5" TargetMode="External"/><Relationship Id="rId897" Type="http://schemas.openxmlformats.org/officeDocument/2006/relationships/hyperlink" Target="https://doi.org/10.1016/S2213-2600(21)00352-0" TargetMode="External"/><Relationship Id="rId1082" Type="http://schemas.openxmlformats.org/officeDocument/2006/relationships/hyperlink" Target="https://doi.org/10.1155/2000/587957" TargetMode="External"/><Relationship Id="rId105" Type="http://schemas.openxmlformats.org/officeDocument/2006/relationships/hyperlink" Target="https://doi.org/10.18093/0869-0189-2008-0-2-15-19" TargetMode="External"/><Relationship Id="rId312" Type="http://schemas.openxmlformats.org/officeDocument/2006/relationships/hyperlink" Target="https://www.rmj.ru/articles/bolezni_dykhatelnykh_putey/Infekcionnye_zabolevaniya_dyhatelynogo_trakta_u_bolynyh_s_bronhialynoy_astmoy/" TargetMode="External"/><Relationship Id="rId757" Type="http://schemas.openxmlformats.org/officeDocument/2006/relationships/hyperlink" Target="https://doi.org/10.1002/14651858.CD005307.pub2" TargetMode="External"/><Relationship Id="rId964" Type="http://schemas.openxmlformats.org/officeDocument/2006/relationships/hyperlink" Target="https://doi.org/10.1016/S0140-6736(17)31281-3" TargetMode="External"/><Relationship Id="rId1387" Type="http://schemas.openxmlformats.org/officeDocument/2006/relationships/hyperlink" Target="https://dissercat.com/content/osobennosti-techeniya-i-lecheniya-bronkhialnoi-astmy-v-period-beremennosti-0" TargetMode="External"/><Relationship Id="rId93" Type="http://schemas.openxmlformats.org/officeDocument/2006/relationships/hyperlink" Target="https://doi.org/10.1164/AJRCCM.162.2.9905079" TargetMode="External"/><Relationship Id="rId617" Type="http://schemas.openxmlformats.org/officeDocument/2006/relationships/hyperlink" Target="https://doi.org/10.1186/s12890-023-02570-w" TargetMode="External"/><Relationship Id="rId824" Type="http://schemas.openxmlformats.org/officeDocument/2006/relationships/hyperlink" Target="https://doi.org/10.1016/S2213-2600(15)00031-4" TargetMode="External"/><Relationship Id="rId1247" Type="http://schemas.openxmlformats.org/officeDocument/2006/relationships/hyperlink" Target="https://doi.org/10.3389/fped.2023.1137478" TargetMode="External"/><Relationship Id="rId1454" Type="http://schemas.openxmlformats.org/officeDocument/2006/relationships/hyperlink" Target="https://doi.org/10.1513/PATS.P09ST6" TargetMode="External"/><Relationship Id="rId1107" Type="http://schemas.openxmlformats.org/officeDocument/2006/relationships/hyperlink" Target="https://doi.org/10.2169/INTERNALMEDICINE.39.794" TargetMode="External"/><Relationship Id="rId1314" Type="http://schemas.openxmlformats.org/officeDocument/2006/relationships/hyperlink" Target="https://doi.org/10.1136/THORAX.58.8.674" TargetMode="External"/><Relationship Id="rId1521" Type="http://schemas.openxmlformats.org/officeDocument/2006/relationships/image" Target="media/image11.png"/><Relationship Id="rId20" Type="http://schemas.openxmlformats.org/officeDocument/2006/relationships/hyperlink" Target="https://doi.org/10.1152/PHYSREV.00023.2019" TargetMode="External"/><Relationship Id="rId267" Type="http://schemas.openxmlformats.org/officeDocument/2006/relationships/hyperlink" Target="https://doi.org/10.1111/CEA.12774" TargetMode="External"/><Relationship Id="rId474" Type="http://schemas.openxmlformats.org/officeDocument/2006/relationships/hyperlink" Target="https://doi.org/10.1164/AJRCCM.161.1.ATS11-99" TargetMode="External"/><Relationship Id="rId127" Type="http://schemas.openxmlformats.org/officeDocument/2006/relationships/hyperlink" Target="https://cyberleninka.ru/article/n/osobennosti-techeniya-bronhialnoy-astmy-u-podrostkov-i-yunoshey-prizyvnogo-vozrasta" TargetMode="External"/><Relationship Id="rId681" Type="http://schemas.openxmlformats.org/officeDocument/2006/relationships/hyperlink" Target="https://doi.org/10.1056/nejmoa063861" TargetMode="External"/><Relationship Id="rId779" Type="http://schemas.openxmlformats.org/officeDocument/2006/relationships/hyperlink" Target="https://doi.org/10.1542/PEDS.2008-2867" TargetMode="External"/><Relationship Id="rId986" Type="http://schemas.openxmlformats.org/officeDocument/2006/relationships/hyperlink" Target="https://doi.org/10.1186/1465-9921-8-19/FIGURES/2_557" TargetMode="External"/><Relationship Id="rId334" Type="http://schemas.openxmlformats.org/officeDocument/2006/relationships/hyperlink" Target="https://www.rmj.ru/articles/bolezni_dykhatelnykh_putey/Infekcionnye_zabolevaniya_dyhatelynogo_trakta_u_bolynyh_s_bronhialynoy_astmoy/" TargetMode="External"/><Relationship Id="rId541" Type="http://schemas.openxmlformats.org/officeDocument/2006/relationships/hyperlink" Target="https://cyberleninka.ru/article/n/osobennosti-issledovaniya-funktsii-vneshnego-dyhaniya-u-detey-i-podrostkov" TargetMode="External"/><Relationship Id="rId639" Type="http://schemas.openxmlformats.org/officeDocument/2006/relationships/hyperlink" Target="https://doi.org/10.1007/s12325-022-02410-z" TargetMode="External"/><Relationship Id="rId1171" Type="http://schemas.openxmlformats.org/officeDocument/2006/relationships/hyperlink" Target="https://doi.org/10.1016/J.MOLMED.2020.07.006" TargetMode="External"/><Relationship Id="rId1269" Type="http://schemas.openxmlformats.org/officeDocument/2006/relationships/hyperlink" Target="https://doi.org/10.1016/J.JAIP.2019.09.002" TargetMode="External"/><Relationship Id="rId1476" Type="http://schemas.openxmlformats.org/officeDocument/2006/relationships/hyperlink" Target="https://doi.org/10.1016/S0954-6111(06)80268-4" TargetMode="External"/><Relationship Id="rId401" Type="http://schemas.openxmlformats.org/officeDocument/2006/relationships/hyperlink" Target="https://doi.org/10.18093/08690189-2023-33-3-307-340" TargetMode="External"/><Relationship Id="rId846" Type="http://schemas.openxmlformats.org/officeDocument/2006/relationships/hyperlink" Target="https://doi.org/10.1007/S41030-017-0043-5" TargetMode="External"/><Relationship Id="rId1031" Type="http://schemas.openxmlformats.org/officeDocument/2006/relationships/hyperlink" Target="https://doi.org/10.1007/s12098-014-1498-0" TargetMode="External"/><Relationship Id="rId1129" Type="http://schemas.openxmlformats.org/officeDocument/2006/relationships/hyperlink" Target="https://doi.org/10.1016/B978-008055232-3.61213-9" TargetMode="External"/><Relationship Id="rId706" Type="http://schemas.openxmlformats.org/officeDocument/2006/relationships/hyperlink" Target="https://doi.org/10.1007/S12325-022-02092-7" TargetMode="External"/><Relationship Id="rId913" Type="http://schemas.openxmlformats.org/officeDocument/2006/relationships/hyperlink" Target="https://doi.org/10.1016/j.jaci.2003.10.049" TargetMode="External"/><Relationship Id="rId1336" Type="http://schemas.openxmlformats.org/officeDocument/2006/relationships/hyperlink" Target="https://cyberleninka.ru/article/n/bronhialnaya-astma-i-beremennost-4" TargetMode="External"/><Relationship Id="rId42" Type="http://schemas.openxmlformats.org/officeDocument/2006/relationships/hyperlink" Target="https://doi.org/10.1001/JAMA.1990.03450030090038" TargetMode="External"/><Relationship Id="rId1403" Type="http://schemas.openxmlformats.org/officeDocument/2006/relationships/hyperlink" Target="https://doi.org/10.1186/1471-2466-6-S1-S4" TargetMode="External"/><Relationship Id="rId191" Type="http://schemas.openxmlformats.org/officeDocument/2006/relationships/hyperlink" Target="https://doi.org/10.1016/J.JACI.2009.01.058" TargetMode="External"/><Relationship Id="rId289" Type="http://schemas.openxmlformats.org/officeDocument/2006/relationships/hyperlink" Target="https://cr.minzdrav.gov.ru/schema/735_1" TargetMode="External"/><Relationship Id="rId496" Type="http://schemas.openxmlformats.org/officeDocument/2006/relationships/hyperlink" Target="https://cyberleninka.ru/article/n/bronhomotornye-testy-v-klinicheskoy-diagnostike-bronhialnoy-astmy" TargetMode="External"/><Relationship Id="rId149" Type="http://schemas.openxmlformats.org/officeDocument/2006/relationships/hyperlink" Target="https://doi.org/10.1183/13993003.01585-2021" TargetMode="External"/><Relationship Id="rId356" Type="http://schemas.openxmlformats.org/officeDocument/2006/relationships/hyperlink" Target="https://doi.org/10.1530/EJE-16-0653" TargetMode="External"/><Relationship Id="rId563" Type="http://schemas.openxmlformats.org/officeDocument/2006/relationships/hyperlink" Target="https://doi.org/10.1097/ACI.0000000000000726" TargetMode="External"/><Relationship Id="rId770" Type="http://schemas.openxmlformats.org/officeDocument/2006/relationships/hyperlink" Target="https://doi.org/10.1056/NEJM199711133372002" TargetMode="External"/><Relationship Id="rId1193" Type="http://schemas.openxmlformats.org/officeDocument/2006/relationships/hyperlink" Target="https://doi.org/10.1002/PPUL.24329" TargetMode="External"/><Relationship Id="rId216" Type="http://schemas.openxmlformats.org/officeDocument/2006/relationships/hyperlink" Target="https://doi.org/10.1016/S2213-2600(15)00367-7" TargetMode="External"/><Relationship Id="rId423" Type="http://schemas.openxmlformats.org/officeDocument/2006/relationships/hyperlink" Target="https://doi.org/10.1183/09031936.05.00035205" TargetMode="External"/><Relationship Id="rId868" Type="http://schemas.openxmlformats.org/officeDocument/2006/relationships/hyperlink" Target="https://doi.org/10.1186/S12931-019-1065-3" TargetMode="External"/><Relationship Id="rId1053" Type="http://schemas.openxmlformats.org/officeDocument/2006/relationships/hyperlink" Target="https://doi.org/10.2165/00063030-200014040-00004" TargetMode="External"/><Relationship Id="rId1260" Type="http://schemas.openxmlformats.org/officeDocument/2006/relationships/hyperlink" Target="https://doi.org/10.1111/ALL.13749" TargetMode="External"/><Relationship Id="rId1498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630" Type="http://schemas.openxmlformats.org/officeDocument/2006/relationships/hyperlink" Target="https://doi.org/10.1016/J.JAIP.2024.01.011" TargetMode="External"/><Relationship Id="rId728" Type="http://schemas.openxmlformats.org/officeDocument/2006/relationships/hyperlink" Target="https://doi.org/10.1002/14651858.CD011032" TargetMode="External"/><Relationship Id="rId935" Type="http://schemas.openxmlformats.org/officeDocument/2006/relationships/hyperlink" Target="https://doi.org/10.3233/HAB-2009-0198" TargetMode="External"/><Relationship Id="rId1358" Type="http://schemas.openxmlformats.org/officeDocument/2006/relationships/hyperlink" Target="https://doi.org/10.1016/S0029-7844(98)00191-4" TargetMode="External"/><Relationship Id="rId64" Type="http://schemas.openxmlformats.org/officeDocument/2006/relationships/hyperlink" Target="https://doi.org/10.1164/RCCM.200906-0896OC" TargetMode="External"/><Relationship Id="rId1120" Type="http://schemas.openxmlformats.org/officeDocument/2006/relationships/hyperlink" Target="https://doi.org/10.3389/falgy.2023.1211949" TargetMode="External"/><Relationship Id="rId1218" Type="http://schemas.openxmlformats.org/officeDocument/2006/relationships/hyperlink" Target="https://doi.org/10.1111/pai.13915" TargetMode="External"/><Relationship Id="rId1425" Type="http://schemas.openxmlformats.org/officeDocument/2006/relationships/hyperlink" Target="https://doi.org/10.1111/RESP.13528" TargetMode="External"/><Relationship Id="rId280" Type="http://schemas.openxmlformats.org/officeDocument/2006/relationships/hyperlink" Target="https://doi.org/10.1183/13993003.01585-2021" TargetMode="External"/><Relationship Id="rId140" Type="http://schemas.openxmlformats.org/officeDocument/2006/relationships/hyperlink" Target="https://cyberleninka.ru/article/n/osobennosti-techeniya-bronhialnoy-astmy-u-podrostkov-i-yunoshey-prizyvnogo-vozrasta" TargetMode="External"/><Relationship Id="rId378" Type="http://schemas.openxmlformats.org/officeDocument/2006/relationships/hyperlink" Target="https://spulmo.ru/upload/kr/Spirometria_2023.pdf?t=1" TargetMode="External"/><Relationship Id="rId585" Type="http://schemas.openxmlformats.org/officeDocument/2006/relationships/hyperlink" Target="https://doi.org/10.1111/J.1398-9995.2011.02728.X" TargetMode="External"/><Relationship Id="rId792" Type="http://schemas.openxmlformats.org/officeDocument/2006/relationships/hyperlink" Target="https://doi.org/10.1016/S2213-2600(20)30190-9" TargetMode="External"/><Relationship Id="rId6" Type="http://schemas.openxmlformats.org/officeDocument/2006/relationships/endnotes" Target="endnotes.xml"/><Relationship Id="rId238" Type="http://schemas.openxmlformats.org/officeDocument/2006/relationships/hyperlink" Target="https://doi.org/10.1016/S2213-2600(15)00050-8" TargetMode="External"/><Relationship Id="rId445" Type="http://schemas.openxmlformats.org/officeDocument/2006/relationships/hyperlink" Target="https://doi.org/10.1016/S0140-6736(98)06128-5" TargetMode="External"/><Relationship Id="rId652" Type="http://schemas.openxmlformats.org/officeDocument/2006/relationships/hyperlink" Target="https://doi.org/10.1016/S0091-6749(96)70282-8" TargetMode="External"/><Relationship Id="rId1075" Type="http://schemas.openxmlformats.org/officeDocument/2006/relationships/hyperlink" Target="https://doi.org/10.1080/08035259950168757" TargetMode="External"/><Relationship Id="rId1282" Type="http://schemas.openxmlformats.org/officeDocument/2006/relationships/hyperlink" Target="https://doi.org/10.1136/BMJOPEN-2018-026742" TargetMode="External"/><Relationship Id="rId305" Type="http://schemas.openxmlformats.org/officeDocument/2006/relationships/hyperlink" Target="https://doi.org/10.18093/0869-0189-2017-27-3-311-319" TargetMode="External"/><Relationship Id="rId512" Type="http://schemas.openxmlformats.org/officeDocument/2006/relationships/hyperlink" Target="https://doi.org/10.1016/0954-6111(95)90249-X" TargetMode="External"/><Relationship Id="rId957" Type="http://schemas.openxmlformats.org/officeDocument/2006/relationships/hyperlink" Target="https://doi.org/10.1183/13993003.01381-2019" TargetMode="External"/><Relationship Id="rId1142" Type="http://schemas.openxmlformats.org/officeDocument/2006/relationships/hyperlink" Target="https://doi.org/10.1136/BMJRESP-2022-001502" TargetMode="External"/><Relationship Id="rId86" Type="http://schemas.openxmlformats.org/officeDocument/2006/relationships/hyperlink" Target="https://doi.org/10.1016/J.JACI.2019.06.040" TargetMode="External"/><Relationship Id="rId817" Type="http://schemas.openxmlformats.org/officeDocument/2006/relationships/hyperlink" Target="https://doi.org/10.1016/S2213-2600(20)30178-8" TargetMode="External"/><Relationship Id="rId1002" Type="http://schemas.openxmlformats.org/officeDocument/2006/relationships/hyperlink" Target="https://cyberleninka.ru/article/n/nebulayzernaya-terapiya-suspenziey-pulmikorta-pri-tyazheloy-bronhialnoy-astme" TargetMode="External"/><Relationship Id="rId1447" Type="http://schemas.openxmlformats.org/officeDocument/2006/relationships/hyperlink" Target="https://doi.org/10.1183/09031936.00128505" TargetMode="External"/><Relationship Id="rId1307" Type="http://schemas.openxmlformats.org/officeDocument/2006/relationships/hyperlink" Target="https://doi.org/10.1186/s40001-023-01634-1" TargetMode="External"/><Relationship Id="rId1514" Type="http://schemas.openxmlformats.org/officeDocument/2006/relationships/hyperlink" Target="https://ginasthma.org/wp-content/uploads/2023/07/GINA-2023-Full-report-23_07_06-WMS.pdf" TargetMode="External"/><Relationship Id="rId13" Type="http://schemas.openxmlformats.org/officeDocument/2006/relationships/image" Target="media/image4.jpg"/><Relationship Id="rId162" Type="http://schemas.openxmlformats.org/officeDocument/2006/relationships/hyperlink" Target="https://doi.org/10.1164/RCCM.200801-060ST" TargetMode="External"/><Relationship Id="rId467" Type="http://schemas.openxmlformats.org/officeDocument/2006/relationships/hyperlink" Target="https://doi.org/10.1183/13993003.01033-2018" TargetMode="External"/><Relationship Id="rId1097" Type="http://schemas.openxmlformats.org/officeDocument/2006/relationships/hyperlink" Target="https://doi.org/10.3389/fimmu.2023.1310211" TargetMode="External"/><Relationship Id="rId674" Type="http://schemas.openxmlformats.org/officeDocument/2006/relationships/hyperlink" Target="https://doi.org/10.1007/s12325-022-02092-7" TargetMode="External"/><Relationship Id="rId881" Type="http://schemas.openxmlformats.org/officeDocument/2006/relationships/hyperlink" Target="https://doi.org/10.1016/S0140-6736(16)30307-5" TargetMode="External"/><Relationship Id="rId979" Type="http://schemas.openxmlformats.org/officeDocument/2006/relationships/hyperlink" Target="https://doi.org/10.5863/1551-6776-18.2.88" TargetMode="External"/><Relationship Id="rId327" Type="http://schemas.openxmlformats.org/officeDocument/2006/relationships/hyperlink" Target="https://www.rmj.ru/articles/bolezni_dykhatelnykh_putey/Infekcionnye_zabolevaniya_dyhatelynogo_trakta_u_bolynyh_s_bronhialynoy_astmoy/" TargetMode="External"/><Relationship Id="rId534" Type="http://schemas.openxmlformats.org/officeDocument/2006/relationships/hyperlink" Target="https://doi.org/10.1136/THX.2004.023077" TargetMode="External"/><Relationship Id="rId741" Type="http://schemas.openxmlformats.org/officeDocument/2006/relationships/hyperlink" Target="https://doi.org/10.1183/16000617.0124-2023" TargetMode="External"/><Relationship Id="rId839" Type="http://schemas.openxmlformats.org/officeDocument/2006/relationships/hyperlink" Target="https://doi.org/10.1164/AJRCCM.155.4.9105060" TargetMode="External"/><Relationship Id="rId1164" Type="http://schemas.openxmlformats.org/officeDocument/2006/relationships/hyperlink" Target="https://doi.org/10.1164/RCCM.200906-0937OC" TargetMode="External"/><Relationship Id="rId1371" Type="http://schemas.openxmlformats.org/officeDocument/2006/relationships/hyperlink" Target="https://dissercat.com/content/osobennosti-techeniya-i-lecheniya-bronkhialnoi-astmy-v-period-beremennosti-0" TargetMode="External"/><Relationship Id="rId1469" Type="http://schemas.openxmlformats.org/officeDocument/2006/relationships/hyperlink" Target="https://doi.org/10.1371/JOURNAL.PONE.0133428" TargetMode="External"/><Relationship Id="rId601" Type="http://schemas.openxmlformats.org/officeDocument/2006/relationships/hyperlink" Target="https://doi.org/10.1016/J.JAIP.2017.02.006" TargetMode="External"/><Relationship Id="rId1024" Type="http://schemas.openxmlformats.org/officeDocument/2006/relationships/hyperlink" Target="https://doi.org/10.1007/s12098-014-1498-0" TargetMode="External"/><Relationship Id="rId1231" Type="http://schemas.openxmlformats.org/officeDocument/2006/relationships/hyperlink" Target="https://raaci.ru/education/clinic_recomendations/103.html" TargetMode="External"/><Relationship Id="rId906" Type="http://schemas.openxmlformats.org/officeDocument/2006/relationships/hyperlink" Target="https://doi.org/10.1080/20018525.2018.1536097" TargetMode="External"/><Relationship Id="rId1329" Type="http://schemas.openxmlformats.org/officeDocument/2006/relationships/hyperlink" Target="https://cyberleninka.ru/article/n/bronhialnaya-astma-i-beremennost-4" TargetMode="External"/><Relationship Id="rId1536" Type="http://schemas.openxmlformats.org/officeDocument/2006/relationships/footer" Target="footer8.xml"/><Relationship Id="rId35" Type="http://schemas.openxmlformats.org/officeDocument/2006/relationships/hyperlink" Target="https://doi.org/10.2147/COPD.S67283" TargetMode="External"/><Relationship Id="rId184" Type="http://schemas.openxmlformats.org/officeDocument/2006/relationships/hyperlink" Target="https://doi.org/10.18093/0869-0189-2011-0-2-276-287" TargetMode="External"/><Relationship Id="rId391" Type="http://schemas.openxmlformats.org/officeDocument/2006/relationships/hyperlink" Target="https://doi.org/10.18093/08690189-2023-33-3-307-340" TargetMode="External"/><Relationship Id="rId251" Type="http://schemas.openxmlformats.org/officeDocument/2006/relationships/hyperlink" Target="https://doi.org/10.1038/S41598-023-48381-1" TargetMode="External"/><Relationship Id="rId489" Type="http://schemas.openxmlformats.org/officeDocument/2006/relationships/hyperlink" Target="https://cyberleninka.ru/article/n/bronhomotornye-testy-v-klinicheskoy-diagnostike-bronhialnoy-astmy" TargetMode="External"/><Relationship Id="rId696" Type="http://schemas.openxmlformats.org/officeDocument/2006/relationships/hyperlink" Target="https://doi.org/10.1007/S12325-022-02092-7" TargetMode="External"/><Relationship Id="rId349" Type="http://schemas.openxmlformats.org/officeDocument/2006/relationships/hyperlink" Target="https://doi.org/10.1159/000365892" TargetMode="External"/><Relationship Id="rId556" Type="http://schemas.openxmlformats.org/officeDocument/2006/relationships/hyperlink" Target="https://doi.org/10.1111/J.1440-1843.2009.01605.X" TargetMode="External"/><Relationship Id="rId763" Type="http://schemas.openxmlformats.org/officeDocument/2006/relationships/hyperlink" Target="https://doi.org/10.5694/J.1326-5377.2003.TB05167.X" TargetMode="External"/><Relationship Id="rId1186" Type="http://schemas.openxmlformats.org/officeDocument/2006/relationships/hyperlink" Target="https://doi.org/10.1136/BMJ.323.7304.98" TargetMode="External"/><Relationship Id="rId1393" Type="http://schemas.openxmlformats.org/officeDocument/2006/relationships/hyperlink" Target="https://doi.org/10.1024/0040-5930/A000516" TargetMode="External"/><Relationship Id="rId111" Type="http://schemas.openxmlformats.org/officeDocument/2006/relationships/hyperlink" Target="https://doi.org/10.18093/0869-0189-2008-0-2-15-19" TargetMode="External"/><Relationship Id="rId209" Type="http://schemas.openxmlformats.org/officeDocument/2006/relationships/hyperlink" Target="https://doi.org/10.23736/S0026-4946.18.05351-3" TargetMode="External"/><Relationship Id="rId416" Type="http://schemas.openxmlformats.org/officeDocument/2006/relationships/hyperlink" Target="https://doi.org/10.18093/0869-0189-2014-0-6-11-24" TargetMode="External"/><Relationship Id="rId970" Type="http://schemas.openxmlformats.org/officeDocument/2006/relationships/hyperlink" Target="https://doi.org/10.1136/thoraxjnl-2012-202698" TargetMode="External"/><Relationship Id="rId1046" Type="http://schemas.openxmlformats.org/officeDocument/2006/relationships/hyperlink" Target="https://doi.org/10.1016/J.JAIP.2020.01.042" TargetMode="External"/><Relationship Id="rId1253" Type="http://schemas.openxmlformats.org/officeDocument/2006/relationships/hyperlink" Target="https://doi.org/10.1186/1939-4551-7-6" TargetMode="External"/><Relationship Id="rId623" Type="http://schemas.openxmlformats.org/officeDocument/2006/relationships/hyperlink" Target="https://doi.org/10.1183/16000617.0039-2022" TargetMode="External"/><Relationship Id="rId830" Type="http://schemas.openxmlformats.org/officeDocument/2006/relationships/hyperlink" Target="https://doi.org/10.1371/journal.pone.0124109" TargetMode="External"/><Relationship Id="rId928" Type="http://schemas.openxmlformats.org/officeDocument/2006/relationships/hyperlink" Target="https://doi.org/10.1016/S2213-2600(15)00042-9" TargetMode="External"/><Relationship Id="rId1460" Type="http://schemas.openxmlformats.org/officeDocument/2006/relationships/hyperlink" Target="https://doi.org/10.2147/PPA.S395258" TargetMode="External"/><Relationship Id="rId57" Type="http://schemas.openxmlformats.org/officeDocument/2006/relationships/hyperlink" Target="https://doi.org/10.1164/RCCM.200601-007OC" TargetMode="External"/><Relationship Id="rId1113" Type="http://schemas.openxmlformats.org/officeDocument/2006/relationships/hyperlink" Target="https://doi.org/10.1002/14651858.CD010909.pub2" TargetMode="External"/><Relationship Id="rId1320" Type="http://schemas.openxmlformats.org/officeDocument/2006/relationships/hyperlink" Target="https://doi.org/10.1007/s12098-017-2519-6" TargetMode="External"/><Relationship Id="rId1418" Type="http://schemas.openxmlformats.org/officeDocument/2006/relationships/hyperlink" Target="https://doi.org/10.1111/PAI.12762" TargetMode="External"/><Relationship Id="rId273" Type="http://schemas.openxmlformats.org/officeDocument/2006/relationships/hyperlink" Target="https://doi.org/10.1111/CEA.12774" TargetMode="External"/><Relationship Id="rId480" Type="http://schemas.openxmlformats.org/officeDocument/2006/relationships/hyperlink" Target="https://doi.org/10.1513/AnnalsATS.201409-433OC" TargetMode="External"/><Relationship Id="rId133" Type="http://schemas.openxmlformats.org/officeDocument/2006/relationships/hyperlink" Target="https://cyberleninka.ru/article/n/osobennosti-techeniya-bronhialnoy-astmy-u-podrostkov-i-yunoshey-prizyvnogo-vozrasta" TargetMode="External"/><Relationship Id="rId340" Type="http://schemas.openxmlformats.org/officeDocument/2006/relationships/hyperlink" Target="https://www.rmj.ru/articles/bolezni_dykhatelnykh_putey/Infekcionnye_zabolevaniya_dyhatelynogo_trakta_u_bolynyh_s_bronhialynoy_astmoy/" TargetMode="External"/><Relationship Id="rId578" Type="http://schemas.openxmlformats.org/officeDocument/2006/relationships/hyperlink" Target="https://doi.org/10.1093/PCH/PXAB058" TargetMode="External"/><Relationship Id="rId785" Type="http://schemas.openxmlformats.org/officeDocument/2006/relationships/hyperlink" Target="https://doi.org/10.1111/PAI.13010" TargetMode="External"/><Relationship Id="rId992" Type="http://schemas.openxmlformats.org/officeDocument/2006/relationships/hyperlink" Target="https://doi.org/10.18093/0869-0189-2006-4-58-67" TargetMode="External"/><Relationship Id="rId200" Type="http://schemas.openxmlformats.org/officeDocument/2006/relationships/hyperlink" Target="https://doi.org/10.1186/1465-9921-13-59" TargetMode="External"/><Relationship Id="rId438" Type="http://schemas.openxmlformats.org/officeDocument/2006/relationships/hyperlink" Target="https://doi.org/10.18203/2349-3291.IJCP20201631" TargetMode="External"/><Relationship Id="rId645" Type="http://schemas.openxmlformats.org/officeDocument/2006/relationships/hyperlink" Target="https://doi.org/10.1183/23120541.00701-2020" TargetMode="External"/><Relationship Id="rId852" Type="http://schemas.openxmlformats.org/officeDocument/2006/relationships/hyperlink" Target="https://doi.org/10.1016/0954-6111(95)90154-X" TargetMode="External"/><Relationship Id="rId1068" Type="http://schemas.openxmlformats.org/officeDocument/2006/relationships/hyperlink" Target="https://doi.org/10.1378/chest.121.6.1798" TargetMode="External"/><Relationship Id="rId1275" Type="http://schemas.openxmlformats.org/officeDocument/2006/relationships/hyperlink" Target="https://doi.org/10.1159/000488291" TargetMode="External"/><Relationship Id="rId1482" Type="http://schemas.openxmlformats.org/officeDocument/2006/relationships/hyperlink" Target="https://www.researchgate.net/publication/5778277_Validity_of_the_Asthma_Control_Test_completed_at_home" TargetMode="External"/><Relationship Id="rId505" Type="http://schemas.openxmlformats.org/officeDocument/2006/relationships/hyperlink" Target="https://doi.org/10.1016/0091-6749(85)90032-6" TargetMode="External"/><Relationship Id="rId712" Type="http://schemas.openxmlformats.org/officeDocument/2006/relationships/hyperlink" Target="https://doi.org/10.1007/S12325-022-02092-7" TargetMode="External"/><Relationship Id="rId1135" Type="http://schemas.openxmlformats.org/officeDocument/2006/relationships/hyperlink" Target="https://doi.org/10.1016/B978-008055232-3.61213-9" TargetMode="External"/><Relationship Id="rId1342" Type="http://schemas.openxmlformats.org/officeDocument/2006/relationships/hyperlink" Target="https://cyberleninka.ru/article/n/bronhialnaya-astma-i-beremennost-4" TargetMode="External"/><Relationship Id="rId79" Type="http://schemas.openxmlformats.org/officeDocument/2006/relationships/hyperlink" Target="http://www.ginasthma.org/" TargetMode="External"/><Relationship Id="rId1202" Type="http://schemas.openxmlformats.org/officeDocument/2006/relationships/hyperlink" Target="https://doi.org/10.1002/14651858.CD002989" TargetMode="External"/><Relationship Id="rId1507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95" Type="http://schemas.openxmlformats.org/officeDocument/2006/relationships/hyperlink" Target="https://cr.minzdrav.gov.ru/schema/735_1" TargetMode="External"/><Relationship Id="rId155" Type="http://schemas.openxmlformats.org/officeDocument/2006/relationships/hyperlink" Target="https://doi.org/10.1183/13993003.01585-2021" TargetMode="External"/><Relationship Id="rId362" Type="http://schemas.openxmlformats.org/officeDocument/2006/relationships/hyperlink" Target="https://doi.org/10.1177/1179556517720675" TargetMode="External"/><Relationship Id="rId1297" Type="http://schemas.openxmlformats.org/officeDocument/2006/relationships/hyperlink" Target="https://doi.org/10.31550/1727-2378-2020-19-11-38-41" TargetMode="External"/><Relationship Id="rId222" Type="http://schemas.openxmlformats.org/officeDocument/2006/relationships/hyperlink" Target="https://doi.org/10.1371/JOURNAL.PONE.0201143" TargetMode="External"/><Relationship Id="rId667" Type="http://schemas.openxmlformats.org/officeDocument/2006/relationships/hyperlink" Target="https://doi.org/10.4046/TRD.2018.0013" TargetMode="External"/><Relationship Id="rId874" Type="http://schemas.openxmlformats.org/officeDocument/2006/relationships/hyperlink" Target="https://doi.org/10.1186/S12931-019-1065-3" TargetMode="External"/><Relationship Id="rId527" Type="http://schemas.openxmlformats.org/officeDocument/2006/relationships/hyperlink" Target="https://doi.org/10.1136/THX.2004.023077" TargetMode="External"/><Relationship Id="rId734" Type="http://schemas.openxmlformats.org/officeDocument/2006/relationships/hyperlink" Target="https://doi.org/10.1164/ajrccm.163.5.1635c" TargetMode="External"/><Relationship Id="rId941" Type="http://schemas.openxmlformats.org/officeDocument/2006/relationships/hyperlink" Target="https://doi.org/10.1016/S0140-6736(19)31881-1" TargetMode="External"/><Relationship Id="rId1157" Type="http://schemas.openxmlformats.org/officeDocument/2006/relationships/hyperlink" Target="https://doi.org/10.1371/JOURNAL.PONE.0267445" TargetMode="External"/><Relationship Id="rId1364" Type="http://schemas.openxmlformats.org/officeDocument/2006/relationships/hyperlink" Target="https://doi.org/10.1016/S0029-7844(98)00191-4" TargetMode="External"/><Relationship Id="rId70" Type="http://schemas.openxmlformats.org/officeDocument/2006/relationships/hyperlink" Target="https://doi.org/10.1164/RCCM.200801-060ST" TargetMode="External"/><Relationship Id="rId801" Type="http://schemas.openxmlformats.org/officeDocument/2006/relationships/hyperlink" Target="https://doi.org/10.1111/ALL.15076" TargetMode="External"/><Relationship Id="rId1017" Type="http://schemas.openxmlformats.org/officeDocument/2006/relationships/hyperlink" Target="https://cyberleninka.ru/article/n/nebulayzernaya-terapiya-suspenziey-pulmikorta-pri-tyazheloy-bronhialnoy-astme" TargetMode="External"/><Relationship Id="rId1224" Type="http://schemas.openxmlformats.org/officeDocument/2006/relationships/hyperlink" Target="https://doi.org/10.1111/pai.13915" TargetMode="External"/><Relationship Id="rId1431" Type="http://schemas.openxmlformats.org/officeDocument/2006/relationships/hyperlink" Target="https://www.spr-journal.ru/757/" TargetMode="External"/><Relationship Id="rId1529" Type="http://schemas.openxmlformats.org/officeDocument/2006/relationships/hyperlink" Target="http://www.ginasthma.org/" TargetMode="External"/><Relationship Id="rId28" Type="http://schemas.openxmlformats.org/officeDocument/2006/relationships/hyperlink" Target="https://doi.org/10.1016/S0140-6736(20)30925-9" TargetMode="External"/><Relationship Id="rId177" Type="http://schemas.openxmlformats.org/officeDocument/2006/relationships/hyperlink" Target="https://doi.org/10.18093/0869-0189-2011-0-2-276-287" TargetMode="External"/><Relationship Id="rId384" Type="http://schemas.openxmlformats.org/officeDocument/2006/relationships/hyperlink" Target="https://spulmo.ru/upload/kr/Spirometria_2023.pdf?t=1" TargetMode="External"/><Relationship Id="rId591" Type="http://schemas.openxmlformats.org/officeDocument/2006/relationships/hyperlink" Target="https://doi.org/10.1183/09031936.93.05010040" TargetMode="External"/><Relationship Id="rId244" Type="http://schemas.openxmlformats.org/officeDocument/2006/relationships/hyperlink" Target="https://doi.org/10.1038/S41598-023-48381-1" TargetMode="External"/><Relationship Id="rId689" Type="http://schemas.openxmlformats.org/officeDocument/2006/relationships/hyperlink" Target="https://doi.org/10.1002/14651858.CD007313.pub3" TargetMode="External"/><Relationship Id="rId896" Type="http://schemas.openxmlformats.org/officeDocument/2006/relationships/hyperlink" Target="https://doi.org/10.1016/S2213-2600(21)00352-0" TargetMode="External"/><Relationship Id="rId1081" Type="http://schemas.openxmlformats.org/officeDocument/2006/relationships/hyperlink" Target="https://doi.org/10.1155/2000/587957" TargetMode="External"/><Relationship Id="rId451" Type="http://schemas.openxmlformats.org/officeDocument/2006/relationships/hyperlink" Target="https://doi.org/10.1016/S0140-6736(98)06128-5" TargetMode="External"/><Relationship Id="rId549" Type="http://schemas.openxmlformats.org/officeDocument/2006/relationships/hyperlink" Target="https://cyberleninka.ru/article/n/osobennosti-issledovaniya-funktsii-vneshnego-dyhaniya-u-detey-i-podrostkov" TargetMode="External"/><Relationship Id="rId756" Type="http://schemas.openxmlformats.org/officeDocument/2006/relationships/hyperlink" Target="https://doi.org/10.1002/14651858.CD005533.PUB2" TargetMode="External"/><Relationship Id="rId1179" Type="http://schemas.openxmlformats.org/officeDocument/2006/relationships/hyperlink" Target="https://doi.org/10.1016/j.rmed.2006.03.018" TargetMode="External"/><Relationship Id="rId1386" Type="http://schemas.openxmlformats.org/officeDocument/2006/relationships/hyperlink" Target="https://dissercat.com/content/osobennosti-techeniya-i-lecheniya-bronkhialnoi-astmy-v-period-beremennosti-0" TargetMode="External"/><Relationship Id="rId104" Type="http://schemas.openxmlformats.org/officeDocument/2006/relationships/hyperlink" Target="https://doi.org/10.18093/0869-0189-2008-0-2-15-19" TargetMode="External"/><Relationship Id="rId311" Type="http://schemas.openxmlformats.org/officeDocument/2006/relationships/hyperlink" Target="https://doi.org/10.18093/0869-0189-2017-27-3-311-319" TargetMode="External"/><Relationship Id="rId409" Type="http://schemas.openxmlformats.org/officeDocument/2006/relationships/hyperlink" Target="https://doi.org/10.18093/0869-0189-2014-0-6-11-24" TargetMode="External"/><Relationship Id="rId963" Type="http://schemas.openxmlformats.org/officeDocument/2006/relationships/hyperlink" Target="https://doi.org/10.1016/S0140-6736(17)31281-3" TargetMode="External"/><Relationship Id="rId1039" Type="http://schemas.openxmlformats.org/officeDocument/2006/relationships/hyperlink" Target="https://doi.org/10.1007/s12098-014-1498-0" TargetMode="External"/><Relationship Id="rId1246" Type="http://schemas.openxmlformats.org/officeDocument/2006/relationships/hyperlink" Target="https://doi.org/10.1002/14651858.CD001186.PUB2" TargetMode="External"/><Relationship Id="rId92" Type="http://schemas.openxmlformats.org/officeDocument/2006/relationships/hyperlink" Target="https://doi.org/10.1164/AJRCCM.162.2.9905079" TargetMode="External"/><Relationship Id="rId616" Type="http://schemas.openxmlformats.org/officeDocument/2006/relationships/hyperlink" Target="https://doi.org/10.1186/s12890-023-02570-w" TargetMode="External"/><Relationship Id="rId823" Type="http://schemas.openxmlformats.org/officeDocument/2006/relationships/hyperlink" Target="https://doi.org/10.1016/S2213-2600(15)00031-4" TargetMode="External"/><Relationship Id="rId1453" Type="http://schemas.openxmlformats.org/officeDocument/2006/relationships/hyperlink" Target="https://doi.org/10.1513/PATS.P09ST6" TargetMode="External"/><Relationship Id="rId1106" Type="http://schemas.openxmlformats.org/officeDocument/2006/relationships/hyperlink" Target="https://doi.org/10.5694/J.1326-5377.2008.TB02046.X" TargetMode="External"/><Relationship Id="rId1313" Type="http://schemas.openxmlformats.org/officeDocument/2006/relationships/hyperlink" Target="https://doi.org/10.1186/s40001-023-01634-1" TargetMode="External"/><Relationship Id="rId1520" Type="http://schemas.openxmlformats.org/officeDocument/2006/relationships/image" Target="media/image10.jpg"/><Relationship Id="rId199" Type="http://schemas.openxmlformats.org/officeDocument/2006/relationships/hyperlink" Target="https://doi.org/10.1186/1465-9921-13-59" TargetMode="External"/><Relationship Id="rId266" Type="http://schemas.openxmlformats.org/officeDocument/2006/relationships/hyperlink" Target="https://doi.org/10.1111/CEA.12774" TargetMode="External"/><Relationship Id="rId473" Type="http://schemas.openxmlformats.org/officeDocument/2006/relationships/hyperlink" Target="https://doi.org/10.3390/jfmk9010015" TargetMode="External"/><Relationship Id="rId680" Type="http://schemas.openxmlformats.org/officeDocument/2006/relationships/hyperlink" Target="https://doi.org/10.20452/PAMW.4341" TargetMode="External"/><Relationship Id="rId126" Type="http://schemas.openxmlformats.org/officeDocument/2006/relationships/hyperlink" Target="https://cyberleninka.ru/article/n/osobennosti-techeniya-bronhialnoy-astmy-u-podrostkov-i-yunoshey-prizyvnogo-vozrasta" TargetMode="External"/><Relationship Id="rId333" Type="http://schemas.openxmlformats.org/officeDocument/2006/relationships/hyperlink" Target="https://www.rmj.ru/articles/bolezni_dykhatelnykh_putey/Infekcionnye_zabolevaniya_dyhatelynogo_trakta_u_bolynyh_s_bronhialynoy_astmoy/" TargetMode="External"/><Relationship Id="rId540" Type="http://schemas.openxmlformats.org/officeDocument/2006/relationships/hyperlink" Target="https://cyberleninka.ru/article/n/osobennosti-issledovaniya-funktsii-vneshnego-dyhaniya-u-detey-i-podrostkov" TargetMode="External"/><Relationship Id="rId778" Type="http://schemas.openxmlformats.org/officeDocument/2006/relationships/hyperlink" Target="https://doi.org/10.1186/S40733-016-0020-Z" TargetMode="External"/><Relationship Id="rId985" Type="http://schemas.openxmlformats.org/officeDocument/2006/relationships/hyperlink" Target="https://doi.org/10.1186/1465-9921-8-19/FIGURES/2_557" TargetMode="External"/><Relationship Id="rId1170" Type="http://schemas.openxmlformats.org/officeDocument/2006/relationships/hyperlink" Target="https://doi.org/10.1016/J.MOLMED.2020.07.006" TargetMode="External"/><Relationship Id="rId638" Type="http://schemas.openxmlformats.org/officeDocument/2006/relationships/hyperlink" Target="https://doi.org/10.1007/s12325-022-02410-z" TargetMode="External"/><Relationship Id="rId845" Type="http://schemas.openxmlformats.org/officeDocument/2006/relationships/hyperlink" Target="https://doi.org/10.1007/S41030-017-0043-5" TargetMode="External"/><Relationship Id="rId1030" Type="http://schemas.openxmlformats.org/officeDocument/2006/relationships/hyperlink" Target="https://doi.org/10.1007/s12098-014-1498-0" TargetMode="External"/><Relationship Id="rId1268" Type="http://schemas.openxmlformats.org/officeDocument/2006/relationships/hyperlink" Target="https://doi.org/10.1001/jama.2016.3964" TargetMode="External"/><Relationship Id="rId1475" Type="http://schemas.openxmlformats.org/officeDocument/2006/relationships/hyperlink" Target="https://doi.org/10.1016/S0954-6111(06)80268-4" TargetMode="External"/><Relationship Id="rId400" Type="http://schemas.openxmlformats.org/officeDocument/2006/relationships/hyperlink" Target="https://doi.org/10.18093/08690189-2023-33-3-307-340" TargetMode="External"/><Relationship Id="rId705" Type="http://schemas.openxmlformats.org/officeDocument/2006/relationships/hyperlink" Target="https://doi.org/10.1007/S12325-022-02092-7" TargetMode="External"/><Relationship Id="rId1128" Type="http://schemas.openxmlformats.org/officeDocument/2006/relationships/hyperlink" Target="https://doi.org/10.1016/J.PRRV.2020.08.006" TargetMode="External"/><Relationship Id="rId1335" Type="http://schemas.openxmlformats.org/officeDocument/2006/relationships/hyperlink" Target="https://cyberleninka.ru/article/n/bronhialnaya-astma-i-beremennost-4" TargetMode="External"/><Relationship Id="rId912" Type="http://schemas.openxmlformats.org/officeDocument/2006/relationships/hyperlink" Target="https://doi.org/10.1016/j.jaci.2003.10.049" TargetMode="External"/><Relationship Id="rId41" Type="http://schemas.openxmlformats.org/officeDocument/2006/relationships/hyperlink" Target="https://mednet.ru/" TargetMode="External"/><Relationship Id="rId1402" Type="http://schemas.openxmlformats.org/officeDocument/2006/relationships/hyperlink" Target="https://doi.org/10.1186/1471-2466-6-S1-S4" TargetMode="External"/><Relationship Id="rId190" Type="http://schemas.openxmlformats.org/officeDocument/2006/relationships/hyperlink" Target="https://doi.org/10.18093/0869-0189-2011-0-2-276-287" TargetMode="External"/><Relationship Id="rId288" Type="http://schemas.openxmlformats.org/officeDocument/2006/relationships/hyperlink" Target="https://cr.minzdrav.gov.ru/schema/735_1" TargetMode="External"/><Relationship Id="rId495" Type="http://schemas.openxmlformats.org/officeDocument/2006/relationships/hyperlink" Target="https://cyberleninka.ru/article/n/bronhomotornye-testy-v-klinicheskoy-diagnostike-bronhialnoy-astmy" TargetMode="External"/><Relationship Id="rId148" Type="http://schemas.openxmlformats.org/officeDocument/2006/relationships/hyperlink" Target="https://doi.org/10.1183/13993003.01585-2021" TargetMode="External"/><Relationship Id="rId355" Type="http://schemas.openxmlformats.org/officeDocument/2006/relationships/hyperlink" Target="https://doi.org/10.1530/EJE-16-0653" TargetMode="External"/><Relationship Id="rId562" Type="http://schemas.openxmlformats.org/officeDocument/2006/relationships/hyperlink" Target="https://doi.org/10.1097/ACI.0000000000000726" TargetMode="External"/><Relationship Id="rId1192" Type="http://schemas.openxmlformats.org/officeDocument/2006/relationships/hyperlink" Target="https://doi.org/10.1002/PPUL.24329" TargetMode="External"/><Relationship Id="rId215" Type="http://schemas.openxmlformats.org/officeDocument/2006/relationships/hyperlink" Target="https://doi.org/10.1016/S2213-2600(15)00367-7" TargetMode="External"/><Relationship Id="rId422" Type="http://schemas.openxmlformats.org/officeDocument/2006/relationships/hyperlink" Target="https://doi.org/10.1164/RCCM.201908-1590ST" TargetMode="External"/><Relationship Id="rId867" Type="http://schemas.openxmlformats.org/officeDocument/2006/relationships/hyperlink" Target="https://doi.org/10.1186/S12931-019-1065-3" TargetMode="External"/><Relationship Id="rId1052" Type="http://schemas.openxmlformats.org/officeDocument/2006/relationships/hyperlink" Target="https://doi.org/10.2165/00063030-200014040-00004" TargetMode="External"/><Relationship Id="rId1497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727" Type="http://schemas.openxmlformats.org/officeDocument/2006/relationships/hyperlink" Target="https://doi.org/10.1002/14651858.CD011032" TargetMode="External"/><Relationship Id="rId934" Type="http://schemas.openxmlformats.org/officeDocument/2006/relationships/hyperlink" Target="https://doi.org/10.3233/HAB-2009-0198" TargetMode="External"/><Relationship Id="rId1357" Type="http://schemas.openxmlformats.org/officeDocument/2006/relationships/hyperlink" Target="https://doi.org/10.1016/S0029-7844(98)00191-4" TargetMode="External"/><Relationship Id="rId63" Type="http://schemas.openxmlformats.org/officeDocument/2006/relationships/hyperlink" Target="https://doi.org/10.1164/RCCM.200906-0896OC" TargetMode="External"/><Relationship Id="rId159" Type="http://schemas.openxmlformats.org/officeDocument/2006/relationships/hyperlink" Target="https://doi.org/10.15690/pf.v14i6.1828" TargetMode="External"/><Relationship Id="rId366" Type="http://schemas.openxmlformats.org/officeDocument/2006/relationships/hyperlink" Target="https://doi.org/10.4103/0970-2113.168139" TargetMode="External"/><Relationship Id="rId573" Type="http://schemas.openxmlformats.org/officeDocument/2006/relationships/hyperlink" Target="https://doi.org/10.1111/ALL.12127" TargetMode="External"/><Relationship Id="rId780" Type="http://schemas.openxmlformats.org/officeDocument/2006/relationships/hyperlink" Target="https://doi.org/10.1542/PEDS.2008-2867" TargetMode="External"/><Relationship Id="rId1217" Type="http://schemas.openxmlformats.org/officeDocument/2006/relationships/hyperlink" Target="https://doi.org/10.1080/17476348.2019.1651647" TargetMode="External"/><Relationship Id="rId1424" Type="http://schemas.openxmlformats.org/officeDocument/2006/relationships/hyperlink" Target="https://doi.org/10.1111/RESP.13528" TargetMode="External"/><Relationship Id="rId226" Type="http://schemas.openxmlformats.org/officeDocument/2006/relationships/hyperlink" Target="https://doi.org/10.1111/ALL.14170" TargetMode="External"/><Relationship Id="rId433" Type="http://schemas.openxmlformats.org/officeDocument/2006/relationships/hyperlink" Target="https://doi.org/10.1183/13993003.04173-2020" TargetMode="External"/><Relationship Id="rId878" Type="http://schemas.openxmlformats.org/officeDocument/2006/relationships/hyperlink" Target="https://doi.org/10.1016/S0140-6736(16)30307-5" TargetMode="External"/><Relationship Id="rId1063" Type="http://schemas.openxmlformats.org/officeDocument/2006/relationships/hyperlink" Target="https://doi.org/10.1016/S1081-1206(10)61758-9" TargetMode="External"/><Relationship Id="rId1270" Type="http://schemas.openxmlformats.org/officeDocument/2006/relationships/hyperlink" Target="https://doi.org/10.1016/J.JAIP.2019.09.002" TargetMode="External"/><Relationship Id="rId640" Type="http://schemas.openxmlformats.org/officeDocument/2006/relationships/hyperlink" Target="https://doi.org/10.1056/NEJMOA1901963" TargetMode="External"/><Relationship Id="rId738" Type="http://schemas.openxmlformats.org/officeDocument/2006/relationships/hyperlink" Target="https://doi.org/10.2500/AAP.2014.35.3745" TargetMode="External"/><Relationship Id="rId945" Type="http://schemas.openxmlformats.org/officeDocument/2006/relationships/hyperlink" Target="https://doi.org/10.1016/J.JACI.2018.08.022" TargetMode="External"/><Relationship Id="rId1368" Type="http://schemas.openxmlformats.org/officeDocument/2006/relationships/hyperlink" Target="https://dissercat.com/content/osobennosti-techeniya-i-lecheniya-bronkhialnoi-astmy-v-period-beremennosti-0" TargetMode="External"/><Relationship Id="rId74" Type="http://schemas.openxmlformats.org/officeDocument/2006/relationships/hyperlink" Target="https://doi.org/10.1183/09031936.00202013" TargetMode="External"/><Relationship Id="rId377" Type="http://schemas.openxmlformats.org/officeDocument/2006/relationships/hyperlink" Target="https://spulmo.ru/upload/kr/Spirometria_2023.pdf?t=1" TargetMode="External"/><Relationship Id="rId500" Type="http://schemas.openxmlformats.org/officeDocument/2006/relationships/hyperlink" Target="https://doi.org/10.1183/13993003.01526-2016" TargetMode="External"/><Relationship Id="rId584" Type="http://schemas.openxmlformats.org/officeDocument/2006/relationships/hyperlink" Target="https://doi.org/10.1111/J.1398-9995.2011.02728.X" TargetMode="External"/><Relationship Id="rId805" Type="http://schemas.openxmlformats.org/officeDocument/2006/relationships/hyperlink" Target="https://doi.org/10.1080/03007995.2021.1944849" TargetMode="External"/><Relationship Id="rId1130" Type="http://schemas.openxmlformats.org/officeDocument/2006/relationships/hyperlink" Target="https://doi.org/10.1016/B978-008055232-3.61213-9" TargetMode="External"/><Relationship Id="rId1228" Type="http://schemas.openxmlformats.org/officeDocument/2006/relationships/hyperlink" Target="https://raaci.ru/education/clinic_recomendations/103.html" TargetMode="External"/><Relationship Id="rId1435" Type="http://schemas.openxmlformats.org/officeDocument/2006/relationships/hyperlink" Target="https://www.spr-journal.ru/757/" TargetMode="External"/><Relationship Id="rId5" Type="http://schemas.openxmlformats.org/officeDocument/2006/relationships/footnotes" Target="footnotes.xml"/><Relationship Id="rId237" Type="http://schemas.openxmlformats.org/officeDocument/2006/relationships/hyperlink" Target="https://doi.org/10.1016/S2213-2600(15)00050-8" TargetMode="External"/><Relationship Id="rId791" Type="http://schemas.openxmlformats.org/officeDocument/2006/relationships/hyperlink" Target="https://doi.org/10.1016/S2213-2600(20)30190-9" TargetMode="External"/><Relationship Id="rId889" Type="http://schemas.openxmlformats.org/officeDocument/2006/relationships/hyperlink" Target="https://doi.org/10.1111/all.14221" TargetMode="External"/><Relationship Id="rId1074" Type="http://schemas.openxmlformats.org/officeDocument/2006/relationships/hyperlink" Target="https://doi.org/10.1067/MAI.2000.104784" TargetMode="External"/><Relationship Id="rId444" Type="http://schemas.openxmlformats.org/officeDocument/2006/relationships/hyperlink" Target="https://doi.org/10.1016/S0140-6736(98)06128-5" TargetMode="External"/><Relationship Id="rId651" Type="http://schemas.openxmlformats.org/officeDocument/2006/relationships/hyperlink" Target="https://doi.org/10.1016/S0091-6749(96)70282-8" TargetMode="External"/><Relationship Id="rId749" Type="http://schemas.openxmlformats.org/officeDocument/2006/relationships/hyperlink" Target="https://doi.org/10.1016/J.JACI.2007.08.063" TargetMode="External"/><Relationship Id="rId1281" Type="http://schemas.openxmlformats.org/officeDocument/2006/relationships/hyperlink" Target="https://doi.org/10.1136/BMJOPEN-2018-026742" TargetMode="External"/><Relationship Id="rId1379" Type="http://schemas.openxmlformats.org/officeDocument/2006/relationships/hyperlink" Target="https://dissercat.com/content/osobennosti-techeniya-i-lecheniya-bronkhialnoi-astmy-v-period-beremennosti-0" TargetMode="External"/><Relationship Id="rId1502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90" Type="http://schemas.openxmlformats.org/officeDocument/2006/relationships/hyperlink" Target="https://cr.minzdrav.gov.ru/schema/735_1" TargetMode="External"/><Relationship Id="rId304" Type="http://schemas.openxmlformats.org/officeDocument/2006/relationships/hyperlink" Target="https://doi.org/10.18093/0869-0189-2017-27-3-311-319" TargetMode="External"/><Relationship Id="rId388" Type="http://schemas.openxmlformats.org/officeDocument/2006/relationships/hyperlink" Target="https://doi.org/10.18093/08690189-2023-33-3-307-340" TargetMode="External"/><Relationship Id="rId511" Type="http://schemas.openxmlformats.org/officeDocument/2006/relationships/hyperlink" Target="https://doi.org/10.1016/0954-6111(95)90249-X" TargetMode="External"/><Relationship Id="rId609" Type="http://schemas.openxmlformats.org/officeDocument/2006/relationships/hyperlink" Target="https://doi.org/10.1371/journal.pone.0294416" TargetMode="External"/><Relationship Id="rId956" Type="http://schemas.openxmlformats.org/officeDocument/2006/relationships/hyperlink" Target="https://doi.org/10.1183/13993003.01381-2019" TargetMode="External"/><Relationship Id="rId1141" Type="http://schemas.openxmlformats.org/officeDocument/2006/relationships/hyperlink" Target="https://doi.org/10.1136/BMJRESP-2022-001502" TargetMode="External"/><Relationship Id="rId1239" Type="http://schemas.openxmlformats.org/officeDocument/2006/relationships/hyperlink" Target="https://raaci.ru/education/clinic_recomendations/103.html" TargetMode="External"/><Relationship Id="rId85" Type="http://schemas.openxmlformats.org/officeDocument/2006/relationships/hyperlink" Target="https://doi.org/10.1016/J.JACI.2019.06.040" TargetMode="External"/><Relationship Id="rId150" Type="http://schemas.openxmlformats.org/officeDocument/2006/relationships/hyperlink" Target="https://doi.org/10.1183/13993003.01585-2021" TargetMode="External"/><Relationship Id="rId595" Type="http://schemas.openxmlformats.org/officeDocument/2006/relationships/hyperlink" Target="https://doi.org/10.1164/ajrccm.158.3.9707093" TargetMode="External"/><Relationship Id="rId816" Type="http://schemas.openxmlformats.org/officeDocument/2006/relationships/hyperlink" Target="https://doi.org/10.1016/S2213-2600(20)30178-8" TargetMode="External"/><Relationship Id="rId1001" Type="http://schemas.openxmlformats.org/officeDocument/2006/relationships/hyperlink" Target="https://doi.org/10.18093/0869-0189-2006-4-58-67" TargetMode="External"/><Relationship Id="rId1446" Type="http://schemas.openxmlformats.org/officeDocument/2006/relationships/hyperlink" Target="https://doi.org/10.1183/09031936.00128505" TargetMode="External"/><Relationship Id="rId248" Type="http://schemas.openxmlformats.org/officeDocument/2006/relationships/hyperlink" Target="https://doi.org/10.1038/S41598-023-48381-1" TargetMode="External"/><Relationship Id="rId455" Type="http://schemas.openxmlformats.org/officeDocument/2006/relationships/hyperlink" Target="https://doi.org/10.1136/THORAXJNL-2011-201445" TargetMode="External"/><Relationship Id="rId662" Type="http://schemas.openxmlformats.org/officeDocument/2006/relationships/hyperlink" Target="https://doi.org/10.1016/S2213-2600(21)00536-1" TargetMode="External"/><Relationship Id="rId1085" Type="http://schemas.openxmlformats.org/officeDocument/2006/relationships/hyperlink" Target="https://doi.org/10.3109/02770909809048967" TargetMode="External"/><Relationship Id="rId1292" Type="http://schemas.openxmlformats.org/officeDocument/2006/relationships/hyperlink" Target="https://doi.org/10.31550/1727-2378-2020-19-11-38-41" TargetMode="External"/><Relationship Id="rId1306" Type="http://schemas.openxmlformats.org/officeDocument/2006/relationships/hyperlink" Target="https://doi.org/10.1186/s40001-023-01634-1" TargetMode="External"/><Relationship Id="rId1513" Type="http://schemas.openxmlformats.org/officeDocument/2006/relationships/hyperlink" Target="https://ginasthma.org/wp-content/uploads/2023/07/GINA-2023-Full-report-23_07_06-WMS.pdf" TargetMode="External"/><Relationship Id="rId12" Type="http://schemas.openxmlformats.org/officeDocument/2006/relationships/image" Target="media/image3.jpg"/><Relationship Id="rId108" Type="http://schemas.openxmlformats.org/officeDocument/2006/relationships/hyperlink" Target="https://doi.org/10.18093/0869-0189-2008-0-2-15-19" TargetMode="External"/><Relationship Id="rId315" Type="http://schemas.openxmlformats.org/officeDocument/2006/relationships/hyperlink" Target="https://www.rmj.ru/articles/bolezni_dykhatelnykh_putey/Infekcionnye_zabolevaniya_dyhatelynogo_trakta_u_bolynyh_s_bronhialynoy_astmoy/" TargetMode="External"/><Relationship Id="rId522" Type="http://schemas.openxmlformats.org/officeDocument/2006/relationships/hyperlink" Target="https://doi.org/10.1016/S0196-0644(82)80298-9" TargetMode="External"/><Relationship Id="rId967" Type="http://schemas.openxmlformats.org/officeDocument/2006/relationships/hyperlink" Target="https://doi.org/10.1136/thoraxjnl-2012-202698" TargetMode="External"/><Relationship Id="rId1152" Type="http://schemas.openxmlformats.org/officeDocument/2006/relationships/hyperlink" Target="https://doi.org/10.1371/JOURNAL.PONE.0267445" TargetMode="External"/><Relationship Id="rId96" Type="http://schemas.openxmlformats.org/officeDocument/2006/relationships/hyperlink" Target="https://doi.org/10.18093/0869-0189-2008-0-2-15-19" TargetMode="External"/><Relationship Id="rId161" Type="http://schemas.openxmlformats.org/officeDocument/2006/relationships/hyperlink" Target="https://doi.org/10.1164/RCCM.200801-060ST" TargetMode="External"/><Relationship Id="rId399" Type="http://schemas.openxmlformats.org/officeDocument/2006/relationships/hyperlink" Target="https://doi.org/10.18093/08690189-2023-33-3-307-340" TargetMode="External"/><Relationship Id="rId827" Type="http://schemas.openxmlformats.org/officeDocument/2006/relationships/hyperlink" Target="https://doi.org/10.1111/pai.12759" TargetMode="External"/><Relationship Id="rId1012" Type="http://schemas.openxmlformats.org/officeDocument/2006/relationships/hyperlink" Target="https://cyberleninka.ru/article/n/nebulayzernaya-terapiya-suspenziey-pulmikorta-pri-tyazheloy-bronhialnoy-astme" TargetMode="External"/><Relationship Id="rId1457" Type="http://schemas.openxmlformats.org/officeDocument/2006/relationships/hyperlink" Target="https://doi.org/10.1136/THORAX.2003.011858" TargetMode="External"/><Relationship Id="rId259" Type="http://schemas.openxmlformats.org/officeDocument/2006/relationships/hyperlink" Target="https://doi.org/10.1016/S0091-6749(99)70402-1" TargetMode="External"/><Relationship Id="rId466" Type="http://schemas.openxmlformats.org/officeDocument/2006/relationships/hyperlink" Target="https://doi.org/10.1183/13993003.01033-2018" TargetMode="External"/><Relationship Id="rId673" Type="http://schemas.openxmlformats.org/officeDocument/2006/relationships/hyperlink" Target="https://doi.org/10.1007/s12325-022-02092-7" TargetMode="External"/><Relationship Id="rId880" Type="http://schemas.openxmlformats.org/officeDocument/2006/relationships/hyperlink" Target="https://doi.org/10.1016/S0140-6736(16)30307-5" TargetMode="External"/><Relationship Id="rId1096" Type="http://schemas.openxmlformats.org/officeDocument/2006/relationships/hyperlink" Target="https://doi.org/10.3389/fimmu.2023.1310211" TargetMode="External"/><Relationship Id="rId1317" Type="http://schemas.openxmlformats.org/officeDocument/2006/relationships/hyperlink" Target="https://doi.org/10.4103/0973-6131.213472" TargetMode="External"/><Relationship Id="rId1524" Type="http://schemas.openxmlformats.org/officeDocument/2006/relationships/image" Target="media/image14.jpg"/><Relationship Id="rId23" Type="http://schemas.openxmlformats.org/officeDocument/2006/relationships/hyperlink" Target="https://doi.org/10.1164/RCCM.200906-0896OC" TargetMode="External"/><Relationship Id="rId119" Type="http://schemas.openxmlformats.org/officeDocument/2006/relationships/hyperlink" Target="https://doi.org/10.18093/0869-0189-2005-0-2-57-62" TargetMode="External"/><Relationship Id="rId326" Type="http://schemas.openxmlformats.org/officeDocument/2006/relationships/hyperlink" Target="https://www.rmj.ru/articles/bolezni_dykhatelnykh_putey/Infekcionnye_zabolevaniya_dyhatelynogo_trakta_u_bolynyh_s_bronhialynoy_astmoy/" TargetMode="External"/><Relationship Id="rId533" Type="http://schemas.openxmlformats.org/officeDocument/2006/relationships/hyperlink" Target="https://doi.org/10.1136/THX.2004.023077" TargetMode="External"/><Relationship Id="rId978" Type="http://schemas.openxmlformats.org/officeDocument/2006/relationships/hyperlink" Target="https://doi.org/10.5863/1551-6776-18.2.88" TargetMode="External"/><Relationship Id="rId1163" Type="http://schemas.openxmlformats.org/officeDocument/2006/relationships/hyperlink" Target="https://doi.org/10.1136/THX.2008.103432" TargetMode="External"/><Relationship Id="rId1370" Type="http://schemas.openxmlformats.org/officeDocument/2006/relationships/hyperlink" Target="https://dissercat.com/content/osobennosti-techeniya-i-lecheniya-bronkhialnoi-astmy-v-period-beremennosti-0" TargetMode="External"/><Relationship Id="rId740" Type="http://schemas.openxmlformats.org/officeDocument/2006/relationships/hyperlink" Target="https://doi.org/10.1183/16000617.0124-2023" TargetMode="External"/><Relationship Id="rId838" Type="http://schemas.openxmlformats.org/officeDocument/2006/relationships/hyperlink" Target="https://doi.org/10.1136/THORAX.58.3.204" TargetMode="External"/><Relationship Id="rId1023" Type="http://schemas.openxmlformats.org/officeDocument/2006/relationships/hyperlink" Target="https://doi.org/10.1016/j.rmed.2006.10.009" TargetMode="External"/><Relationship Id="rId1468" Type="http://schemas.openxmlformats.org/officeDocument/2006/relationships/hyperlink" Target="https://doi.org/10.1016/J.JACI.2007.02.037" TargetMode="External"/><Relationship Id="rId172" Type="http://schemas.openxmlformats.org/officeDocument/2006/relationships/hyperlink" Target="https://doi.org/10.18093/0869-0189-2011-0-2-276-287" TargetMode="External"/><Relationship Id="rId477" Type="http://schemas.openxmlformats.org/officeDocument/2006/relationships/hyperlink" Target="https://doi.org/10.1164/AJRCCM.161.1.ATS11-99" TargetMode="External"/><Relationship Id="rId600" Type="http://schemas.openxmlformats.org/officeDocument/2006/relationships/hyperlink" Target="https://doi.org/10.1513/ANNALSATS.201711-886OC" TargetMode="External"/><Relationship Id="rId684" Type="http://schemas.openxmlformats.org/officeDocument/2006/relationships/hyperlink" Target="https://doi.org/10.1016/S0140-6736(10)62145-9" TargetMode="External"/><Relationship Id="rId1230" Type="http://schemas.openxmlformats.org/officeDocument/2006/relationships/hyperlink" Target="https://raaci.ru/education/clinic_recomendations/103.html" TargetMode="External"/><Relationship Id="rId1328" Type="http://schemas.openxmlformats.org/officeDocument/2006/relationships/hyperlink" Target="https://cyberleninka.ru/article/n/bronhialnaya-astma-i-beremennost-4" TargetMode="External"/><Relationship Id="rId1535" Type="http://schemas.openxmlformats.org/officeDocument/2006/relationships/footer" Target="footer7.xml"/><Relationship Id="rId337" Type="http://schemas.openxmlformats.org/officeDocument/2006/relationships/hyperlink" Target="https://www.rmj.ru/articles/bolezni_dykhatelnykh_putey/Infekcionnye_zabolevaniya_dyhatelynogo_trakta_u_bolynyh_s_bronhialynoy_astmoy/" TargetMode="External"/><Relationship Id="rId891" Type="http://schemas.openxmlformats.org/officeDocument/2006/relationships/hyperlink" Target="https://doi.org/10.1002/14651858.CD010834.pub4" TargetMode="External"/><Relationship Id="rId905" Type="http://schemas.openxmlformats.org/officeDocument/2006/relationships/hyperlink" Target="https://doi.org/10.1080/20018525.2018.1536097" TargetMode="External"/><Relationship Id="rId989" Type="http://schemas.openxmlformats.org/officeDocument/2006/relationships/hyperlink" Target="https://doi.org/10.1186/1465-9921-8-19/FIGURES/2_557" TargetMode="External"/><Relationship Id="rId34" Type="http://schemas.openxmlformats.org/officeDocument/2006/relationships/hyperlink" Target="https://doi.org/10.2147/COPD.S67283" TargetMode="External"/><Relationship Id="rId544" Type="http://schemas.openxmlformats.org/officeDocument/2006/relationships/hyperlink" Target="https://cyberleninka.ru/article/n/osobennosti-issledovaniya-funktsii-vneshnego-dyhaniya-u-detey-i-podrostkov" TargetMode="External"/><Relationship Id="rId751" Type="http://schemas.openxmlformats.org/officeDocument/2006/relationships/hyperlink" Target="https://doi.org/10.1016/J.JACI.2016.09.028" TargetMode="External"/><Relationship Id="rId849" Type="http://schemas.openxmlformats.org/officeDocument/2006/relationships/hyperlink" Target="https://doi.org/10.1016/0954-6111(95)90154-X" TargetMode="External"/><Relationship Id="rId1174" Type="http://schemas.openxmlformats.org/officeDocument/2006/relationships/hyperlink" Target="https://doi.org/10.1136/THX.2010.155259" TargetMode="External"/><Relationship Id="rId1381" Type="http://schemas.openxmlformats.org/officeDocument/2006/relationships/hyperlink" Target="https://dissercat.com/content/osobennosti-techeniya-i-lecheniya-bronkhialnoi-astmy-v-period-beremennosti-0" TargetMode="External"/><Relationship Id="rId1479" Type="http://schemas.openxmlformats.org/officeDocument/2006/relationships/hyperlink" Target="https://doi.org/10.1016/J.JACI.2006.01.011" TargetMode="External"/><Relationship Id="rId183" Type="http://schemas.openxmlformats.org/officeDocument/2006/relationships/hyperlink" Target="https://doi.org/10.18093/0869-0189-2011-0-2-276-287" TargetMode="External"/><Relationship Id="rId390" Type="http://schemas.openxmlformats.org/officeDocument/2006/relationships/hyperlink" Target="https://doi.org/10.18093/08690189-2023-33-3-307-340" TargetMode="External"/><Relationship Id="rId404" Type="http://schemas.openxmlformats.org/officeDocument/2006/relationships/hyperlink" Target="https://doi.org/10.18093/0869-0189-2014-0-6-11-24" TargetMode="External"/><Relationship Id="rId611" Type="http://schemas.openxmlformats.org/officeDocument/2006/relationships/hyperlink" Target="https://doi.org/10.1186/s12890-023-02570-w" TargetMode="External"/><Relationship Id="rId1034" Type="http://schemas.openxmlformats.org/officeDocument/2006/relationships/hyperlink" Target="https://pubmed.ncbi.nlm.nih.gov/16924568/" TargetMode="External"/><Relationship Id="rId1241" Type="http://schemas.openxmlformats.org/officeDocument/2006/relationships/hyperlink" Target="https://doi.org/10.1111/J.1398-9995.2010.02474.X" TargetMode="External"/><Relationship Id="rId1339" Type="http://schemas.openxmlformats.org/officeDocument/2006/relationships/hyperlink" Target="https://cyberleninka.ru/article/n/bronhialnaya-astma-i-beremennost-4" TargetMode="External"/><Relationship Id="rId250" Type="http://schemas.openxmlformats.org/officeDocument/2006/relationships/hyperlink" Target="https://doi.org/10.1038/S41598-023-48381-1" TargetMode="External"/><Relationship Id="rId488" Type="http://schemas.openxmlformats.org/officeDocument/2006/relationships/hyperlink" Target="https://cyberleninka.ru/article/n/bronhomotornye-testy-v-klinicheskoy-diagnostike-bronhialnoy-astmy" TargetMode="External"/><Relationship Id="rId695" Type="http://schemas.openxmlformats.org/officeDocument/2006/relationships/hyperlink" Target="https://doi.org/10.1007/S12325-022-02092-7" TargetMode="External"/><Relationship Id="rId709" Type="http://schemas.openxmlformats.org/officeDocument/2006/relationships/hyperlink" Target="https://doi.org/10.1007/S12325-022-02092-7" TargetMode="External"/><Relationship Id="rId916" Type="http://schemas.openxmlformats.org/officeDocument/2006/relationships/hyperlink" Target="https://doi.org/10.1055/S-0031-1300502" TargetMode="External"/><Relationship Id="rId1101" Type="http://schemas.openxmlformats.org/officeDocument/2006/relationships/hyperlink" Target="https://doi.org/10.1111/J.1445-5994.2010.02192.X" TargetMode="External"/><Relationship Id="rId45" Type="http://schemas.openxmlformats.org/officeDocument/2006/relationships/hyperlink" Target="https://doi.org/10.1016/S0002-9343(02)01242-1" TargetMode="External"/><Relationship Id="rId110" Type="http://schemas.openxmlformats.org/officeDocument/2006/relationships/hyperlink" Target="https://doi.org/10.18093/0869-0189-2008-0-2-15-19" TargetMode="External"/><Relationship Id="rId348" Type="http://schemas.openxmlformats.org/officeDocument/2006/relationships/hyperlink" Target="https://doi.org/10.1159/000365892" TargetMode="External"/><Relationship Id="rId555" Type="http://schemas.openxmlformats.org/officeDocument/2006/relationships/hyperlink" Target="https://doi.org/10.1111/J.1440-1843.2009.01605.X" TargetMode="External"/><Relationship Id="rId762" Type="http://schemas.openxmlformats.org/officeDocument/2006/relationships/hyperlink" Target="https://doi.org/10.1002/14651858.cd005533" TargetMode="External"/><Relationship Id="rId1185" Type="http://schemas.openxmlformats.org/officeDocument/2006/relationships/hyperlink" Target="https://doi.org/10.1016/S0002-9343(03)00241-9" TargetMode="External"/><Relationship Id="rId1392" Type="http://schemas.openxmlformats.org/officeDocument/2006/relationships/hyperlink" Target="https://doi.org/10.1024/0040-5930/A000516" TargetMode="External"/><Relationship Id="rId1406" Type="http://schemas.openxmlformats.org/officeDocument/2006/relationships/hyperlink" Target="https://doi.org/10.1002/ALR.22073" TargetMode="External"/><Relationship Id="rId194" Type="http://schemas.openxmlformats.org/officeDocument/2006/relationships/hyperlink" Target="https://doi.org/10.1111/J.1398-9995.2012.02865.X" TargetMode="External"/><Relationship Id="rId208" Type="http://schemas.openxmlformats.org/officeDocument/2006/relationships/hyperlink" Target="https://doi.org/10.1016/J.RMED.2019.105806" TargetMode="External"/><Relationship Id="rId415" Type="http://schemas.openxmlformats.org/officeDocument/2006/relationships/hyperlink" Target="https://doi.org/10.18093/0869-0189-2014-0-6-11-24" TargetMode="External"/><Relationship Id="rId622" Type="http://schemas.openxmlformats.org/officeDocument/2006/relationships/hyperlink" Target="https://doi.org/10.1183/16000617.0039-2022" TargetMode="External"/><Relationship Id="rId1045" Type="http://schemas.openxmlformats.org/officeDocument/2006/relationships/hyperlink" Target="https://doi.org/10.1016/J.JAIP.2020.01.042" TargetMode="External"/><Relationship Id="rId1252" Type="http://schemas.openxmlformats.org/officeDocument/2006/relationships/hyperlink" Target="https://doi.org/10.1186/1939-4551-7-6" TargetMode="External"/><Relationship Id="rId261" Type="http://schemas.openxmlformats.org/officeDocument/2006/relationships/hyperlink" Target="https://doi.org/10.1016/S0091-6749(99)70402-1" TargetMode="External"/><Relationship Id="rId499" Type="http://schemas.openxmlformats.org/officeDocument/2006/relationships/hyperlink" Target="https://doi.org/10.1183/13993003.01526-2016" TargetMode="External"/><Relationship Id="rId927" Type="http://schemas.openxmlformats.org/officeDocument/2006/relationships/hyperlink" Target="https://doi.org/10.1016/S2213-2600(15)00042-9" TargetMode="External"/><Relationship Id="rId1112" Type="http://schemas.openxmlformats.org/officeDocument/2006/relationships/hyperlink" Target="https://doi.org/10.1002/14651858.CD003898.PUB6" TargetMode="External"/><Relationship Id="rId56" Type="http://schemas.openxmlformats.org/officeDocument/2006/relationships/hyperlink" Target="https://doi.org/10.1164/RCCM.200601-007OC" TargetMode="External"/><Relationship Id="rId359" Type="http://schemas.openxmlformats.org/officeDocument/2006/relationships/hyperlink" Target="https://doi.org/10.1530/EJE-16-0653" TargetMode="External"/><Relationship Id="rId566" Type="http://schemas.openxmlformats.org/officeDocument/2006/relationships/hyperlink" Target="https://doi.org/10.1186/S40733-018-0045-6" TargetMode="External"/><Relationship Id="rId773" Type="http://schemas.openxmlformats.org/officeDocument/2006/relationships/hyperlink" Target="https://doi.org/10.1186/S40733-016-0020-Z" TargetMode="External"/><Relationship Id="rId1196" Type="http://schemas.openxmlformats.org/officeDocument/2006/relationships/hyperlink" Target="https://doi.org/10.1097/00003246-199311000-00023" TargetMode="External"/><Relationship Id="rId1417" Type="http://schemas.openxmlformats.org/officeDocument/2006/relationships/hyperlink" Target="https://doi.org/10.1016/J.JAIP.2023.10.013" TargetMode="External"/><Relationship Id="rId121" Type="http://schemas.openxmlformats.org/officeDocument/2006/relationships/hyperlink" Target="https://doi.org/10.18093/0869-0189-2005-0-2-57-62" TargetMode="External"/><Relationship Id="rId219" Type="http://schemas.openxmlformats.org/officeDocument/2006/relationships/hyperlink" Target="https://doi.org/10.1016/S2213-2600(15)00367-7" TargetMode="External"/><Relationship Id="rId426" Type="http://schemas.openxmlformats.org/officeDocument/2006/relationships/hyperlink" Target="https://doi.org/10.1016/J.JAIP.2022.10.031" TargetMode="External"/><Relationship Id="rId633" Type="http://schemas.openxmlformats.org/officeDocument/2006/relationships/hyperlink" Target="https://doi.org/10.1007/s12325-022-02410-z" TargetMode="External"/><Relationship Id="rId980" Type="http://schemas.openxmlformats.org/officeDocument/2006/relationships/hyperlink" Target="https://doi.org/10.1002/14651858.CD000052.PUB3" TargetMode="External"/><Relationship Id="rId1056" Type="http://schemas.openxmlformats.org/officeDocument/2006/relationships/hyperlink" Target="https://doi.org/10.1164/AJRCCM.165.5.2109093" TargetMode="External"/><Relationship Id="rId1263" Type="http://schemas.openxmlformats.org/officeDocument/2006/relationships/hyperlink" Target="https://doi.org/10.1001/jama.2016.3964" TargetMode="External"/><Relationship Id="rId840" Type="http://schemas.openxmlformats.org/officeDocument/2006/relationships/hyperlink" Target="https://doi.org/10.1164/AJRCCM.155.4.9105060" TargetMode="External"/><Relationship Id="rId938" Type="http://schemas.openxmlformats.org/officeDocument/2006/relationships/hyperlink" Target="https://doi.org/10.1016/S0140-6736(19)31881-1" TargetMode="External"/><Relationship Id="rId1470" Type="http://schemas.openxmlformats.org/officeDocument/2006/relationships/hyperlink" Target="https://doi.org/10.1371/JOURNAL.PONE.0133428" TargetMode="External"/><Relationship Id="rId67" Type="http://schemas.openxmlformats.org/officeDocument/2006/relationships/hyperlink" Target="https://doi.org/10.1136/THX.54.3.268" TargetMode="External"/><Relationship Id="rId272" Type="http://schemas.openxmlformats.org/officeDocument/2006/relationships/hyperlink" Target="https://doi.org/10.1111/CEA.12774" TargetMode="External"/><Relationship Id="rId577" Type="http://schemas.openxmlformats.org/officeDocument/2006/relationships/hyperlink" Target="https://doi.org/10.1378/CHEST.100.1.14" TargetMode="External"/><Relationship Id="rId700" Type="http://schemas.openxmlformats.org/officeDocument/2006/relationships/hyperlink" Target="https://doi.org/10.1007/S12325-022-02092-7" TargetMode="External"/><Relationship Id="rId1123" Type="http://schemas.openxmlformats.org/officeDocument/2006/relationships/hyperlink" Target="https://doi.org/10.1016/S2213-2600(13)70070-5" TargetMode="External"/><Relationship Id="rId1330" Type="http://schemas.openxmlformats.org/officeDocument/2006/relationships/hyperlink" Target="https://cyberleninka.ru/article/n/bronhialnaya-astma-i-beremennost-4" TargetMode="External"/><Relationship Id="rId1428" Type="http://schemas.openxmlformats.org/officeDocument/2006/relationships/hyperlink" Target="https://doi.org/10.1111/RESP.13528" TargetMode="External"/><Relationship Id="rId132" Type="http://schemas.openxmlformats.org/officeDocument/2006/relationships/hyperlink" Target="https://cyberleninka.ru/article/n/osobennosti-techeniya-bronhialnoy-astmy-u-podrostkov-i-yunoshey-prizyvnogo-vozrasta" TargetMode="External"/><Relationship Id="rId784" Type="http://schemas.openxmlformats.org/officeDocument/2006/relationships/hyperlink" Target="https://doi.org/10.1111/PAI.13010" TargetMode="External"/><Relationship Id="rId991" Type="http://schemas.openxmlformats.org/officeDocument/2006/relationships/hyperlink" Target="https://doi.org/10.18093/0869-0189-2006-4-58-67" TargetMode="External"/><Relationship Id="rId1067" Type="http://schemas.openxmlformats.org/officeDocument/2006/relationships/hyperlink" Target="https://doi.org/10.1016/S1081-1206(10)61758-9" TargetMode="External"/><Relationship Id="rId437" Type="http://schemas.openxmlformats.org/officeDocument/2006/relationships/hyperlink" Target="https://doi.org/10.1183/13993003.04173-2020" TargetMode="External"/><Relationship Id="rId644" Type="http://schemas.openxmlformats.org/officeDocument/2006/relationships/hyperlink" Target="https://doi.org/10.1183/23120541.00701-2020" TargetMode="External"/><Relationship Id="rId851" Type="http://schemas.openxmlformats.org/officeDocument/2006/relationships/hyperlink" Target="https://doi.org/10.1016/0954-6111(95)90154-X" TargetMode="External"/><Relationship Id="rId1274" Type="http://schemas.openxmlformats.org/officeDocument/2006/relationships/hyperlink" Target="https://doi.org/10.1080/02770903.2019.1678636" TargetMode="External"/><Relationship Id="rId1481" Type="http://schemas.openxmlformats.org/officeDocument/2006/relationships/hyperlink" Target="https://www.researchgate.net/publication/5778277_Validity_of_the_Asthma_Control_Test_completed_at_home" TargetMode="External"/><Relationship Id="rId283" Type="http://schemas.openxmlformats.org/officeDocument/2006/relationships/hyperlink" Target="https://doi.org/10.1001/JAMAPEDIATRICS.2015.4127" TargetMode="External"/><Relationship Id="rId490" Type="http://schemas.openxmlformats.org/officeDocument/2006/relationships/hyperlink" Target="https://cyberleninka.ru/article/n/bronhomotornye-testy-v-klinicheskoy-diagnostike-bronhialnoy-astmy" TargetMode="External"/><Relationship Id="rId504" Type="http://schemas.openxmlformats.org/officeDocument/2006/relationships/hyperlink" Target="https://doi.org/10.1016/0091-6749(85)90032-6" TargetMode="External"/><Relationship Id="rId711" Type="http://schemas.openxmlformats.org/officeDocument/2006/relationships/hyperlink" Target="https://doi.org/10.1007/S12325-022-02092-7" TargetMode="External"/><Relationship Id="rId949" Type="http://schemas.openxmlformats.org/officeDocument/2006/relationships/hyperlink" Target="https://doi.org/10.1016/j.chest.2022.08.019" TargetMode="External"/><Relationship Id="rId1134" Type="http://schemas.openxmlformats.org/officeDocument/2006/relationships/hyperlink" Target="https://doi.org/10.1016/B978-008055232-3.61213-9" TargetMode="External"/><Relationship Id="rId1341" Type="http://schemas.openxmlformats.org/officeDocument/2006/relationships/hyperlink" Target="https://cyberleninka.ru/article/n/bronhialnaya-astma-i-beremennost-4" TargetMode="External"/><Relationship Id="rId78" Type="http://schemas.openxmlformats.org/officeDocument/2006/relationships/hyperlink" Target="http://www.ginasthma.org/" TargetMode="External"/><Relationship Id="rId143" Type="http://schemas.openxmlformats.org/officeDocument/2006/relationships/hyperlink" Target="https://cyberleninka.ru/article/n/osobennosti-techeniya-bronhialnoy-astmy-u-podrostkov-i-yunoshey-prizyvnogo-vozrasta" TargetMode="External"/><Relationship Id="rId350" Type="http://schemas.openxmlformats.org/officeDocument/2006/relationships/hyperlink" Target="https://doi.org/10.1530/EJE-16-0653" TargetMode="External"/><Relationship Id="rId588" Type="http://schemas.openxmlformats.org/officeDocument/2006/relationships/hyperlink" Target="https://doi.org/10.1183/09031936.00096111" TargetMode="External"/><Relationship Id="rId795" Type="http://schemas.openxmlformats.org/officeDocument/2006/relationships/hyperlink" Target="https://doi.org/10.1016/S0140-6736(19)32215-9" TargetMode="External"/><Relationship Id="rId809" Type="http://schemas.openxmlformats.org/officeDocument/2006/relationships/hyperlink" Target="https://doi.org/10.1016/j.rmed.2015.06.006" TargetMode="External"/><Relationship Id="rId1201" Type="http://schemas.openxmlformats.org/officeDocument/2006/relationships/hyperlink" Target="https://doi.org/10.1097/00003246-199311000-00023" TargetMode="External"/><Relationship Id="rId1439" Type="http://schemas.openxmlformats.org/officeDocument/2006/relationships/hyperlink" Target="https://doi.org/10.1016/J.JACI.2011.11.020" TargetMode="External"/><Relationship Id="rId9" Type="http://schemas.openxmlformats.org/officeDocument/2006/relationships/footer" Target="footer2.xml"/><Relationship Id="rId210" Type="http://schemas.openxmlformats.org/officeDocument/2006/relationships/hyperlink" Target="https://doi.org/10.23736/S0026-4946.18.05351-3" TargetMode="External"/><Relationship Id="rId448" Type="http://schemas.openxmlformats.org/officeDocument/2006/relationships/hyperlink" Target="https://doi.org/10.1016/S0140-6736(98)06128-5" TargetMode="External"/><Relationship Id="rId655" Type="http://schemas.openxmlformats.org/officeDocument/2006/relationships/hyperlink" Target="https://doi.org/10.1016/S0091-6749(96)70282-8" TargetMode="External"/><Relationship Id="rId862" Type="http://schemas.openxmlformats.org/officeDocument/2006/relationships/hyperlink" Target="https://doi.org/10.1002/14651858.CD003559.PUB4" TargetMode="External"/><Relationship Id="rId1078" Type="http://schemas.openxmlformats.org/officeDocument/2006/relationships/hyperlink" Target="https://doi.org/10.18203/2349-3291.IJCP20172542" TargetMode="External"/><Relationship Id="rId1285" Type="http://schemas.openxmlformats.org/officeDocument/2006/relationships/hyperlink" Target="https://doi.org/10.4103/LUNGINDIA.LUNGINDIA_418_19" TargetMode="External"/><Relationship Id="rId1492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1506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94" Type="http://schemas.openxmlformats.org/officeDocument/2006/relationships/hyperlink" Target="https://cr.minzdrav.gov.ru/schema/735_1" TargetMode="External"/><Relationship Id="rId308" Type="http://schemas.openxmlformats.org/officeDocument/2006/relationships/hyperlink" Target="https://doi.org/10.18093/0869-0189-2017-27-3-311-319" TargetMode="External"/><Relationship Id="rId515" Type="http://schemas.openxmlformats.org/officeDocument/2006/relationships/hyperlink" Target="https://doi.org/10.1016/0954-6111(95)90249-X" TargetMode="External"/><Relationship Id="rId722" Type="http://schemas.openxmlformats.org/officeDocument/2006/relationships/hyperlink" Target="https://doi.org/10.1186/1465-9921-12-38" TargetMode="External"/><Relationship Id="rId1145" Type="http://schemas.openxmlformats.org/officeDocument/2006/relationships/hyperlink" Target="https://doi.org/10.1136/BMJRESP-2021-001137" TargetMode="External"/><Relationship Id="rId1352" Type="http://schemas.openxmlformats.org/officeDocument/2006/relationships/hyperlink" Target="https://doi.org/10.1111/J.1398-9995.2004.00526.X" TargetMode="External"/><Relationship Id="rId89" Type="http://schemas.openxmlformats.org/officeDocument/2006/relationships/hyperlink" Target="https://doi.org/10.1164/AJRCCM.162.2.9905079" TargetMode="External"/><Relationship Id="rId154" Type="http://schemas.openxmlformats.org/officeDocument/2006/relationships/hyperlink" Target="https://doi.org/10.1183/13993003.01585-2021" TargetMode="External"/><Relationship Id="rId361" Type="http://schemas.openxmlformats.org/officeDocument/2006/relationships/hyperlink" Target="https://doi.org/10.1530/EJE-16-0653" TargetMode="External"/><Relationship Id="rId599" Type="http://schemas.openxmlformats.org/officeDocument/2006/relationships/hyperlink" Target="https://doi.org/10.1513/ANNALSATS.201711-886OC" TargetMode="External"/><Relationship Id="rId1005" Type="http://schemas.openxmlformats.org/officeDocument/2006/relationships/hyperlink" Target="https://cyberleninka.ru/article/n/nebulayzernaya-terapiya-suspenziey-pulmikorta-pri-tyazheloy-bronhialnoy-astme" TargetMode="External"/><Relationship Id="rId1212" Type="http://schemas.openxmlformats.org/officeDocument/2006/relationships/hyperlink" Target="https://doi.org/10.1111/j.1398-9995.1998.tb05010.x" TargetMode="External"/><Relationship Id="rId459" Type="http://schemas.openxmlformats.org/officeDocument/2006/relationships/hyperlink" Target="https://doi.org/10.1136/THORAXJNL-2011-201445" TargetMode="External"/><Relationship Id="rId666" Type="http://schemas.openxmlformats.org/officeDocument/2006/relationships/hyperlink" Target="https://doi.org/10.1016/j.jaip.2020.03.013" TargetMode="External"/><Relationship Id="rId873" Type="http://schemas.openxmlformats.org/officeDocument/2006/relationships/hyperlink" Target="https://doi.org/10.1186/S12931-019-1065-3" TargetMode="External"/><Relationship Id="rId1089" Type="http://schemas.openxmlformats.org/officeDocument/2006/relationships/hyperlink" Target="https://doi.org/10.1002/14651858.CD001740/EPDF/ABSTRACT" TargetMode="External"/><Relationship Id="rId1296" Type="http://schemas.openxmlformats.org/officeDocument/2006/relationships/hyperlink" Target="https://doi.org/10.31550/1727-2378-2020-19-11-38-41" TargetMode="External"/><Relationship Id="rId1517" Type="http://schemas.openxmlformats.org/officeDocument/2006/relationships/image" Target="media/image8.jpg"/><Relationship Id="rId16" Type="http://schemas.openxmlformats.org/officeDocument/2006/relationships/footer" Target="footer6.xml"/><Relationship Id="rId221" Type="http://schemas.openxmlformats.org/officeDocument/2006/relationships/hyperlink" Target="https://doi.org/10.1371/JOURNAL.PONE.0201143" TargetMode="External"/><Relationship Id="rId319" Type="http://schemas.openxmlformats.org/officeDocument/2006/relationships/hyperlink" Target="https://www.rmj.ru/articles/bolezni_dykhatelnykh_putey/Infekcionnye_zabolevaniya_dyhatelynogo_trakta_u_bolynyh_s_bronhialynoy_astmoy/" TargetMode="External"/><Relationship Id="rId526" Type="http://schemas.openxmlformats.org/officeDocument/2006/relationships/hyperlink" Target="https://doi.org/10.1136/THX.2004.023077" TargetMode="External"/><Relationship Id="rId1156" Type="http://schemas.openxmlformats.org/officeDocument/2006/relationships/hyperlink" Target="https://doi.org/10.1371/JOURNAL.PONE.0267445" TargetMode="External"/><Relationship Id="rId1363" Type="http://schemas.openxmlformats.org/officeDocument/2006/relationships/hyperlink" Target="https://doi.org/10.1016/S0029-7844(98)00191-4" TargetMode="External"/><Relationship Id="rId733" Type="http://schemas.openxmlformats.org/officeDocument/2006/relationships/hyperlink" Target="https://doi.org/10.1164/AJRCCM.162.4.2002019" TargetMode="External"/><Relationship Id="rId940" Type="http://schemas.openxmlformats.org/officeDocument/2006/relationships/hyperlink" Target="https://doi.org/10.1016/S0140-6736(19)31881-1" TargetMode="External"/><Relationship Id="rId1016" Type="http://schemas.openxmlformats.org/officeDocument/2006/relationships/hyperlink" Target="https://cyberleninka.ru/article/n/nebulayzernaya-terapiya-suspenziey-pulmikorta-pri-tyazheloy-bronhialnoy-astme" TargetMode="External"/><Relationship Id="rId165" Type="http://schemas.openxmlformats.org/officeDocument/2006/relationships/hyperlink" Target="https://doi.org/10.4104/PCRJ.2009.00010" TargetMode="External"/><Relationship Id="rId372" Type="http://schemas.openxmlformats.org/officeDocument/2006/relationships/hyperlink" Target="https://spulmo.ru/upload/kr/Spirometria_2023.pdf?t=1" TargetMode="External"/><Relationship Id="rId677" Type="http://schemas.openxmlformats.org/officeDocument/2006/relationships/hyperlink" Target="https://doi.org/10.1007/s12325-022-02092-7" TargetMode="External"/><Relationship Id="rId800" Type="http://schemas.openxmlformats.org/officeDocument/2006/relationships/hyperlink" Target="https://doi.org/10.1111/ALL.15076" TargetMode="External"/><Relationship Id="rId1223" Type="http://schemas.openxmlformats.org/officeDocument/2006/relationships/hyperlink" Target="https://doi.org/10.1111/pai.13915" TargetMode="External"/><Relationship Id="rId1430" Type="http://schemas.openxmlformats.org/officeDocument/2006/relationships/hyperlink" Target="https://doi.org/10.1111/RESP.13528" TargetMode="External"/><Relationship Id="rId1528" Type="http://schemas.openxmlformats.org/officeDocument/2006/relationships/hyperlink" Target="http://www.ginasthma.org/" TargetMode="External"/><Relationship Id="rId232" Type="http://schemas.openxmlformats.org/officeDocument/2006/relationships/hyperlink" Target="https://doi.org/10.1164/RCCM.200310-1376OC" TargetMode="External"/><Relationship Id="rId884" Type="http://schemas.openxmlformats.org/officeDocument/2006/relationships/hyperlink" Target="https://doi.org/10.1016/S0140-6736(16)30307-5" TargetMode="External"/><Relationship Id="rId27" Type="http://schemas.openxmlformats.org/officeDocument/2006/relationships/hyperlink" Target="https://doi.org/10.1016/S0140-6736(20)30925-9" TargetMode="External"/><Relationship Id="rId537" Type="http://schemas.openxmlformats.org/officeDocument/2006/relationships/hyperlink" Target="https://cyberleninka.ru/article/n/osobennosti-issledovaniya-funktsii-vneshnego-dyhaniya-u-detey-i-podrostkov" TargetMode="External"/><Relationship Id="rId744" Type="http://schemas.openxmlformats.org/officeDocument/2006/relationships/hyperlink" Target="https://doi.org/10.1183/16000617.0124-2023" TargetMode="External"/><Relationship Id="rId951" Type="http://schemas.openxmlformats.org/officeDocument/2006/relationships/hyperlink" Target="https://doi.org/10.1016/J.JACI.2013.11.026" TargetMode="External"/><Relationship Id="rId1167" Type="http://schemas.openxmlformats.org/officeDocument/2006/relationships/hyperlink" Target="https://doi.org/10.1164/RCCM.200906-0937OC" TargetMode="External"/><Relationship Id="rId1374" Type="http://schemas.openxmlformats.org/officeDocument/2006/relationships/hyperlink" Target="https://dissercat.com/content/osobennosti-techeniya-i-lecheniya-bronkhialnoi-astmy-v-period-beremennosti-0" TargetMode="External"/><Relationship Id="rId80" Type="http://schemas.openxmlformats.org/officeDocument/2006/relationships/hyperlink" Target="http://www.ginasthma.org/" TargetMode="External"/><Relationship Id="rId176" Type="http://schemas.openxmlformats.org/officeDocument/2006/relationships/hyperlink" Target="https://doi.org/10.18093/0869-0189-2011-0-2-276-287" TargetMode="External"/><Relationship Id="rId383" Type="http://schemas.openxmlformats.org/officeDocument/2006/relationships/hyperlink" Target="https://spulmo.ru/upload/kr/Spirometria_2023.pdf?t=1" TargetMode="External"/><Relationship Id="rId590" Type="http://schemas.openxmlformats.org/officeDocument/2006/relationships/hyperlink" Target="https://doi.org/10.1183/09031936.93.05010040" TargetMode="External"/><Relationship Id="rId604" Type="http://schemas.openxmlformats.org/officeDocument/2006/relationships/hyperlink" Target="https://doi.org/10.1016/S2213-2600(16)30160-6" TargetMode="External"/><Relationship Id="rId811" Type="http://schemas.openxmlformats.org/officeDocument/2006/relationships/hyperlink" Target="https://doi.org/10.1016/J.RMED.2020.106021" TargetMode="External"/><Relationship Id="rId1027" Type="http://schemas.openxmlformats.org/officeDocument/2006/relationships/hyperlink" Target="https://doi.org/10.1007/s12098-014-1498-0" TargetMode="External"/><Relationship Id="rId1234" Type="http://schemas.openxmlformats.org/officeDocument/2006/relationships/hyperlink" Target="https://raaci.ru/education/clinic_recomendations/103.html" TargetMode="External"/><Relationship Id="rId1441" Type="http://schemas.openxmlformats.org/officeDocument/2006/relationships/hyperlink" Target="https://doi.org/10.1017/S0950268817000887" TargetMode="External"/><Relationship Id="rId243" Type="http://schemas.openxmlformats.org/officeDocument/2006/relationships/hyperlink" Target="https://doi.org/10.1038/S41598-023-48381-1" TargetMode="External"/><Relationship Id="rId450" Type="http://schemas.openxmlformats.org/officeDocument/2006/relationships/hyperlink" Target="https://doi.org/10.1016/S0140-6736(98)06128-5" TargetMode="External"/><Relationship Id="rId688" Type="http://schemas.openxmlformats.org/officeDocument/2006/relationships/hyperlink" Target="https://doi.org/10.1016/S0140-6736(10)62145-9" TargetMode="External"/><Relationship Id="rId895" Type="http://schemas.openxmlformats.org/officeDocument/2006/relationships/hyperlink" Target="https://doi.org/10.1016/S2213-2600(21)00352-0" TargetMode="External"/><Relationship Id="rId909" Type="http://schemas.openxmlformats.org/officeDocument/2006/relationships/hyperlink" Target="https://doi.org/10.1164/RCCM.200208-789OC" TargetMode="External"/><Relationship Id="rId1080" Type="http://schemas.openxmlformats.org/officeDocument/2006/relationships/hyperlink" Target="https://doi.org/10.18203/2349-3291.IJCP20172542" TargetMode="External"/><Relationship Id="rId1301" Type="http://schemas.openxmlformats.org/officeDocument/2006/relationships/hyperlink" Target="https://doi.org/10.1002/14651858.CD001277.pub4" TargetMode="External"/><Relationship Id="rId1539" Type="http://schemas.openxmlformats.org/officeDocument/2006/relationships/theme" Target="theme/theme1.xml"/><Relationship Id="rId38" Type="http://schemas.openxmlformats.org/officeDocument/2006/relationships/hyperlink" Target="https://yandex.ru/search/?text=mednet.ru&amp;lr=213&amp;clid=2270455&amp;win=587" TargetMode="External"/><Relationship Id="rId103" Type="http://schemas.openxmlformats.org/officeDocument/2006/relationships/hyperlink" Target="https://doi.org/10.18093/0869-0189-2008-0-2-15-19" TargetMode="External"/><Relationship Id="rId310" Type="http://schemas.openxmlformats.org/officeDocument/2006/relationships/hyperlink" Target="https://doi.org/10.18093/0869-0189-2017-27-3-311-319" TargetMode="External"/><Relationship Id="rId548" Type="http://schemas.openxmlformats.org/officeDocument/2006/relationships/hyperlink" Target="https://cyberleninka.ru/article/n/osobennosti-issledovaniya-funktsii-vneshnego-dyhaniya-u-detey-i-podrostkov" TargetMode="External"/><Relationship Id="rId755" Type="http://schemas.openxmlformats.org/officeDocument/2006/relationships/hyperlink" Target="https://doi.org/10.1002/14651858.CD005533.PUB2" TargetMode="External"/><Relationship Id="rId962" Type="http://schemas.openxmlformats.org/officeDocument/2006/relationships/hyperlink" Target="https://doi.org/10.1016/S0140-6736(17)31281-3" TargetMode="External"/><Relationship Id="rId1178" Type="http://schemas.openxmlformats.org/officeDocument/2006/relationships/hyperlink" Target="https://doi.org/10.1016/j.rmed.2006.03.018" TargetMode="External"/><Relationship Id="rId1385" Type="http://schemas.openxmlformats.org/officeDocument/2006/relationships/hyperlink" Target="https://dissercat.com/content/osobennosti-techeniya-i-lecheniya-bronkhialnoi-astmy-v-period-beremennosti-0" TargetMode="External"/><Relationship Id="rId91" Type="http://schemas.openxmlformats.org/officeDocument/2006/relationships/hyperlink" Target="https://doi.org/10.1164/AJRCCM.162.2.9905079" TargetMode="External"/><Relationship Id="rId187" Type="http://schemas.openxmlformats.org/officeDocument/2006/relationships/hyperlink" Target="https://doi.org/10.18093/0869-0189-2011-0-2-276-287" TargetMode="External"/><Relationship Id="rId394" Type="http://schemas.openxmlformats.org/officeDocument/2006/relationships/hyperlink" Target="https://doi.org/10.18093/08690189-2023-33-3-307-340" TargetMode="External"/><Relationship Id="rId408" Type="http://schemas.openxmlformats.org/officeDocument/2006/relationships/hyperlink" Target="https://doi.org/10.18093/0869-0189-2014-0-6-11-24" TargetMode="External"/><Relationship Id="rId615" Type="http://schemas.openxmlformats.org/officeDocument/2006/relationships/hyperlink" Target="https://doi.org/10.1186/s12890-023-02570-w" TargetMode="External"/><Relationship Id="rId822" Type="http://schemas.openxmlformats.org/officeDocument/2006/relationships/hyperlink" Target="https://doi.org/10.1016/S2213-2600(15)00031-4" TargetMode="External"/><Relationship Id="rId1038" Type="http://schemas.openxmlformats.org/officeDocument/2006/relationships/hyperlink" Target="https://doi.org/10.1007/s12098-014-1498-0" TargetMode="External"/><Relationship Id="rId1245" Type="http://schemas.openxmlformats.org/officeDocument/2006/relationships/hyperlink" Target="https://doi.org/10.1002/14651858.CD001186.PUB2" TargetMode="External"/><Relationship Id="rId1452" Type="http://schemas.openxmlformats.org/officeDocument/2006/relationships/hyperlink" Target="https://doi.org/10.1111/J.1398-9995.1999.TB04391.X" TargetMode="External"/><Relationship Id="rId254" Type="http://schemas.openxmlformats.org/officeDocument/2006/relationships/hyperlink" Target="https://doi.org/10.1136/BMJOPEN-2014-005748" TargetMode="External"/><Relationship Id="rId699" Type="http://schemas.openxmlformats.org/officeDocument/2006/relationships/hyperlink" Target="https://doi.org/10.1007/S12325-022-02092-7" TargetMode="External"/><Relationship Id="rId1091" Type="http://schemas.openxmlformats.org/officeDocument/2006/relationships/hyperlink" Target="https://doi.org/10.1002/14651858.CD012195.PUB2" TargetMode="External"/><Relationship Id="rId1105" Type="http://schemas.openxmlformats.org/officeDocument/2006/relationships/hyperlink" Target="https://doi.org/10.5694/J.1326-5377.2008.TB02046.X" TargetMode="External"/><Relationship Id="rId1312" Type="http://schemas.openxmlformats.org/officeDocument/2006/relationships/hyperlink" Target="https://doi.org/10.1186/s40001-023-01634-1" TargetMode="External"/><Relationship Id="rId49" Type="http://schemas.openxmlformats.org/officeDocument/2006/relationships/hyperlink" Target="https://doi.org/10.1016/S0002-9343(02)01242-1" TargetMode="External"/><Relationship Id="rId114" Type="http://schemas.openxmlformats.org/officeDocument/2006/relationships/hyperlink" Target="https://doi.org/10.18093/0869-0189-2005-0-2-57-62" TargetMode="External"/><Relationship Id="rId461" Type="http://schemas.openxmlformats.org/officeDocument/2006/relationships/hyperlink" Target="https://doi.org/10.1183/13993003.01033-2018" TargetMode="External"/><Relationship Id="rId559" Type="http://schemas.openxmlformats.org/officeDocument/2006/relationships/hyperlink" Target="https://doi.org/10.1016/J.CHEST.2021.10.015" TargetMode="External"/><Relationship Id="rId766" Type="http://schemas.openxmlformats.org/officeDocument/2006/relationships/hyperlink" Target="https://doi.org/10.5694/J.1326-5377.2003.TB05167.X" TargetMode="External"/><Relationship Id="rId1189" Type="http://schemas.openxmlformats.org/officeDocument/2006/relationships/hyperlink" Target="https://www.aafp.org/pubs/afp/issues/2011/0701/p40.html" TargetMode="External"/><Relationship Id="rId1396" Type="http://schemas.openxmlformats.org/officeDocument/2006/relationships/hyperlink" Target="https://doi.org/10.1186/1471-2466-6-S1-S4" TargetMode="External"/><Relationship Id="rId198" Type="http://schemas.openxmlformats.org/officeDocument/2006/relationships/hyperlink" Target="https://doi.org/10.1016/J.RMED.2007.07.014" TargetMode="External"/><Relationship Id="rId321" Type="http://schemas.openxmlformats.org/officeDocument/2006/relationships/hyperlink" Target="https://www.rmj.ru/articles/bolezni_dykhatelnykh_putey/Infekcionnye_zabolevaniya_dyhatelynogo_trakta_u_bolynyh_s_bronhialynoy_astmoy/" TargetMode="External"/><Relationship Id="rId419" Type="http://schemas.openxmlformats.org/officeDocument/2006/relationships/hyperlink" Target="https://doi.org/10.1164/RCCM.201908-1590ST" TargetMode="External"/><Relationship Id="rId626" Type="http://schemas.openxmlformats.org/officeDocument/2006/relationships/hyperlink" Target="https://doi.org/10.1164/AJRCCM.163.2.9912091" TargetMode="External"/><Relationship Id="rId973" Type="http://schemas.openxmlformats.org/officeDocument/2006/relationships/hyperlink" Target="https://doi.org/10.1016/J.RMED.2021.106494" TargetMode="External"/><Relationship Id="rId1049" Type="http://schemas.openxmlformats.org/officeDocument/2006/relationships/hyperlink" Target="https://doi.org/10.2165/00063030-200014040-00004" TargetMode="External"/><Relationship Id="rId1256" Type="http://schemas.openxmlformats.org/officeDocument/2006/relationships/hyperlink" Target="https://doi.org/10.1186/1939-4551-7-6" TargetMode="External"/><Relationship Id="rId833" Type="http://schemas.openxmlformats.org/officeDocument/2006/relationships/hyperlink" Target="https://doi.org/10.1136/BMJ.319.7202.87" TargetMode="External"/><Relationship Id="rId1116" Type="http://schemas.openxmlformats.org/officeDocument/2006/relationships/hyperlink" Target="https://doi.org/10.1002/14651858.CD012977.pub2" TargetMode="External"/><Relationship Id="rId1463" Type="http://schemas.openxmlformats.org/officeDocument/2006/relationships/hyperlink" Target="https://doi.org/10.7759/cureus.50655" TargetMode="External"/><Relationship Id="rId265" Type="http://schemas.openxmlformats.org/officeDocument/2006/relationships/hyperlink" Target="https://doi.org/10.1016/J.JAIP.2022.06.041" TargetMode="External"/><Relationship Id="rId472" Type="http://schemas.openxmlformats.org/officeDocument/2006/relationships/hyperlink" Target="https://doi.org/10.3390/jfmk9010015" TargetMode="External"/><Relationship Id="rId900" Type="http://schemas.openxmlformats.org/officeDocument/2006/relationships/hyperlink" Target="https://doi.org/10.4414/SMW.2022.W30176" TargetMode="External"/><Relationship Id="rId1323" Type="http://schemas.openxmlformats.org/officeDocument/2006/relationships/hyperlink" Target="https://doi.org/10.1007/s12098-017-2519-6" TargetMode="External"/><Relationship Id="rId1530" Type="http://schemas.openxmlformats.org/officeDocument/2006/relationships/hyperlink" Target="http://www.ginasthma.org/" TargetMode="External"/><Relationship Id="rId125" Type="http://schemas.openxmlformats.org/officeDocument/2006/relationships/hyperlink" Target="https://doi.org/10.18093/0869-0189-2005-0-2-57-62" TargetMode="External"/><Relationship Id="rId332" Type="http://schemas.openxmlformats.org/officeDocument/2006/relationships/hyperlink" Target="https://www.rmj.ru/articles/bolezni_dykhatelnykh_putey/Infekcionnye_zabolevaniya_dyhatelynogo_trakta_u_bolynyh_s_bronhialynoy_astmoy/" TargetMode="External"/><Relationship Id="rId777" Type="http://schemas.openxmlformats.org/officeDocument/2006/relationships/hyperlink" Target="https://doi.org/10.1186/S40733-016-0020-Z" TargetMode="External"/><Relationship Id="rId984" Type="http://schemas.openxmlformats.org/officeDocument/2006/relationships/hyperlink" Target="https://doi.org/10.1186/1465-9921-8-19/FIGURES/2_557" TargetMode="External"/><Relationship Id="rId637" Type="http://schemas.openxmlformats.org/officeDocument/2006/relationships/hyperlink" Target="https://doi.org/10.1007/s12325-022-02410-z" TargetMode="External"/><Relationship Id="rId844" Type="http://schemas.openxmlformats.org/officeDocument/2006/relationships/hyperlink" Target="https://doi.org/10.1007/S41030-017-0043-5" TargetMode="External"/><Relationship Id="rId1267" Type="http://schemas.openxmlformats.org/officeDocument/2006/relationships/hyperlink" Target="https://doi.org/10.1001/jama.2016.3964" TargetMode="External"/><Relationship Id="rId1474" Type="http://schemas.openxmlformats.org/officeDocument/2006/relationships/hyperlink" Target="https://doi.org/10.1016/S0954-6111(06)80268-4" TargetMode="External"/><Relationship Id="rId276" Type="http://schemas.openxmlformats.org/officeDocument/2006/relationships/hyperlink" Target="https://doi.org/10.1016/J.WAOJOU.2019.100091" TargetMode="External"/><Relationship Id="rId483" Type="http://schemas.openxmlformats.org/officeDocument/2006/relationships/hyperlink" Target="https://doi.org/10.1513/AnnalsATS.201409-433OC" TargetMode="External"/><Relationship Id="rId690" Type="http://schemas.openxmlformats.org/officeDocument/2006/relationships/hyperlink" Target="https://doi.org/10.1002/14651858.CD007313.pub3" TargetMode="External"/><Relationship Id="rId704" Type="http://schemas.openxmlformats.org/officeDocument/2006/relationships/hyperlink" Target="https://doi.org/10.1001/JAMA.2018.2769" TargetMode="External"/><Relationship Id="rId911" Type="http://schemas.openxmlformats.org/officeDocument/2006/relationships/hyperlink" Target="https://doi.org/10.1016/j.jaci.2003.10.049" TargetMode="External"/><Relationship Id="rId1127" Type="http://schemas.openxmlformats.org/officeDocument/2006/relationships/hyperlink" Target="https://doi.org/10.1016/J.PRRV.2020.08.006" TargetMode="External"/><Relationship Id="rId1334" Type="http://schemas.openxmlformats.org/officeDocument/2006/relationships/hyperlink" Target="https://cyberleninka.ru/article/n/bronhialnaya-astma-i-beremennost-4" TargetMode="External"/><Relationship Id="rId40" Type="http://schemas.openxmlformats.org/officeDocument/2006/relationships/hyperlink" Target="https://mednet.ru/" TargetMode="External"/><Relationship Id="rId136" Type="http://schemas.openxmlformats.org/officeDocument/2006/relationships/hyperlink" Target="https://cyberleninka.ru/article/n/osobennosti-techeniya-bronhialnoy-astmy-u-podrostkov-i-yunoshey-prizyvnogo-vozrasta" TargetMode="External"/><Relationship Id="rId343" Type="http://schemas.openxmlformats.org/officeDocument/2006/relationships/hyperlink" Target="https://www.rmj.ru/articles/bolezni_dykhatelnykh_putey/Infekcionnye_zabolevaniya_dyhatelynogo_trakta_u_bolynyh_s_bronhialynoy_astmoy/" TargetMode="External"/><Relationship Id="rId550" Type="http://schemas.openxmlformats.org/officeDocument/2006/relationships/hyperlink" Target="https://cyberleninka.ru/article/n/osobennosti-issledovaniya-funktsii-vneshnego-dyhaniya-u-detey-i-podrostkov" TargetMode="External"/><Relationship Id="rId788" Type="http://schemas.openxmlformats.org/officeDocument/2006/relationships/hyperlink" Target="https://doi.org/10.1016/S2213-2600(20)30190-9" TargetMode="External"/><Relationship Id="rId995" Type="http://schemas.openxmlformats.org/officeDocument/2006/relationships/hyperlink" Target="https://doi.org/10.18093/0869-0189-2006-4-58-67" TargetMode="External"/><Relationship Id="rId1180" Type="http://schemas.openxmlformats.org/officeDocument/2006/relationships/hyperlink" Target="https://doi.org/10.1016/S0002-9343(03)00241-9" TargetMode="External"/><Relationship Id="rId1401" Type="http://schemas.openxmlformats.org/officeDocument/2006/relationships/hyperlink" Target="https://doi.org/10.1186/1471-2466-6-S1-S4" TargetMode="External"/><Relationship Id="rId203" Type="http://schemas.openxmlformats.org/officeDocument/2006/relationships/hyperlink" Target="https://doi.org/10.1186/1465-9921-13-59" TargetMode="External"/><Relationship Id="rId648" Type="http://schemas.openxmlformats.org/officeDocument/2006/relationships/hyperlink" Target="https://doi.org/10.1016/J.ANAI.2012.08.014" TargetMode="External"/><Relationship Id="rId855" Type="http://schemas.openxmlformats.org/officeDocument/2006/relationships/hyperlink" Target="https://doi.org/10.1016/0091-6749(82)90065-3" TargetMode="External"/><Relationship Id="rId1040" Type="http://schemas.openxmlformats.org/officeDocument/2006/relationships/hyperlink" Target="https://doi.org/10.1007/s12098-014-1498-0" TargetMode="External"/><Relationship Id="rId1278" Type="http://schemas.openxmlformats.org/officeDocument/2006/relationships/hyperlink" Target="https://doi.org/10.1136/BMJOPEN-2018-026742" TargetMode="External"/><Relationship Id="rId1485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87" Type="http://schemas.openxmlformats.org/officeDocument/2006/relationships/hyperlink" Target="https://cr.minzdrav.gov.ru/schema/735_1" TargetMode="External"/><Relationship Id="rId410" Type="http://schemas.openxmlformats.org/officeDocument/2006/relationships/hyperlink" Target="https://doi.org/10.18093/0869-0189-2014-0-6-11-24" TargetMode="External"/><Relationship Id="rId494" Type="http://schemas.openxmlformats.org/officeDocument/2006/relationships/hyperlink" Target="https://cyberleninka.ru/article/n/bronhomotornye-testy-v-klinicheskoy-diagnostike-bronhialnoy-astmy" TargetMode="External"/><Relationship Id="rId508" Type="http://schemas.openxmlformats.org/officeDocument/2006/relationships/hyperlink" Target="https://doi.org/10.1016/0091-6749(85)90032-6" TargetMode="External"/><Relationship Id="rId715" Type="http://schemas.openxmlformats.org/officeDocument/2006/relationships/hyperlink" Target="https://doi.org/10.2165/11598840-000000000-00000" TargetMode="External"/><Relationship Id="rId922" Type="http://schemas.openxmlformats.org/officeDocument/2006/relationships/hyperlink" Target="https://doi.org/10.1164/RCCM.201103-0396OC" TargetMode="External"/><Relationship Id="rId1138" Type="http://schemas.openxmlformats.org/officeDocument/2006/relationships/hyperlink" Target="https://doi.org/10.1136/BMJRESP-2022-001502" TargetMode="External"/><Relationship Id="rId1345" Type="http://schemas.openxmlformats.org/officeDocument/2006/relationships/hyperlink" Target="https://cyberleninka.ru/article/n/bronhialnaya-astma-i-beremennost-4" TargetMode="External"/><Relationship Id="rId147" Type="http://schemas.openxmlformats.org/officeDocument/2006/relationships/hyperlink" Target="https://doi.org/10.1016/J.PCL.2008.10.003" TargetMode="External"/><Relationship Id="rId354" Type="http://schemas.openxmlformats.org/officeDocument/2006/relationships/hyperlink" Target="https://doi.org/10.1530/EJE-16-0653" TargetMode="External"/><Relationship Id="rId799" Type="http://schemas.openxmlformats.org/officeDocument/2006/relationships/hyperlink" Target="https://doi.org/10.1016/S0140-6736(19)32215-9" TargetMode="External"/><Relationship Id="rId1191" Type="http://schemas.openxmlformats.org/officeDocument/2006/relationships/hyperlink" Target="https://doi.org/10.1136/BMJ.K4169" TargetMode="External"/><Relationship Id="rId1205" Type="http://schemas.openxmlformats.org/officeDocument/2006/relationships/hyperlink" Target="https://doi.org/10.1007/S11882-020-00948-Y" TargetMode="External"/><Relationship Id="rId51" Type="http://schemas.openxmlformats.org/officeDocument/2006/relationships/hyperlink" Target="https://doi.org/10.1016/S0140-6736(01)05779-8" TargetMode="External"/><Relationship Id="rId561" Type="http://schemas.openxmlformats.org/officeDocument/2006/relationships/hyperlink" Target="https://doi.org/10.1097/ACI.0000000000000726" TargetMode="External"/><Relationship Id="rId659" Type="http://schemas.openxmlformats.org/officeDocument/2006/relationships/hyperlink" Target="https://doi.org/10.1016/S2213-2600(21)00536-1" TargetMode="External"/><Relationship Id="rId866" Type="http://schemas.openxmlformats.org/officeDocument/2006/relationships/hyperlink" Target="https://doi.org/10.1002/14651858.CD010834.pub2" TargetMode="External"/><Relationship Id="rId1289" Type="http://schemas.openxmlformats.org/officeDocument/2006/relationships/hyperlink" Target="https://doi.org/10.31550/1727-2378-2020-19-11-38-41" TargetMode="External"/><Relationship Id="rId1412" Type="http://schemas.openxmlformats.org/officeDocument/2006/relationships/hyperlink" Target="https://doi.org/10.1111/J.1398-9995.2007.01451.X" TargetMode="External"/><Relationship Id="rId1496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14" Type="http://schemas.openxmlformats.org/officeDocument/2006/relationships/hyperlink" Target="https://doi.org/10.23736/S0026-4946.18.05351-3" TargetMode="External"/><Relationship Id="rId298" Type="http://schemas.openxmlformats.org/officeDocument/2006/relationships/hyperlink" Target="https://doi.org/10.18093/0869-0189-2017-27-3-311-319" TargetMode="External"/><Relationship Id="rId421" Type="http://schemas.openxmlformats.org/officeDocument/2006/relationships/hyperlink" Target="https://doi.org/10.1164/RCCM.201908-1590ST" TargetMode="External"/><Relationship Id="rId519" Type="http://schemas.openxmlformats.org/officeDocument/2006/relationships/hyperlink" Target="https://doi.org/10.1016/J.JPEDS.2012.09.040" TargetMode="External"/><Relationship Id="rId1051" Type="http://schemas.openxmlformats.org/officeDocument/2006/relationships/hyperlink" Target="https://doi.org/10.2165/00063030-200014040-00004" TargetMode="External"/><Relationship Id="rId1149" Type="http://schemas.openxmlformats.org/officeDocument/2006/relationships/hyperlink" Target="https://doi.org/10.1371/JOURNAL.PONE.0267445" TargetMode="External"/><Relationship Id="rId1356" Type="http://schemas.openxmlformats.org/officeDocument/2006/relationships/hyperlink" Target="https://doi.org/10.1016/S0029-7844(98)00191-4" TargetMode="External"/><Relationship Id="rId158" Type="http://schemas.openxmlformats.org/officeDocument/2006/relationships/hyperlink" Target="https://doi.org/10.15690/pf.v14i6.1828" TargetMode="External"/><Relationship Id="rId726" Type="http://schemas.openxmlformats.org/officeDocument/2006/relationships/hyperlink" Target="https://doi.org/10.1186/1465-9921-12-38" TargetMode="External"/><Relationship Id="rId933" Type="http://schemas.openxmlformats.org/officeDocument/2006/relationships/hyperlink" Target="https://doi.org/10.3233/HAB-2009-0198" TargetMode="External"/><Relationship Id="rId1009" Type="http://schemas.openxmlformats.org/officeDocument/2006/relationships/hyperlink" Target="https://cyberleninka.ru/article/n/nebulayzernaya-terapiya-suspenziey-pulmikorta-pri-tyazheloy-bronhialnoy-astme" TargetMode="External"/><Relationship Id="rId62" Type="http://schemas.openxmlformats.org/officeDocument/2006/relationships/hyperlink" Target="https://doi.org/10.1164/RCCM.200906-0896OC" TargetMode="External"/><Relationship Id="rId365" Type="http://schemas.openxmlformats.org/officeDocument/2006/relationships/hyperlink" Target="https://doi.org/10.4103/0970-2113.168139" TargetMode="External"/><Relationship Id="rId572" Type="http://schemas.openxmlformats.org/officeDocument/2006/relationships/hyperlink" Target="https://doi.org/10.1111/ALL.12127" TargetMode="External"/><Relationship Id="rId1216" Type="http://schemas.openxmlformats.org/officeDocument/2006/relationships/hyperlink" Target="https://doi.org/10.1080/17476348.2019.1651647" TargetMode="External"/><Relationship Id="rId1423" Type="http://schemas.openxmlformats.org/officeDocument/2006/relationships/hyperlink" Target="https://doi.org/10.1111/RESP.13528" TargetMode="External"/><Relationship Id="rId225" Type="http://schemas.openxmlformats.org/officeDocument/2006/relationships/hyperlink" Target="https://doi.org/10.1111/ALL.14170" TargetMode="External"/><Relationship Id="rId432" Type="http://schemas.openxmlformats.org/officeDocument/2006/relationships/hyperlink" Target="https://doi.org/10.1136/BMJPO-2021-001277" TargetMode="External"/><Relationship Id="rId877" Type="http://schemas.openxmlformats.org/officeDocument/2006/relationships/hyperlink" Target="https://doi.org/10.1016/S0140-6736(16)30307-5" TargetMode="External"/><Relationship Id="rId1062" Type="http://schemas.openxmlformats.org/officeDocument/2006/relationships/hyperlink" Target="https://doi.org/10.1016/S1081-1206(10)61758-9" TargetMode="External"/><Relationship Id="rId737" Type="http://schemas.openxmlformats.org/officeDocument/2006/relationships/hyperlink" Target="https://doi.org/10.1002/ppul.24176" TargetMode="External"/><Relationship Id="rId944" Type="http://schemas.openxmlformats.org/officeDocument/2006/relationships/hyperlink" Target="https://doi.org/10.1016/J.JACI.2018.08.022" TargetMode="External"/><Relationship Id="rId1367" Type="http://schemas.openxmlformats.org/officeDocument/2006/relationships/hyperlink" Target="https://doi.org/10.1016/S0029-7844(98)00191-4" TargetMode="External"/><Relationship Id="rId73" Type="http://schemas.openxmlformats.org/officeDocument/2006/relationships/hyperlink" Target="https://doi.org/10.1183/09031936.00155307" TargetMode="External"/><Relationship Id="rId169" Type="http://schemas.openxmlformats.org/officeDocument/2006/relationships/hyperlink" Target="https://doi.org/10.1183/09031936.00117509" TargetMode="External"/><Relationship Id="rId376" Type="http://schemas.openxmlformats.org/officeDocument/2006/relationships/hyperlink" Target="https://spulmo.ru/upload/kr/Spirometria_2023.pdf?t=1" TargetMode="External"/><Relationship Id="rId583" Type="http://schemas.openxmlformats.org/officeDocument/2006/relationships/hyperlink" Target="https://doi.org/10.1157/13099091" TargetMode="External"/><Relationship Id="rId790" Type="http://schemas.openxmlformats.org/officeDocument/2006/relationships/hyperlink" Target="https://doi.org/10.1016/S2213-2600(20)30190-9" TargetMode="External"/><Relationship Id="rId804" Type="http://schemas.openxmlformats.org/officeDocument/2006/relationships/hyperlink" Target="https://doi.org/10.1001/JAMA.2021.7872" TargetMode="External"/><Relationship Id="rId1227" Type="http://schemas.openxmlformats.org/officeDocument/2006/relationships/hyperlink" Target="https://raaci.ru/education/clinic_recomendations/103.html" TargetMode="External"/><Relationship Id="rId1434" Type="http://schemas.openxmlformats.org/officeDocument/2006/relationships/hyperlink" Target="https://www.spr-journal.ru/757/" TargetMode="External"/><Relationship Id="rId4" Type="http://schemas.openxmlformats.org/officeDocument/2006/relationships/webSettings" Target="webSettings.xml"/><Relationship Id="rId236" Type="http://schemas.openxmlformats.org/officeDocument/2006/relationships/hyperlink" Target="https://doi.org/10.1164/RCCM.200203-183OC" TargetMode="External"/><Relationship Id="rId443" Type="http://schemas.openxmlformats.org/officeDocument/2006/relationships/hyperlink" Target="https://doi.org/10.1016/S0140-6736(98)06128-5" TargetMode="External"/><Relationship Id="rId650" Type="http://schemas.openxmlformats.org/officeDocument/2006/relationships/hyperlink" Target="https://doi.org/10.1016/S0091-6749(96)70282-8" TargetMode="External"/><Relationship Id="rId888" Type="http://schemas.openxmlformats.org/officeDocument/2006/relationships/hyperlink" Target="https://doi.org/10.1016/J.JAIP.2022.10.015" TargetMode="External"/><Relationship Id="rId1073" Type="http://schemas.openxmlformats.org/officeDocument/2006/relationships/hyperlink" Target="https://doi.org/10.1067/MAI.2000.104784" TargetMode="External"/><Relationship Id="rId1280" Type="http://schemas.openxmlformats.org/officeDocument/2006/relationships/hyperlink" Target="https://doi.org/10.1136/BMJOPEN-2018-026742" TargetMode="External"/><Relationship Id="rId1501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303" Type="http://schemas.openxmlformats.org/officeDocument/2006/relationships/hyperlink" Target="https://doi.org/10.18093/0869-0189-2017-27-3-311-319" TargetMode="External"/><Relationship Id="rId748" Type="http://schemas.openxmlformats.org/officeDocument/2006/relationships/hyperlink" Target="https://doi.org/10.1542/PEDS.2015-4496" TargetMode="External"/><Relationship Id="rId955" Type="http://schemas.openxmlformats.org/officeDocument/2006/relationships/hyperlink" Target="https://doi.org/10.3389/FIMMU.2018.00302" TargetMode="External"/><Relationship Id="rId1140" Type="http://schemas.openxmlformats.org/officeDocument/2006/relationships/hyperlink" Target="https://doi.org/10.1136/BMJRESP-2022-001502" TargetMode="External"/><Relationship Id="rId1378" Type="http://schemas.openxmlformats.org/officeDocument/2006/relationships/hyperlink" Target="https://dissercat.com/content/osobennosti-techeniya-i-lecheniya-bronkhialnoi-astmy-v-period-beremennosti-0" TargetMode="External"/><Relationship Id="rId84" Type="http://schemas.openxmlformats.org/officeDocument/2006/relationships/hyperlink" Target="http://www.ginasthma.org/" TargetMode="External"/><Relationship Id="rId387" Type="http://schemas.openxmlformats.org/officeDocument/2006/relationships/hyperlink" Target="https://doi.org/10.18093/08690189-2023-33-3-307-340" TargetMode="External"/><Relationship Id="rId510" Type="http://schemas.openxmlformats.org/officeDocument/2006/relationships/hyperlink" Target="https://doi.org/10.1136/thx.39.12.912" TargetMode="External"/><Relationship Id="rId594" Type="http://schemas.openxmlformats.org/officeDocument/2006/relationships/hyperlink" Target="https://doi.org/10.1164/ajrccm.158.3.9707093" TargetMode="External"/><Relationship Id="rId608" Type="http://schemas.openxmlformats.org/officeDocument/2006/relationships/hyperlink" Target="https://doi.org/10.1016/S2213-2600(16)30160-6" TargetMode="External"/><Relationship Id="rId815" Type="http://schemas.openxmlformats.org/officeDocument/2006/relationships/hyperlink" Target="https://doi.org/10.1016/S2213-2600(20)30178-8" TargetMode="External"/><Relationship Id="rId1238" Type="http://schemas.openxmlformats.org/officeDocument/2006/relationships/hyperlink" Target="https://raaci.ru/education/clinic_recomendations/103.html" TargetMode="External"/><Relationship Id="rId1445" Type="http://schemas.openxmlformats.org/officeDocument/2006/relationships/hyperlink" Target="https://doi.org/10.1093/CID/CIY889" TargetMode="External"/><Relationship Id="rId247" Type="http://schemas.openxmlformats.org/officeDocument/2006/relationships/hyperlink" Target="https://doi.org/10.1038/S41598-023-48381-1" TargetMode="External"/><Relationship Id="rId899" Type="http://schemas.openxmlformats.org/officeDocument/2006/relationships/hyperlink" Target="https://doi.org/10.4414/SMW.2022.W30176" TargetMode="External"/><Relationship Id="rId1000" Type="http://schemas.openxmlformats.org/officeDocument/2006/relationships/hyperlink" Target="https://doi.org/10.18093/0869-0189-2006-4-58-67" TargetMode="External"/><Relationship Id="rId1084" Type="http://schemas.openxmlformats.org/officeDocument/2006/relationships/hyperlink" Target="https://doi.org/10.3109/02770909809048967" TargetMode="External"/><Relationship Id="rId1305" Type="http://schemas.openxmlformats.org/officeDocument/2006/relationships/hyperlink" Target="https://doi.org/10.1177/0269215512450521" TargetMode="External"/><Relationship Id="rId107" Type="http://schemas.openxmlformats.org/officeDocument/2006/relationships/hyperlink" Target="https://doi.org/10.18093/0869-0189-2008-0-2-15-19" TargetMode="External"/><Relationship Id="rId454" Type="http://schemas.openxmlformats.org/officeDocument/2006/relationships/hyperlink" Target="https://doi.org/10.1016/S0140-6736(98)06128-5" TargetMode="External"/><Relationship Id="rId661" Type="http://schemas.openxmlformats.org/officeDocument/2006/relationships/hyperlink" Target="https://doi.org/10.1016/S2213-2600(21)00536-1" TargetMode="External"/><Relationship Id="rId759" Type="http://schemas.openxmlformats.org/officeDocument/2006/relationships/hyperlink" Target="https://doi.org/10.1002/14651858.cd005535.pub2" TargetMode="External"/><Relationship Id="rId966" Type="http://schemas.openxmlformats.org/officeDocument/2006/relationships/hyperlink" Target="https://doi.org/10.1136/thoraxjnl-2012-202698" TargetMode="External"/><Relationship Id="rId1291" Type="http://schemas.openxmlformats.org/officeDocument/2006/relationships/hyperlink" Target="https://doi.org/10.31550/1727-2378-2020-19-11-38-41" TargetMode="External"/><Relationship Id="rId1389" Type="http://schemas.openxmlformats.org/officeDocument/2006/relationships/hyperlink" Target="https://doi.org/10.7759/cureus.50094" TargetMode="External"/><Relationship Id="rId1512" Type="http://schemas.openxmlformats.org/officeDocument/2006/relationships/image" Target="media/image14.png"/><Relationship Id="rId11" Type="http://schemas.openxmlformats.org/officeDocument/2006/relationships/image" Target="media/image2.jpg"/><Relationship Id="rId314" Type="http://schemas.openxmlformats.org/officeDocument/2006/relationships/hyperlink" Target="https://www.rmj.ru/articles/bolezni_dykhatelnykh_putey/Infekcionnye_zabolevaniya_dyhatelynogo_trakta_u_bolynyh_s_bronhialynoy_astmoy/" TargetMode="External"/><Relationship Id="rId398" Type="http://schemas.openxmlformats.org/officeDocument/2006/relationships/hyperlink" Target="https://doi.org/10.18093/08690189-2023-33-3-307-340" TargetMode="External"/><Relationship Id="rId521" Type="http://schemas.openxmlformats.org/officeDocument/2006/relationships/hyperlink" Target="https://doi.org/10.1016/S0196-0644(82)80298-9" TargetMode="External"/><Relationship Id="rId619" Type="http://schemas.openxmlformats.org/officeDocument/2006/relationships/hyperlink" Target="https://doi.org/10.1016/J.JAIP.2017.05.001" TargetMode="External"/><Relationship Id="rId1151" Type="http://schemas.openxmlformats.org/officeDocument/2006/relationships/hyperlink" Target="https://doi.org/10.1371/JOURNAL.PONE.0267445" TargetMode="External"/><Relationship Id="rId1249" Type="http://schemas.openxmlformats.org/officeDocument/2006/relationships/hyperlink" Target="https://doi.org/10.1186/1939-4551-7-6" TargetMode="External"/><Relationship Id="rId95" Type="http://schemas.openxmlformats.org/officeDocument/2006/relationships/hyperlink" Target="https://doi.org/10.1164/AJRCCM.162.2.9905079" TargetMode="External"/><Relationship Id="rId160" Type="http://schemas.openxmlformats.org/officeDocument/2006/relationships/hyperlink" Target="https://doi.org/10.1164/RCCM.200801-060ST" TargetMode="External"/><Relationship Id="rId826" Type="http://schemas.openxmlformats.org/officeDocument/2006/relationships/hyperlink" Target="https://doi.org/10.1016/j.rmed.2014.12.005" TargetMode="External"/><Relationship Id="rId1011" Type="http://schemas.openxmlformats.org/officeDocument/2006/relationships/hyperlink" Target="https://cyberleninka.ru/article/n/nebulayzernaya-terapiya-suspenziey-pulmikorta-pri-tyazheloy-bronhialnoy-astme" TargetMode="External"/><Relationship Id="rId1109" Type="http://schemas.openxmlformats.org/officeDocument/2006/relationships/hyperlink" Target="https://doi.org/10.1053/RMED.2002.1369" TargetMode="External"/><Relationship Id="rId1456" Type="http://schemas.openxmlformats.org/officeDocument/2006/relationships/hyperlink" Target="https://doi.org/10.1097/ACI.0B013E3282F7CD58" TargetMode="External"/><Relationship Id="rId258" Type="http://schemas.openxmlformats.org/officeDocument/2006/relationships/hyperlink" Target="https://doi.org/10.1016/S0091-6749(99)70402-1" TargetMode="External"/><Relationship Id="rId465" Type="http://schemas.openxmlformats.org/officeDocument/2006/relationships/hyperlink" Target="https://doi.org/10.1183/13993003.01033-2018" TargetMode="External"/><Relationship Id="rId672" Type="http://schemas.openxmlformats.org/officeDocument/2006/relationships/hyperlink" Target="https://doi.org/10.1007/s12325-022-02092-7" TargetMode="External"/><Relationship Id="rId1095" Type="http://schemas.openxmlformats.org/officeDocument/2006/relationships/hyperlink" Target="https://doi.org/10.1183/13993003.00703-2018" TargetMode="External"/><Relationship Id="rId1316" Type="http://schemas.openxmlformats.org/officeDocument/2006/relationships/hyperlink" Target="https://doi.org/10.4103/0973-6131.213472" TargetMode="External"/><Relationship Id="rId1523" Type="http://schemas.openxmlformats.org/officeDocument/2006/relationships/image" Target="media/image13.jpg"/><Relationship Id="rId22" Type="http://schemas.openxmlformats.org/officeDocument/2006/relationships/hyperlink" Target="https://doi.org/10.1164/RCCM.200906-0896OC" TargetMode="External"/><Relationship Id="rId118" Type="http://schemas.openxmlformats.org/officeDocument/2006/relationships/hyperlink" Target="https://doi.org/10.18093/0869-0189-2005-0-2-57-62" TargetMode="External"/><Relationship Id="rId325" Type="http://schemas.openxmlformats.org/officeDocument/2006/relationships/hyperlink" Target="https://www.rmj.ru/articles/bolezni_dykhatelnykh_putey/Infekcionnye_zabolevaniya_dyhatelynogo_trakta_u_bolynyh_s_bronhialynoy_astmoy/" TargetMode="External"/><Relationship Id="rId532" Type="http://schemas.openxmlformats.org/officeDocument/2006/relationships/hyperlink" Target="https://doi.org/10.1136/THX.2004.023077" TargetMode="External"/><Relationship Id="rId977" Type="http://schemas.openxmlformats.org/officeDocument/2006/relationships/hyperlink" Target="https://doi.org/10.5863/1551-6776-18.2.88" TargetMode="External"/><Relationship Id="rId1162" Type="http://schemas.openxmlformats.org/officeDocument/2006/relationships/hyperlink" Target="https://doi.org/10.1136/THX.2008.103432" TargetMode="External"/><Relationship Id="rId171" Type="http://schemas.openxmlformats.org/officeDocument/2006/relationships/hyperlink" Target="https://doi.org/10.1016/J.JACI.2013.06.029" TargetMode="External"/><Relationship Id="rId837" Type="http://schemas.openxmlformats.org/officeDocument/2006/relationships/hyperlink" Target="https://doi.org/10.1136/THORAX.58.3.204" TargetMode="External"/><Relationship Id="rId1022" Type="http://schemas.openxmlformats.org/officeDocument/2006/relationships/hyperlink" Target="https://doi.org/10.1016/j.rmed.2006.10.009" TargetMode="External"/><Relationship Id="rId1467" Type="http://schemas.openxmlformats.org/officeDocument/2006/relationships/hyperlink" Target="https://doi.org/10.1016/J.JACI.2007.02.037" TargetMode="External"/><Relationship Id="rId269" Type="http://schemas.openxmlformats.org/officeDocument/2006/relationships/hyperlink" Target="https://doi.org/10.1111/CEA.12774" TargetMode="External"/><Relationship Id="rId476" Type="http://schemas.openxmlformats.org/officeDocument/2006/relationships/hyperlink" Target="https://doi.org/10.1164/AJRCCM.161.1.ATS11-99" TargetMode="External"/><Relationship Id="rId683" Type="http://schemas.openxmlformats.org/officeDocument/2006/relationships/hyperlink" Target="https://doi.org/10.1016/S0140-6736(10)62145-9" TargetMode="External"/><Relationship Id="rId890" Type="http://schemas.openxmlformats.org/officeDocument/2006/relationships/hyperlink" Target="https://doi.org/10.1111/all.14221" TargetMode="External"/><Relationship Id="rId904" Type="http://schemas.openxmlformats.org/officeDocument/2006/relationships/hyperlink" Target="https://doi.org/10.3389/FPHAR.2022.839011" TargetMode="External"/><Relationship Id="rId1327" Type="http://schemas.openxmlformats.org/officeDocument/2006/relationships/hyperlink" Target="https://doi.org/10.1007/s12098-017-2519-6" TargetMode="External"/><Relationship Id="rId1534" Type="http://schemas.openxmlformats.org/officeDocument/2006/relationships/hyperlink" Target="http://www.ginasthma.org/" TargetMode="External"/><Relationship Id="rId33" Type="http://schemas.openxmlformats.org/officeDocument/2006/relationships/hyperlink" Target="https://doi.org/10.2147/COPD.S67283" TargetMode="External"/><Relationship Id="rId129" Type="http://schemas.openxmlformats.org/officeDocument/2006/relationships/hyperlink" Target="https://cyberleninka.ru/article/n/osobennosti-techeniya-bronhialnoy-astmy-u-podrostkov-i-yunoshey-prizyvnogo-vozrasta" TargetMode="External"/><Relationship Id="rId336" Type="http://schemas.openxmlformats.org/officeDocument/2006/relationships/hyperlink" Target="https://www.rmj.ru/articles/bolezni_dykhatelnykh_putey/Infekcionnye_zabolevaniya_dyhatelynogo_trakta_u_bolynyh_s_bronhialynoy_astmoy/" TargetMode="External"/><Relationship Id="rId543" Type="http://schemas.openxmlformats.org/officeDocument/2006/relationships/hyperlink" Target="https://cyberleninka.ru/article/n/osobennosti-issledovaniya-funktsii-vneshnego-dyhaniya-u-detey-i-podrostkov" TargetMode="External"/><Relationship Id="rId988" Type="http://schemas.openxmlformats.org/officeDocument/2006/relationships/hyperlink" Target="https://doi.org/10.1186/1465-9921-8-19/FIGURES/2_557" TargetMode="External"/><Relationship Id="rId1173" Type="http://schemas.openxmlformats.org/officeDocument/2006/relationships/hyperlink" Target="https://doi.org/10.2147/JAA.S113747" TargetMode="External"/><Relationship Id="rId1380" Type="http://schemas.openxmlformats.org/officeDocument/2006/relationships/hyperlink" Target="https://dissercat.com/content/osobennosti-techeniya-i-lecheniya-bronkhialnoi-astmy-v-period-beremennosti-0" TargetMode="External"/><Relationship Id="rId182" Type="http://schemas.openxmlformats.org/officeDocument/2006/relationships/hyperlink" Target="https://doi.org/10.18093/0869-0189-2011-0-2-276-287" TargetMode="External"/><Relationship Id="rId403" Type="http://schemas.openxmlformats.org/officeDocument/2006/relationships/hyperlink" Target="https://doi.org/10.18093/08690189-2023-33-3-307-340" TargetMode="External"/><Relationship Id="rId750" Type="http://schemas.openxmlformats.org/officeDocument/2006/relationships/hyperlink" Target="https://doi.org/10.1016/J.JACI.2007.08.063" TargetMode="External"/><Relationship Id="rId848" Type="http://schemas.openxmlformats.org/officeDocument/2006/relationships/hyperlink" Target="https://doi.org/10.1007/S41030-017-0043-5" TargetMode="External"/><Relationship Id="rId1033" Type="http://schemas.openxmlformats.org/officeDocument/2006/relationships/hyperlink" Target="https://doi.org/10.1111/RESP.12168" TargetMode="External"/><Relationship Id="rId1478" Type="http://schemas.openxmlformats.org/officeDocument/2006/relationships/hyperlink" Target="https://doi.org/10.1111/ALL.12368" TargetMode="External"/><Relationship Id="rId487" Type="http://schemas.openxmlformats.org/officeDocument/2006/relationships/hyperlink" Target="https://cyberleninka.ru/article/n/bronhomotornye-testy-v-klinicheskoy-diagnostike-bronhialnoy-astmy" TargetMode="External"/><Relationship Id="rId610" Type="http://schemas.openxmlformats.org/officeDocument/2006/relationships/hyperlink" Target="https://doi.org/10.1371/journal.pone.0294416" TargetMode="External"/><Relationship Id="rId694" Type="http://schemas.openxmlformats.org/officeDocument/2006/relationships/hyperlink" Target="https://doi.org/10.2147/JAA.S358798" TargetMode="External"/><Relationship Id="rId708" Type="http://schemas.openxmlformats.org/officeDocument/2006/relationships/hyperlink" Target="https://doi.org/10.1007/S12325-022-02092-7" TargetMode="External"/><Relationship Id="rId915" Type="http://schemas.openxmlformats.org/officeDocument/2006/relationships/hyperlink" Target="https://doi.org/10.1055/S-0031-1300502" TargetMode="External"/><Relationship Id="rId1240" Type="http://schemas.openxmlformats.org/officeDocument/2006/relationships/hyperlink" Target="https://raaci.ru/education/clinic_recomendations/103.html" TargetMode="External"/><Relationship Id="rId1338" Type="http://schemas.openxmlformats.org/officeDocument/2006/relationships/hyperlink" Target="https://cyberleninka.ru/article/n/bronhialnaya-astma-i-beremennost-4" TargetMode="External"/><Relationship Id="rId347" Type="http://schemas.openxmlformats.org/officeDocument/2006/relationships/hyperlink" Target="https://www.rmj.ru/articles/bolezni_dykhatelnykh_putey/Infekcionnye_zabolevaniya_dyhatelynogo_trakta_u_bolynyh_s_bronhialynoy_astmoy/" TargetMode="External"/><Relationship Id="rId999" Type="http://schemas.openxmlformats.org/officeDocument/2006/relationships/hyperlink" Target="https://doi.org/10.18093/0869-0189-2006-4-58-67" TargetMode="External"/><Relationship Id="rId1100" Type="http://schemas.openxmlformats.org/officeDocument/2006/relationships/hyperlink" Target="https://doi.org/10.1111/J.1445-5994.2010.02192.X" TargetMode="External"/><Relationship Id="rId1184" Type="http://schemas.openxmlformats.org/officeDocument/2006/relationships/hyperlink" Target="https://doi.org/10.1016/S0002-9343(03)00241-9" TargetMode="External"/><Relationship Id="rId1405" Type="http://schemas.openxmlformats.org/officeDocument/2006/relationships/hyperlink" Target="https://doi.org/10.1186/1471-2466-6-S1-S4" TargetMode="External"/><Relationship Id="rId44" Type="http://schemas.openxmlformats.org/officeDocument/2006/relationships/hyperlink" Target="https://doi.org/10.1016/S0002-9343(02)01242-1" TargetMode="External"/><Relationship Id="rId554" Type="http://schemas.openxmlformats.org/officeDocument/2006/relationships/hyperlink" Target="https://doi.org/10.1111/J.1440-1843.2009.01605.X" TargetMode="External"/><Relationship Id="rId761" Type="http://schemas.openxmlformats.org/officeDocument/2006/relationships/hyperlink" Target="https://doi.org/10.1002/14651858.cd005533" TargetMode="External"/><Relationship Id="rId859" Type="http://schemas.openxmlformats.org/officeDocument/2006/relationships/hyperlink" Target="https://doi.org/10.1016/0091-6749(82)90065-3" TargetMode="External"/><Relationship Id="rId1391" Type="http://schemas.openxmlformats.org/officeDocument/2006/relationships/hyperlink" Target="https://doi.org/10.1258/OM.2012.120008" TargetMode="External"/><Relationship Id="rId1489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193" Type="http://schemas.openxmlformats.org/officeDocument/2006/relationships/hyperlink" Target="https://doi.org/10.1111/J.1398-9995.2012.02865.X" TargetMode="External"/><Relationship Id="rId207" Type="http://schemas.openxmlformats.org/officeDocument/2006/relationships/hyperlink" Target="https://doi.org/10.1016/J.RMED.2019.105806" TargetMode="External"/><Relationship Id="rId414" Type="http://schemas.openxmlformats.org/officeDocument/2006/relationships/hyperlink" Target="https://doi.org/10.18093/0869-0189-2014-0-6-11-24" TargetMode="External"/><Relationship Id="rId498" Type="http://schemas.openxmlformats.org/officeDocument/2006/relationships/hyperlink" Target="https://doi.org/10.1183/13993003.01526-2016" TargetMode="External"/><Relationship Id="rId621" Type="http://schemas.openxmlformats.org/officeDocument/2006/relationships/hyperlink" Target="https://doi.org/10.1183/16000617.0039-2022" TargetMode="External"/><Relationship Id="rId1044" Type="http://schemas.openxmlformats.org/officeDocument/2006/relationships/hyperlink" Target="https://doi.org/10.1007/s12098-014-1498-0" TargetMode="External"/><Relationship Id="rId1251" Type="http://schemas.openxmlformats.org/officeDocument/2006/relationships/hyperlink" Target="https://doi.org/10.1186/1939-4551-7-6" TargetMode="External"/><Relationship Id="rId1349" Type="http://schemas.openxmlformats.org/officeDocument/2006/relationships/hyperlink" Target="https://doi.org/10.1111/J.1398-9995.2004.00526.X" TargetMode="External"/><Relationship Id="rId260" Type="http://schemas.openxmlformats.org/officeDocument/2006/relationships/hyperlink" Target="https://doi.org/10.1016/S0091-6749(99)70402-1" TargetMode="External"/><Relationship Id="rId719" Type="http://schemas.openxmlformats.org/officeDocument/2006/relationships/hyperlink" Target="https://doi.org/10.1186/1465-9921-12-38" TargetMode="External"/><Relationship Id="rId926" Type="http://schemas.openxmlformats.org/officeDocument/2006/relationships/hyperlink" Target="https://doi.org/10.1016/S2213-2600(15)00042-9" TargetMode="External"/><Relationship Id="rId1111" Type="http://schemas.openxmlformats.org/officeDocument/2006/relationships/hyperlink" Target="https://doi.org/10.1002/14651858.CD003898.PUB6" TargetMode="External"/><Relationship Id="rId55" Type="http://schemas.openxmlformats.org/officeDocument/2006/relationships/hyperlink" Target="https://doi.org/10.1016/S0140-6736(01)05779-8" TargetMode="External"/><Relationship Id="rId120" Type="http://schemas.openxmlformats.org/officeDocument/2006/relationships/hyperlink" Target="https://doi.org/10.18093/0869-0189-2005-0-2-57-62" TargetMode="External"/><Relationship Id="rId358" Type="http://schemas.openxmlformats.org/officeDocument/2006/relationships/hyperlink" Target="https://doi.org/10.1530/EJE-16-0653" TargetMode="External"/><Relationship Id="rId565" Type="http://schemas.openxmlformats.org/officeDocument/2006/relationships/hyperlink" Target="https://doi.org/10.1186/S40733-018-0045-6" TargetMode="External"/><Relationship Id="rId772" Type="http://schemas.openxmlformats.org/officeDocument/2006/relationships/hyperlink" Target="https://doi.org/10.1186/S40733-016-0020-Z" TargetMode="External"/><Relationship Id="rId1195" Type="http://schemas.openxmlformats.org/officeDocument/2006/relationships/hyperlink" Target="https://doi.org/10.1097/01.PCC.0000257115.02573.FC" TargetMode="External"/><Relationship Id="rId1209" Type="http://schemas.openxmlformats.org/officeDocument/2006/relationships/hyperlink" Target="https://doi.org/10.1007/S11882-020-00948-Y" TargetMode="External"/><Relationship Id="rId1416" Type="http://schemas.openxmlformats.org/officeDocument/2006/relationships/hyperlink" Target="https://doi.org/10.1016/J.JAIP.2023.10.013" TargetMode="External"/><Relationship Id="rId218" Type="http://schemas.openxmlformats.org/officeDocument/2006/relationships/hyperlink" Target="https://doi.org/10.1016/S2213-2600(15)00367-7" TargetMode="External"/><Relationship Id="rId425" Type="http://schemas.openxmlformats.org/officeDocument/2006/relationships/hyperlink" Target="https://doi.org/10.1016/J.JAIP.2022.10.031" TargetMode="External"/><Relationship Id="rId632" Type="http://schemas.openxmlformats.org/officeDocument/2006/relationships/hyperlink" Target="https://doi.org/10.1007/s12325-022-02410-z" TargetMode="External"/><Relationship Id="rId1055" Type="http://schemas.openxmlformats.org/officeDocument/2006/relationships/hyperlink" Target="https://doi.org/10.2165/00063030-200014040-00004" TargetMode="External"/><Relationship Id="rId1262" Type="http://schemas.openxmlformats.org/officeDocument/2006/relationships/hyperlink" Target="https://doi.org/10.1002/14651858.CD011293.pub3" TargetMode="External"/><Relationship Id="rId271" Type="http://schemas.openxmlformats.org/officeDocument/2006/relationships/hyperlink" Target="https://doi.org/10.1111/CEA.12774" TargetMode="External"/><Relationship Id="rId937" Type="http://schemas.openxmlformats.org/officeDocument/2006/relationships/hyperlink" Target="https://doi.org/10.1016/J.JACI.2010.04.004" TargetMode="External"/><Relationship Id="rId1122" Type="http://schemas.openxmlformats.org/officeDocument/2006/relationships/hyperlink" Target="https://doi.org/10.1016/S2213-2600(13)70070-5" TargetMode="External"/><Relationship Id="rId66" Type="http://schemas.openxmlformats.org/officeDocument/2006/relationships/hyperlink" Target="https://doi.org/10.1136/THX.54.3.268" TargetMode="External"/><Relationship Id="rId131" Type="http://schemas.openxmlformats.org/officeDocument/2006/relationships/hyperlink" Target="https://cyberleninka.ru/article/n/osobennosti-techeniya-bronhialnoy-astmy-u-podrostkov-i-yunoshey-prizyvnogo-vozrasta" TargetMode="External"/><Relationship Id="rId369" Type="http://schemas.openxmlformats.org/officeDocument/2006/relationships/hyperlink" Target="https://doi.org/10.3389/FPED.2019.00054" TargetMode="External"/><Relationship Id="rId576" Type="http://schemas.openxmlformats.org/officeDocument/2006/relationships/hyperlink" Target="https://doi.org/10.1378/CHEST.100.1.14" TargetMode="External"/><Relationship Id="rId783" Type="http://schemas.openxmlformats.org/officeDocument/2006/relationships/hyperlink" Target="https://doi.org/10.1111/PAI.13010" TargetMode="External"/><Relationship Id="rId990" Type="http://schemas.openxmlformats.org/officeDocument/2006/relationships/hyperlink" Target="https://doi.org/10.18093/0869-0189-2006-4-58-67" TargetMode="External"/><Relationship Id="rId1427" Type="http://schemas.openxmlformats.org/officeDocument/2006/relationships/hyperlink" Target="https://doi.org/10.1111/RESP.13528" TargetMode="External"/><Relationship Id="rId229" Type="http://schemas.openxmlformats.org/officeDocument/2006/relationships/hyperlink" Target="https://doi.org/10.1164/RCCM.200310-1376OC" TargetMode="External"/><Relationship Id="rId436" Type="http://schemas.openxmlformats.org/officeDocument/2006/relationships/hyperlink" Target="https://doi.org/10.1183/13993003.04173-2020" TargetMode="External"/><Relationship Id="rId643" Type="http://schemas.openxmlformats.org/officeDocument/2006/relationships/hyperlink" Target="https://doi.org/10.1056/NEJMOA1715274" TargetMode="External"/><Relationship Id="rId1066" Type="http://schemas.openxmlformats.org/officeDocument/2006/relationships/hyperlink" Target="https://doi.org/10.1016/S1081-1206(10)61758-9" TargetMode="External"/><Relationship Id="rId1273" Type="http://schemas.openxmlformats.org/officeDocument/2006/relationships/hyperlink" Target="https://doi.org/10.1080/02770903.2019.1678636" TargetMode="External"/><Relationship Id="rId1480" Type="http://schemas.openxmlformats.org/officeDocument/2006/relationships/hyperlink" Target="https://doi.org/10.1016/J.JACI.2006.01.011" TargetMode="External"/><Relationship Id="rId850" Type="http://schemas.openxmlformats.org/officeDocument/2006/relationships/hyperlink" Target="https://doi.org/10.1016/0954-6111(95)90154-X" TargetMode="External"/><Relationship Id="rId948" Type="http://schemas.openxmlformats.org/officeDocument/2006/relationships/hyperlink" Target="https://doi.org/10.1016/j.chest.2022.08.019" TargetMode="External"/><Relationship Id="rId1133" Type="http://schemas.openxmlformats.org/officeDocument/2006/relationships/hyperlink" Target="https://doi.org/10.1016/B978-008055232-3.61213-9" TargetMode="External"/><Relationship Id="rId77" Type="http://schemas.openxmlformats.org/officeDocument/2006/relationships/hyperlink" Target="http://www.ginasthma.org/" TargetMode="External"/><Relationship Id="rId282" Type="http://schemas.openxmlformats.org/officeDocument/2006/relationships/hyperlink" Target="https://doi.org/10.1001/JAMAPEDIATRICS.2015.4127" TargetMode="External"/><Relationship Id="rId503" Type="http://schemas.openxmlformats.org/officeDocument/2006/relationships/hyperlink" Target="https://doi.org/10.1016/0091-6749(85)90032-6" TargetMode="External"/><Relationship Id="rId587" Type="http://schemas.openxmlformats.org/officeDocument/2006/relationships/hyperlink" Target="https://doi.org/10.1111/J.1398-9995.2011.02728.X" TargetMode="External"/><Relationship Id="rId710" Type="http://schemas.openxmlformats.org/officeDocument/2006/relationships/hyperlink" Target="https://doi.org/10.1007/S12325-022-02092-7" TargetMode="External"/><Relationship Id="rId808" Type="http://schemas.openxmlformats.org/officeDocument/2006/relationships/hyperlink" Target="https://doi.org/10.3389/FPHYS.2023.1131949" TargetMode="External"/><Relationship Id="rId1340" Type="http://schemas.openxmlformats.org/officeDocument/2006/relationships/hyperlink" Target="https://cyberleninka.ru/article/n/bronhialnaya-astma-i-beremennost-4" TargetMode="External"/><Relationship Id="rId1438" Type="http://schemas.openxmlformats.org/officeDocument/2006/relationships/hyperlink" Target="https://doi.org/10.1016/J.JACI.2011.11.020" TargetMode="External"/><Relationship Id="rId8" Type="http://schemas.openxmlformats.org/officeDocument/2006/relationships/footer" Target="footer1.xml"/><Relationship Id="rId142" Type="http://schemas.openxmlformats.org/officeDocument/2006/relationships/hyperlink" Target="https://cyberleninka.ru/article/n/osobennosti-techeniya-bronhialnoy-astmy-u-podrostkov-i-yunoshey-prizyvnogo-vozrasta" TargetMode="External"/><Relationship Id="rId447" Type="http://schemas.openxmlformats.org/officeDocument/2006/relationships/hyperlink" Target="https://doi.org/10.1016/S0140-6736(98)06128-5" TargetMode="External"/><Relationship Id="rId794" Type="http://schemas.openxmlformats.org/officeDocument/2006/relationships/hyperlink" Target="https://doi.org/10.1016/S0140-6736(19)32215-9" TargetMode="External"/><Relationship Id="rId1077" Type="http://schemas.openxmlformats.org/officeDocument/2006/relationships/hyperlink" Target="https://doi.org/10.18203/2349-3291.IJCP20172542" TargetMode="External"/><Relationship Id="rId1200" Type="http://schemas.openxmlformats.org/officeDocument/2006/relationships/hyperlink" Target="https://doi.org/10.1097/00003246-199311000-00023" TargetMode="External"/><Relationship Id="rId654" Type="http://schemas.openxmlformats.org/officeDocument/2006/relationships/hyperlink" Target="https://doi.org/10.1016/S0091-6749(96)70282-8" TargetMode="External"/><Relationship Id="rId861" Type="http://schemas.openxmlformats.org/officeDocument/2006/relationships/hyperlink" Target="https://doi.org/10.1002/14651858.CD003559.PUB4" TargetMode="External"/><Relationship Id="rId959" Type="http://schemas.openxmlformats.org/officeDocument/2006/relationships/hyperlink" Target="https://doi.org/10.1183/13993003.01381-2019" TargetMode="External"/><Relationship Id="rId1284" Type="http://schemas.openxmlformats.org/officeDocument/2006/relationships/hyperlink" Target="https://doi.org/10.4103/LUNGINDIA.LUNGINDIA_418_19" TargetMode="External"/><Relationship Id="rId1491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1505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93" Type="http://schemas.openxmlformats.org/officeDocument/2006/relationships/hyperlink" Target="https://cr.minzdrav.gov.ru/schema/735_1" TargetMode="External"/><Relationship Id="rId307" Type="http://schemas.openxmlformats.org/officeDocument/2006/relationships/hyperlink" Target="https://doi.org/10.18093/0869-0189-2017-27-3-311-319" TargetMode="External"/><Relationship Id="rId514" Type="http://schemas.openxmlformats.org/officeDocument/2006/relationships/hyperlink" Target="https://doi.org/10.1016/0954-6111(95)90249-X" TargetMode="External"/><Relationship Id="rId721" Type="http://schemas.openxmlformats.org/officeDocument/2006/relationships/hyperlink" Target="https://doi.org/10.1186/1465-9921-12-38" TargetMode="External"/><Relationship Id="rId1144" Type="http://schemas.openxmlformats.org/officeDocument/2006/relationships/hyperlink" Target="https://doi.org/10.1136/BMJRESP-2021-001137" TargetMode="External"/><Relationship Id="rId1351" Type="http://schemas.openxmlformats.org/officeDocument/2006/relationships/hyperlink" Target="https://doi.org/10.1111/J.1398-9995.2004.00526.X" TargetMode="External"/><Relationship Id="rId1449" Type="http://schemas.openxmlformats.org/officeDocument/2006/relationships/hyperlink" Target="https://doi.org/10.1111/J.1398-9995.1999.TB04391.X" TargetMode="External"/><Relationship Id="rId88" Type="http://schemas.openxmlformats.org/officeDocument/2006/relationships/hyperlink" Target="https://doi.org/10.1164/AJRCCM.162.2.9905079" TargetMode="External"/><Relationship Id="rId153" Type="http://schemas.openxmlformats.org/officeDocument/2006/relationships/hyperlink" Target="https://doi.org/10.1183/13993003.01585-2021" TargetMode="External"/><Relationship Id="rId360" Type="http://schemas.openxmlformats.org/officeDocument/2006/relationships/hyperlink" Target="https://doi.org/10.1530/EJE-16-0653" TargetMode="External"/><Relationship Id="rId598" Type="http://schemas.openxmlformats.org/officeDocument/2006/relationships/hyperlink" Target="https://doi.org/10.1513/ANNALSATS.201711-886OC" TargetMode="External"/><Relationship Id="rId819" Type="http://schemas.openxmlformats.org/officeDocument/2006/relationships/hyperlink" Target="https://doi.org/10.1016/S2213-2600(15)00031-4" TargetMode="External"/><Relationship Id="rId1004" Type="http://schemas.openxmlformats.org/officeDocument/2006/relationships/hyperlink" Target="https://cyberleninka.ru/article/n/nebulayzernaya-terapiya-suspenziey-pulmikorta-pri-tyazheloy-bronhialnoy-astme" TargetMode="External"/><Relationship Id="rId1211" Type="http://schemas.openxmlformats.org/officeDocument/2006/relationships/hyperlink" Target="https://doi.org/10.1007/S11882-020-00948-Y" TargetMode="External"/><Relationship Id="rId220" Type="http://schemas.openxmlformats.org/officeDocument/2006/relationships/hyperlink" Target="https://doi.org/10.1016/S2213-2600(15)00367-7" TargetMode="External"/><Relationship Id="rId458" Type="http://schemas.openxmlformats.org/officeDocument/2006/relationships/hyperlink" Target="https://doi.org/10.1136/THORAXJNL-2011-201445" TargetMode="External"/><Relationship Id="rId665" Type="http://schemas.openxmlformats.org/officeDocument/2006/relationships/hyperlink" Target="https://doi.org/10.1016/j.jaip.2020.03.013" TargetMode="External"/><Relationship Id="rId872" Type="http://schemas.openxmlformats.org/officeDocument/2006/relationships/hyperlink" Target="https://doi.org/10.1186/S12931-019-1065-3" TargetMode="External"/><Relationship Id="rId1088" Type="http://schemas.openxmlformats.org/officeDocument/2006/relationships/hyperlink" Target="https://doi.org/10.1002/14651858.CD001740/EPDF/ABSTRACT" TargetMode="External"/><Relationship Id="rId1295" Type="http://schemas.openxmlformats.org/officeDocument/2006/relationships/hyperlink" Target="https://doi.org/10.31550/1727-2378-2020-19-11-38-41" TargetMode="External"/><Relationship Id="rId1309" Type="http://schemas.openxmlformats.org/officeDocument/2006/relationships/hyperlink" Target="https://doi.org/10.1186/s40001-023-01634-1" TargetMode="External"/><Relationship Id="rId1516" Type="http://schemas.openxmlformats.org/officeDocument/2006/relationships/image" Target="media/image7.jpg"/><Relationship Id="rId15" Type="http://schemas.openxmlformats.org/officeDocument/2006/relationships/footer" Target="footer5.xml"/><Relationship Id="rId318" Type="http://schemas.openxmlformats.org/officeDocument/2006/relationships/hyperlink" Target="https://www.rmj.ru/articles/bolezni_dykhatelnykh_putey/Infekcionnye_zabolevaniya_dyhatelynogo_trakta_u_bolynyh_s_bronhialynoy_astmoy/" TargetMode="External"/><Relationship Id="rId525" Type="http://schemas.openxmlformats.org/officeDocument/2006/relationships/hyperlink" Target="https://doi.org/10.1016/S0196-0644(82)80298-9" TargetMode="External"/><Relationship Id="rId732" Type="http://schemas.openxmlformats.org/officeDocument/2006/relationships/hyperlink" Target="https://doi.org/10.1164/AJRCCM.162.4.2002019" TargetMode="External"/><Relationship Id="rId1155" Type="http://schemas.openxmlformats.org/officeDocument/2006/relationships/hyperlink" Target="https://doi.org/10.1371/JOURNAL.PONE.0267445" TargetMode="External"/><Relationship Id="rId1362" Type="http://schemas.openxmlformats.org/officeDocument/2006/relationships/hyperlink" Target="https://doi.org/10.1016/S0029-7844(98)00191-4" TargetMode="External"/><Relationship Id="rId99" Type="http://schemas.openxmlformats.org/officeDocument/2006/relationships/hyperlink" Target="https://doi.org/10.18093/0869-0189-2008-0-2-15-19" TargetMode="External"/><Relationship Id="rId164" Type="http://schemas.openxmlformats.org/officeDocument/2006/relationships/hyperlink" Target="https://doi.org/10.4104/PCRJ.2009.00010" TargetMode="External"/><Relationship Id="rId371" Type="http://schemas.openxmlformats.org/officeDocument/2006/relationships/hyperlink" Target="https://spulmo.ru/upload/kr/Spirometria_2023.pdf?t=1" TargetMode="External"/><Relationship Id="rId1015" Type="http://schemas.openxmlformats.org/officeDocument/2006/relationships/hyperlink" Target="https://cyberleninka.ru/article/n/nebulayzernaya-terapiya-suspenziey-pulmikorta-pri-tyazheloy-bronhialnoy-astme" TargetMode="External"/><Relationship Id="rId1222" Type="http://schemas.openxmlformats.org/officeDocument/2006/relationships/hyperlink" Target="https://doi.org/10.1111/pai.13915" TargetMode="External"/><Relationship Id="rId469" Type="http://schemas.openxmlformats.org/officeDocument/2006/relationships/hyperlink" Target="https://doi.org/10.1183/13993003.01033-2018" TargetMode="External"/><Relationship Id="rId676" Type="http://schemas.openxmlformats.org/officeDocument/2006/relationships/hyperlink" Target="https://doi.org/10.1007/s12325-022-02092-7" TargetMode="External"/><Relationship Id="rId883" Type="http://schemas.openxmlformats.org/officeDocument/2006/relationships/hyperlink" Target="https://doi.org/10.1016/S0140-6736(16)30307-5" TargetMode="External"/><Relationship Id="rId1099" Type="http://schemas.openxmlformats.org/officeDocument/2006/relationships/hyperlink" Target="https://doi.org/10.1111/J.1445-5994.2010.02192.X" TargetMode="External"/><Relationship Id="rId1527" Type="http://schemas.openxmlformats.org/officeDocument/2006/relationships/hyperlink" Target="http://www.ginasthma.org/" TargetMode="External"/><Relationship Id="rId26" Type="http://schemas.openxmlformats.org/officeDocument/2006/relationships/hyperlink" Target="https://doi.org/10.1016/S0140-6736(20)30925-9" TargetMode="External"/><Relationship Id="rId231" Type="http://schemas.openxmlformats.org/officeDocument/2006/relationships/hyperlink" Target="https://doi.org/10.1164/RCCM.200310-1376OC" TargetMode="External"/><Relationship Id="rId329" Type="http://schemas.openxmlformats.org/officeDocument/2006/relationships/hyperlink" Target="https://www.rmj.ru/articles/bolezni_dykhatelnykh_putey/Infekcionnye_zabolevaniya_dyhatelynogo_trakta_u_bolynyh_s_bronhialynoy_astmoy/" TargetMode="External"/><Relationship Id="rId536" Type="http://schemas.openxmlformats.org/officeDocument/2006/relationships/hyperlink" Target="https://cyberleninka.ru/article/n/osobennosti-issledovaniya-funktsii-vneshnego-dyhaniya-u-detey-i-podrostkov" TargetMode="External"/><Relationship Id="rId1166" Type="http://schemas.openxmlformats.org/officeDocument/2006/relationships/hyperlink" Target="https://doi.org/10.1164/RCCM.200906-0937OC" TargetMode="External"/><Relationship Id="rId1373" Type="http://schemas.openxmlformats.org/officeDocument/2006/relationships/hyperlink" Target="https://dissercat.com/content/osobennosti-techeniya-i-lecheniya-bronkhialnoi-astmy-v-period-beremennosti-0" TargetMode="External"/><Relationship Id="rId175" Type="http://schemas.openxmlformats.org/officeDocument/2006/relationships/hyperlink" Target="https://doi.org/10.18093/0869-0189-2011-0-2-276-287" TargetMode="External"/><Relationship Id="rId743" Type="http://schemas.openxmlformats.org/officeDocument/2006/relationships/hyperlink" Target="https://doi.org/10.1183/16000617.0124-2023" TargetMode="External"/><Relationship Id="rId950" Type="http://schemas.openxmlformats.org/officeDocument/2006/relationships/hyperlink" Target="https://doi.org/10.1016/J.JACI.2013.11.026" TargetMode="External"/><Relationship Id="rId1026" Type="http://schemas.openxmlformats.org/officeDocument/2006/relationships/hyperlink" Target="https://doi.org/10.1007/s12098-014-1498-0" TargetMode="External"/><Relationship Id="rId382" Type="http://schemas.openxmlformats.org/officeDocument/2006/relationships/hyperlink" Target="https://spulmo.ru/upload/kr/Spirometria_2023.pdf?t=1" TargetMode="External"/><Relationship Id="rId603" Type="http://schemas.openxmlformats.org/officeDocument/2006/relationships/hyperlink" Target="https://doi.org/10.1016/S2213-2600(16)30160-6" TargetMode="External"/><Relationship Id="rId687" Type="http://schemas.openxmlformats.org/officeDocument/2006/relationships/hyperlink" Target="https://doi.org/10.1016/S0140-6736(10)62145-9" TargetMode="External"/><Relationship Id="rId810" Type="http://schemas.openxmlformats.org/officeDocument/2006/relationships/hyperlink" Target="https://doi.org/10.1016/j.rmed.2015.06.006" TargetMode="External"/><Relationship Id="rId908" Type="http://schemas.openxmlformats.org/officeDocument/2006/relationships/hyperlink" Target="https://doi.org/10.1164/RCCM.200208-789OC" TargetMode="External"/><Relationship Id="rId1233" Type="http://schemas.openxmlformats.org/officeDocument/2006/relationships/hyperlink" Target="https://raaci.ru/education/clinic_recomendations/103.html" TargetMode="External"/><Relationship Id="rId1440" Type="http://schemas.openxmlformats.org/officeDocument/2006/relationships/hyperlink" Target="https://doi.org/10.1017/S0950268817000887" TargetMode="External"/><Relationship Id="rId1538" Type="http://schemas.openxmlformats.org/officeDocument/2006/relationships/fontTable" Target="fontTable.xml"/><Relationship Id="rId242" Type="http://schemas.openxmlformats.org/officeDocument/2006/relationships/hyperlink" Target="https://doi.org/10.1016/S2213-2600(15)00050-8" TargetMode="External"/><Relationship Id="rId894" Type="http://schemas.openxmlformats.org/officeDocument/2006/relationships/hyperlink" Target="https://doi.org/10.1016/S2213-2600(21)00352-0" TargetMode="External"/><Relationship Id="rId1177" Type="http://schemas.openxmlformats.org/officeDocument/2006/relationships/hyperlink" Target="https://doi.org/10.1378/CHEST.117.3.728" TargetMode="External"/><Relationship Id="rId1300" Type="http://schemas.openxmlformats.org/officeDocument/2006/relationships/hyperlink" Target="https://doi.org/10.1002/14651858.CD001277.pub4" TargetMode="External"/><Relationship Id="rId37" Type="http://schemas.openxmlformats.org/officeDocument/2006/relationships/hyperlink" Target="https://www.cdc.gov/asthma/most_recent_data.htm" TargetMode="External"/><Relationship Id="rId102" Type="http://schemas.openxmlformats.org/officeDocument/2006/relationships/hyperlink" Target="https://doi.org/10.18093/0869-0189-2008-0-2-15-19" TargetMode="External"/><Relationship Id="rId547" Type="http://schemas.openxmlformats.org/officeDocument/2006/relationships/hyperlink" Target="https://cyberleninka.ru/article/n/osobennosti-issledovaniya-funktsii-vneshnego-dyhaniya-u-detey-i-podrostkov" TargetMode="External"/><Relationship Id="rId754" Type="http://schemas.openxmlformats.org/officeDocument/2006/relationships/hyperlink" Target="https://doi.org/10.1002/14651858.CD007949.pub2" TargetMode="External"/><Relationship Id="rId961" Type="http://schemas.openxmlformats.org/officeDocument/2006/relationships/hyperlink" Target="https://doi.org/10.1016/S0140-6736(17)31281-3" TargetMode="External"/><Relationship Id="rId1384" Type="http://schemas.openxmlformats.org/officeDocument/2006/relationships/hyperlink" Target="https://dissercat.com/content/osobennosti-techeniya-i-lecheniya-bronkhialnoi-astmy-v-period-beremennosti-0" TargetMode="External"/><Relationship Id="rId90" Type="http://schemas.openxmlformats.org/officeDocument/2006/relationships/hyperlink" Target="https://doi.org/10.1164/AJRCCM.162.2.9905079" TargetMode="External"/><Relationship Id="rId186" Type="http://schemas.openxmlformats.org/officeDocument/2006/relationships/hyperlink" Target="https://doi.org/10.18093/0869-0189-2011-0-2-276-287" TargetMode="External"/><Relationship Id="rId393" Type="http://schemas.openxmlformats.org/officeDocument/2006/relationships/hyperlink" Target="https://doi.org/10.18093/08690189-2023-33-3-307-340" TargetMode="External"/><Relationship Id="rId407" Type="http://schemas.openxmlformats.org/officeDocument/2006/relationships/hyperlink" Target="https://doi.org/10.18093/0869-0189-2014-0-6-11-24" TargetMode="External"/><Relationship Id="rId614" Type="http://schemas.openxmlformats.org/officeDocument/2006/relationships/hyperlink" Target="https://doi.org/10.1186/s12890-023-02570-w" TargetMode="External"/><Relationship Id="rId821" Type="http://schemas.openxmlformats.org/officeDocument/2006/relationships/hyperlink" Target="https://doi.org/10.1016/S2213-2600(15)00031-4" TargetMode="External"/><Relationship Id="rId1037" Type="http://schemas.openxmlformats.org/officeDocument/2006/relationships/hyperlink" Target="https://doi.org/10.1007/s12098-014-1498-0" TargetMode="External"/><Relationship Id="rId1244" Type="http://schemas.openxmlformats.org/officeDocument/2006/relationships/hyperlink" Target="https://doi.org/10.1111/J.1398-9995.2010.02474.X" TargetMode="External"/><Relationship Id="rId1451" Type="http://schemas.openxmlformats.org/officeDocument/2006/relationships/hyperlink" Target="https://doi.org/10.1111/J.1398-9995.1999.TB04391.X" TargetMode="External"/><Relationship Id="rId253" Type="http://schemas.openxmlformats.org/officeDocument/2006/relationships/hyperlink" Target="https://doi.org/10.1136/BMJOPEN-2014-005748" TargetMode="External"/><Relationship Id="rId460" Type="http://schemas.openxmlformats.org/officeDocument/2006/relationships/hyperlink" Target="https://doi.org/10.1136/THORAXJNL-2011-201445" TargetMode="External"/><Relationship Id="rId698" Type="http://schemas.openxmlformats.org/officeDocument/2006/relationships/hyperlink" Target="https://doi.org/10.1007/S12325-022-02092-7" TargetMode="External"/><Relationship Id="rId919" Type="http://schemas.openxmlformats.org/officeDocument/2006/relationships/hyperlink" Target="https://doi.org/10.1055/S-0031-1300502" TargetMode="External"/><Relationship Id="rId1090" Type="http://schemas.openxmlformats.org/officeDocument/2006/relationships/hyperlink" Target="https://doi.org/10.1002/14651858.CD012195.PUB2" TargetMode="External"/><Relationship Id="rId1104" Type="http://schemas.openxmlformats.org/officeDocument/2006/relationships/hyperlink" Target="https://doi.org/10.5694/J.1326-5377.2008.TB02046.X" TargetMode="External"/><Relationship Id="rId1311" Type="http://schemas.openxmlformats.org/officeDocument/2006/relationships/hyperlink" Target="https://doi.org/10.1186/s40001-023-01634-1" TargetMode="External"/><Relationship Id="rId48" Type="http://schemas.openxmlformats.org/officeDocument/2006/relationships/hyperlink" Target="https://doi.org/10.1016/S0002-9343(02)01242-1" TargetMode="External"/><Relationship Id="rId113" Type="http://schemas.openxmlformats.org/officeDocument/2006/relationships/hyperlink" Target="https://doi.org/10.18093/0869-0189-2005-0-2-57-62" TargetMode="External"/><Relationship Id="rId320" Type="http://schemas.openxmlformats.org/officeDocument/2006/relationships/hyperlink" Target="https://www.rmj.ru/articles/bolezni_dykhatelnykh_putey/Infekcionnye_zabolevaniya_dyhatelynogo_trakta_u_bolynyh_s_bronhialynoy_astmoy/" TargetMode="External"/><Relationship Id="rId558" Type="http://schemas.openxmlformats.org/officeDocument/2006/relationships/hyperlink" Target="https://doi.org/10.3390/JCM8091475" TargetMode="External"/><Relationship Id="rId765" Type="http://schemas.openxmlformats.org/officeDocument/2006/relationships/hyperlink" Target="https://doi.org/10.5694/J.1326-5377.2003.TB05167.X" TargetMode="External"/><Relationship Id="rId972" Type="http://schemas.openxmlformats.org/officeDocument/2006/relationships/hyperlink" Target="https://doi.org/10.1016/J.RMED.2021.106494" TargetMode="External"/><Relationship Id="rId1188" Type="http://schemas.openxmlformats.org/officeDocument/2006/relationships/hyperlink" Target="https://www.aafp.org/pubs/afp/issues/2011/0701/p40.html" TargetMode="External"/><Relationship Id="rId1395" Type="http://schemas.openxmlformats.org/officeDocument/2006/relationships/hyperlink" Target="https://doi.org/10.1024/0040-5930/A000516" TargetMode="External"/><Relationship Id="rId1409" Type="http://schemas.openxmlformats.org/officeDocument/2006/relationships/hyperlink" Target="https://doi.org/10.1111/J.1398-9995.1998.TB03988.X" TargetMode="External"/><Relationship Id="rId197" Type="http://schemas.openxmlformats.org/officeDocument/2006/relationships/hyperlink" Target="https://doi.org/10.1016/J.RMED.2007.07.014" TargetMode="External"/><Relationship Id="rId418" Type="http://schemas.openxmlformats.org/officeDocument/2006/relationships/hyperlink" Target="https://doi.org/10.1164/RCCM.201908-1590ST" TargetMode="External"/><Relationship Id="rId625" Type="http://schemas.openxmlformats.org/officeDocument/2006/relationships/hyperlink" Target="https://doi.org/10.1164/AJRCCM.163.2.9912091" TargetMode="External"/><Relationship Id="rId832" Type="http://schemas.openxmlformats.org/officeDocument/2006/relationships/hyperlink" Target="https://doi.org/10.1002/14651858.CD011438.pub2" TargetMode="External"/><Relationship Id="rId1048" Type="http://schemas.openxmlformats.org/officeDocument/2006/relationships/hyperlink" Target="https://doi.org/10.1177/000992280104000203" TargetMode="External"/><Relationship Id="rId1255" Type="http://schemas.openxmlformats.org/officeDocument/2006/relationships/hyperlink" Target="https://doi.org/10.1186/1939-4551-7-6" TargetMode="External"/><Relationship Id="rId1462" Type="http://schemas.openxmlformats.org/officeDocument/2006/relationships/hyperlink" Target="https://doi.org/10.1016/J.RMED.2011.01.005" TargetMode="External"/><Relationship Id="rId264" Type="http://schemas.openxmlformats.org/officeDocument/2006/relationships/hyperlink" Target="https://doi.org/10.1016/J.JAIP.2022.06.041" TargetMode="External"/><Relationship Id="rId471" Type="http://schemas.openxmlformats.org/officeDocument/2006/relationships/hyperlink" Target="https://doi.org/10.17816/rmj38189" TargetMode="External"/><Relationship Id="rId1115" Type="http://schemas.openxmlformats.org/officeDocument/2006/relationships/hyperlink" Target="https://doi.org/10.1002/14651858.CD012977.pub2" TargetMode="External"/><Relationship Id="rId1322" Type="http://schemas.openxmlformats.org/officeDocument/2006/relationships/hyperlink" Target="https://doi.org/10.1007/s12098-017-2519-6" TargetMode="External"/><Relationship Id="rId59" Type="http://schemas.openxmlformats.org/officeDocument/2006/relationships/hyperlink" Target="https://doi.org/10.1164/RCCM.200601-007OC" TargetMode="External"/><Relationship Id="rId124" Type="http://schemas.openxmlformats.org/officeDocument/2006/relationships/hyperlink" Target="https://doi.org/10.18093/0869-0189-2005-0-2-57-62" TargetMode="External"/><Relationship Id="rId569" Type="http://schemas.openxmlformats.org/officeDocument/2006/relationships/hyperlink" Target="https://doi.org/10.1186/S40733-018-0045-6" TargetMode="External"/><Relationship Id="rId776" Type="http://schemas.openxmlformats.org/officeDocument/2006/relationships/hyperlink" Target="https://doi.org/10.1186/S40733-016-0020-Z" TargetMode="External"/><Relationship Id="rId983" Type="http://schemas.openxmlformats.org/officeDocument/2006/relationships/hyperlink" Target="https://doi.org/10.1186/1465-9921-8-19/FIGURES/2_557" TargetMode="External"/><Relationship Id="rId1199" Type="http://schemas.openxmlformats.org/officeDocument/2006/relationships/hyperlink" Target="https://doi.org/10.1097/00003246-199311000-00023" TargetMode="External"/><Relationship Id="rId331" Type="http://schemas.openxmlformats.org/officeDocument/2006/relationships/hyperlink" Target="https://www.rmj.ru/articles/bolezni_dykhatelnykh_putey/Infekcionnye_zabolevaniya_dyhatelynogo_trakta_u_bolynyh_s_bronhialynoy_astmoy/" TargetMode="External"/><Relationship Id="rId429" Type="http://schemas.openxmlformats.org/officeDocument/2006/relationships/hyperlink" Target="https://doi.org/10.1136/BMJPO-2021-001277" TargetMode="External"/><Relationship Id="rId636" Type="http://schemas.openxmlformats.org/officeDocument/2006/relationships/hyperlink" Target="https://doi.org/10.1007/s12325-022-02410-z" TargetMode="External"/><Relationship Id="rId1059" Type="http://schemas.openxmlformats.org/officeDocument/2006/relationships/hyperlink" Target="https://doi.org/10.1111/J.1553-2712.1998.TB02614.X" TargetMode="External"/><Relationship Id="rId1266" Type="http://schemas.openxmlformats.org/officeDocument/2006/relationships/hyperlink" Target="https://doi.org/10.3390/pathogens10111406" TargetMode="External"/><Relationship Id="rId1473" Type="http://schemas.openxmlformats.org/officeDocument/2006/relationships/hyperlink" Target="https://doi.org/10.1016/S0954-6111(06)80268-4" TargetMode="External"/><Relationship Id="rId843" Type="http://schemas.openxmlformats.org/officeDocument/2006/relationships/hyperlink" Target="https://doi.org/10.1007/S41030-017-0043-5" TargetMode="External"/><Relationship Id="rId1126" Type="http://schemas.openxmlformats.org/officeDocument/2006/relationships/hyperlink" Target="https://doi.org/10.1016/S2213-2600(13)70070-5" TargetMode="External"/><Relationship Id="rId275" Type="http://schemas.openxmlformats.org/officeDocument/2006/relationships/hyperlink" Target="https://doi.org/10.1016/J.WAOJOU.2019.100091" TargetMode="External"/><Relationship Id="rId482" Type="http://schemas.openxmlformats.org/officeDocument/2006/relationships/hyperlink" Target="https://doi.org/10.1513/AnnalsATS.201409-433OC" TargetMode="External"/><Relationship Id="rId703" Type="http://schemas.openxmlformats.org/officeDocument/2006/relationships/hyperlink" Target="https://doi.org/10.1001/JAMA.2018.2769" TargetMode="External"/><Relationship Id="rId910" Type="http://schemas.openxmlformats.org/officeDocument/2006/relationships/hyperlink" Target="https://doi.org/10.1164/RCCM.200208-789OC" TargetMode="External"/><Relationship Id="rId1333" Type="http://schemas.openxmlformats.org/officeDocument/2006/relationships/hyperlink" Target="https://cyberleninka.ru/article/n/bronhialnaya-astma-i-beremennost-4" TargetMode="External"/><Relationship Id="rId135" Type="http://schemas.openxmlformats.org/officeDocument/2006/relationships/hyperlink" Target="https://cyberleninka.ru/article/n/osobennosti-techeniya-bronhialnoy-astmy-u-podrostkov-i-yunoshey-prizyvnogo-vozrasta" TargetMode="External"/><Relationship Id="rId342" Type="http://schemas.openxmlformats.org/officeDocument/2006/relationships/hyperlink" Target="https://www.rmj.ru/articles/bolezni_dykhatelnykh_putey/Infekcionnye_zabolevaniya_dyhatelynogo_trakta_u_bolynyh_s_bronhialynoy_astmoy/" TargetMode="External"/><Relationship Id="rId787" Type="http://schemas.openxmlformats.org/officeDocument/2006/relationships/hyperlink" Target="https://doi.org/10.1002/14651858.CD011721.PUB2" TargetMode="External"/><Relationship Id="rId994" Type="http://schemas.openxmlformats.org/officeDocument/2006/relationships/hyperlink" Target="https://doi.org/10.18093/0869-0189-2006-4-58-67" TargetMode="External"/><Relationship Id="rId1400" Type="http://schemas.openxmlformats.org/officeDocument/2006/relationships/hyperlink" Target="https://doi.org/10.1186/1471-2466-6-S1-S4" TargetMode="External"/><Relationship Id="rId202" Type="http://schemas.openxmlformats.org/officeDocument/2006/relationships/hyperlink" Target="https://doi.org/10.1186/1465-9921-13-59" TargetMode="External"/><Relationship Id="rId647" Type="http://schemas.openxmlformats.org/officeDocument/2006/relationships/hyperlink" Target="https://doi.org/10.1183/23120541.00701-2020" TargetMode="External"/><Relationship Id="rId854" Type="http://schemas.openxmlformats.org/officeDocument/2006/relationships/hyperlink" Target="https://doi.org/10.1016/0954-6111(95)90154-X" TargetMode="External"/><Relationship Id="rId1277" Type="http://schemas.openxmlformats.org/officeDocument/2006/relationships/hyperlink" Target="https://doi.org/10.1159/000488291" TargetMode="External"/><Relationship Id="rId1484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86" Type="http://schemas.openxmlformats.org/officeDocument/2006/relationships/hyperlink" Target="https://cr.minzdrav.gov.ru/schema/735_1" TargetMode="External"/><Relationship Id="rId493" Type="http://schemas.openxmlformats.org/officeDocument/2006/relationships/hyperlink" Target="https://cyberleninka.ru/article/n/bronhomotornye-testy-v-klinicheskoy-diagnostike-bronhialnoy-astmy" TargetMode="External"/><Relationship Id="rId507" Type="http://schemas.openxmlformats.org/officeDocument/2006/relationships/hyperlink" Target="https://doi.org/10.1016/0091-6749(85)90032-6" TargetMode="External"/><Relationship Id="rId714" Type="http://schemas.openxmlformats.org/officeDocument/2006/relationships/hyperlink" Target="https://doi.org/10.2165/11598840-000000000-00000" TargetMode="External"/><Relationship Id="rId921" Type="http://schemas.openxmlformats.org/officeDocument/2006/relationships/hyperlink" Target="https://doi.org/10.1164/RCCM.201103-0396OC" TargetMode="External"/><Relationship Id="rId1137" Type="http://schemas.openxmlformats.org/officeDocument/2006/relationships/hyperlink" Target="https://doi.org/10.1136/BMJRESP-2022-001502" TargetMode="External"/><Relationship Id="rId1344" Type="http://schemas.openxmlformats.org/officeDocument/2006/relationships/hyperlink" Target="https://cyberleninka.ru/article/n/bronhialnaya-astma-i-beremennost-4" TargetMode="External"/><Relationship Id="rId50" Type="http://schemas.openxmlformats.org/officeDocument/2006/relationships/hyperlink" Target="https://doi.org/10.1016/S0140-6736(01)05779-8" TargetMode="External"/><Relationship Id="rId146" Type="http://schemas.openxmlformats.org/officeDocument/2006/relationships/hyperlink" Target="https://doi.org/10.1016/J.PCL.2008.10.003" TargetMode="External"/><Relationship Id="rId353" Type="http://schemas.openxmlformats.org/officeDocument/2006/relationships/hyperlink" Target="https://doi.org/10.1530/EJE-16-0653" TargetMode="External"/><Relationship Id="rId560" Type="http://schemas.openxmlformats.org/officeDocument/2006/relationships/hyperlink" Target="https://doi.org/10.1016/J.CHEST.2021.10.015" TargetMode="External"/><Relationship Id="rId798" Type="http://schemas.openxmlformats.org/officeDocument/2006/relationships/hyperlink" Target="https://doi.org/10.1016/S0140-6736(19)32215-9" TargetMode="External"/><Relationship Id="rId1190" Type="http://schemas.openxmlformats.org/officeDocument/2006/relationships/hyperlink" Target="https://doi.org/10.1136/BMJ.K4169" TargetMode="External"/><Relationship Id="rId1204" Type="http://schemas.openxmlformats.org/officeDocument/2006/relationships/hyperlink" Target="https://doi.org/10.1007/S11882-020-00948-Y" TargetMode="External"/><Relationship Id="rId1411" Type="http://schemas.openxmlformats.org/officeDocument/2006/relationships/hyperlink" Target="https://doi.org/10.1111/J.1398-9995.1998.TB03988.X" TargetMode="External"/><Relationship Id="rId213" Type="http://schemas.openxmlformats.org/officeDocument/2006/relationships/hyperlink" Target="https://doi.org/10.23736/S0026-4946.18.05351-3" TargetMode="External"/><Relationship Id="rId420" Type="http://schemas.openxmlformats.org/officeDocument/2006/relationships/hyperlink" Target="https://doi.org/10.1164/RCCM.201908-1590ST" TargetMode="External"/><Relationship Id="rId658" Type="http://schemas.openxmlformats.org/officeDocument/2006/relationships/hyperlink" Target="https://doi.org/10.1016/S2213-2600(21)00536-1" TargetMode="External"/><Relationship Id="rId865" Type="http://schemas.openxmlformats.org/officeDocument/2006/relationships/hyperlink" Target="https://doi.org/10.1002/14651858.CD010834.pub2" TargetMode="External"/><Relationship Id="rId1050" Type="http://schemas.openxmlformats.org/officeDocument/2006/relationships/hyperlink" Target="https://doi.org/10.2165/00063030-200014040-00004" TargetMode="External"/><Relationship Id="rId1288" Type="http://schemas.openxmlformats.org/officeDocument/2006/relationships/hyperlink" Target="https://doi.org/10.31550/1727-2378-2020-19-11-38-41" TargetMode="External"/><Relationship Id="rId1495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1509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97" Type="http://schemas.openxmlformats.org/officeDocument/2006/relationships/hyperlink" Target="https://doi.org/10.18093/0869-0189-2017-27-3-311-319" TargetMode="External"/><Relationship Id="rId518" Type="http://schemas.openxmlformats.org/officeDocument/2006/relationships/hyperlink" Target="https://doi.org/10.1016/J.JPEDS.2012.09.040" TargetMode="External"/><Relationship Id="rId725" Type="http://schemas.openxmlformats.org/officeDocument/2006/relationships/hyperlink" Target="https://doi.org/10.1186/1465-9921-12-38" TargetMode="External"/><Relationship Id="rId932" Type="http://schemas.openxmlformats.org/officeDocument/2006/relationships/hyperlink" Target="https://doi.org/10.3233/HAB-2009-0198" TargetMode="External"/><Relationship Id="rId1148" Type="http://schemas.openxmlformats.org/officeDocument/2006/relationships/hyperlink" Target="https://doi.org/10.1136/BMJRESP-2021-001137" TargetMode="External"/><Relationship Id="rId1355" Type="http://schemas.openxmlformats.org/officeDocument/2006/relationships/hyperlink" Target="https://doi.org/10.1016/S0029-7844(98)00191-4" TargetMode="External"/><Relationship Id="rId157" Type="http://schemas.openxmlformats.org/officeDocument/2006/relationships/hyperlink" Target="https://doi.org/10.15690/pf.v14i6.1828" TargetMode="External"/><Relationship Id="rId364" Type="http://schemas.openxmlformats.org/officeDocument/2006/relationships/hyperlink" Target="https://doi.org/10.4103/0970-2113.168139" TargetMode="External"/><Relationship Id="rId1008" Type="http://schemas.openxmlformats.org/officeDocument/2006/relationships/hyperlink" Target="https://cyberleninka.ru/article/n/nebulayzernaya-terapiya-suspenziey-pulmikorta-pri-tyazheloy-bronhialnoy-astme" TargetMode="External"/><Relationship Id="rId1215" Type="http://schemas.openxmlformats.org/officeDocument/2006/relationships/hyperlink" Target="https://doi.org/10.1111/j.1398-9995.1998.tb05010.x" TargetMode="External"/><Relationship Id="rId1422" Type="http://schemas.openxmlformats.org/officeDocument/2006/relationships/hyperlink" Target="https://doi.org/10.1111/RESP.13528" TargetMode="External"/><Relationship Id="rId61" Type="http://schemas.openxmlformats.org/officeDocument/2006/relationships/hyperlink" Target="https://bookmix.ru/book.phtml?id=2271191" TargetMode="External"/><Relationship Id="rId571" Type="http://schemas.openxmlformats.org/officeDocument/2006/relationships/hyperlink" Target="https://doi.org/10.1186/S40733-018-0045-6" TargetMode="External"/><Relationship Id="rId669" Type="http://schemas.openxmlformats.org/officeDocument/2006/relationships/hyperlink" Target="https://doi.org/10.1056/nejmoa1715275" TargetMode="External"/><Relationship Id="rId876" Type="http://schemas.openxmlformats.org/officeDocument/2006/relationships/hyperlink" Target="https://doi.org/10.1080/02770903.2016.1212371" TargetMode="External"/><Relationship Id="rId1299" Type="http://schemas.openxmlformats.org/officeDocument/2006/relationships/hyperlink" Target="https://doi.org/10.31550/1727-2378-2020-19-11-38-41" TargetMode="External"/><Relationship Id="rId19" Type="http://schemas.openxmlformats.org/officeDocument/2006/relationships/hyperlink" Target="https://doi.org/10.1152/PHYSREV.00023.2019" TargetMode="External"/><Relationship Id="rId224" Type="http://schemas.openxmlformats.org/officeDocument/2006/relationships/hyperlink" Target="https://doi.org/10.1016/J.WAOJOU.2022.100727" TargetMode="External"/><Relationship Id="rId431" Type="http://schemas.openxmlformats.org/officeDocument/2006/relationships/hyperlink" Target="https://doi.org/10.1136/BMJPO-2021-001277" TargetMode="External"/><Relationship Id="rId529" Type="http://schemas.openxmlformats.org/officeDocument/2006/relationships/hyperlink" Target="https://doi.org/10.1136/THX.2004.023077" TargetMode="External"/><Relationship Id="rId736" Type="http://schemas.openxmlformats.org/officeDocument/2006/relationships/hyperlink" Target="https://doi.org/10.1002/ppul.24176" TargetMode="External"/><Relationship Id="rId1061" Type="http://schemas.openxmlformats.org/officeDocument/2006/relationships/hyperlink" Target="https://doi.org/10.1111/J.1553-2712.1998.TB02614.X" TargetMode="External"/><Relationship Id="rId1159" Type="http://schemas.openxmlformats.org/officeDocument/2006/relationships/hyperlink" Target="https://doi.org/10.1371/JOURNAL.PONE.0267445" TargetMode="External"/><Relationship Id="rId1366" Type="http://schemas.openxmlformats.org/officeDocument/2006/relationships/hyperlink" Target="https://doi.org/10.1016/S0029-7844(98)00191-4" TargetMode="External"/><Relationship Id="rId168" Type="http://schemas.openxmlformats.org/officeDocument/2006/relationships/hyperlink" Target="https://doi.org/10.1183/09031936.00117509" TargetMode="External"/><Relationship Id="rId943" Type="http://schemas.openxmlformats.org/officeDocument/2006/relationships/hyperlink" Target="https://doi.org/10.1016/S0140-6736(19)31881-1" TargetMode="External"/><Relationship Id="rId1019" Type="http://schemas.openxmlformats.org/officeDocument/2006/relationships/hyperlink" Target="https://doi.org/10.1002/14651858.CD002308.pub2" TargetMode="External"/><Relationship Id="rId72" Type="http://schemas.openxmlformats.org/officeDocument/2006/relationships/hyperlink" Target="https://doi.org/10.1183/09031936.00155307" TargetMode="External"/><Relationship Id="rId375" Type="http://schemas.openxmlformats.org/officeDocument/2006/relationships/hyperlink" Target="https://spulmo.ru/upload/kr/Spirometria_2023.pdf?t=1" TargetMode="External"/><Relationship Id="rId582" Type="http://schemas.openxmlformats.org/officeDocument/2006/relationships/hyperlink" Target="https://doi.org/10.1157/13099091" TargetMode="External"/><Relationship Id="rId803" Type="http://schemas.openxmlformats.org/officeDocument/2006/relationships/hyperlink" Target="https://doi.org/10.1001/JAMA.2021.7872" TargetMode="External"/><Relationship Id="rId1226" Type="http://schemas.openxmlformats.org/officeDocument/2006/relationships/hyperlink" Target="https://doi.org/10.1111/pai.13915" TargetMode="External"/><Relationship Id="rId1433" Type="http://schemas.openxmlformats.org/officeDocument/2006/relationships/hyperlink" Target="https://www.spr-journal.ru/757/" TargetMode="External"/><Relationship Id="rId3" Type="http://schemas.openxmlformats.org/officeDocument/2006/relationships/settings" Target="settings.xml"/><Relationship Id="rId235" Type="http://schemas.openxmlformats.org/officeDocument/2006/relationships/hyperlink" Target="https://doi.org/10.1164/RCCM.200203-183OC" TargetMode="External"/><Relationship Id="rId442" Type="http://schemas.openxmlformats.org/officeDocument/2006/relationships/hyperlink" Target="https://doi.org/10.1016/S0140-6736(98)06128-5" TargetMode="External"/><Relationship Id="rId887" Type="http://schemas.openxmlformats.org/officeDocument/2006/relationships/hyperlink" Target="https://doi.org/10.1016/J.JAIP.2022.10.015" TargetMode="External"/><Relationship Id="rId1072" Type="http://schemas.openxmlformats.org/officeDocument/2006/relationships/hyperlink" Target="https://doi.org/10.1080/08035259950168748" TargetMode="External"/><Relationship Id="rId1500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302" Type="http://schemas.openxmlformats.org/officeDocument/2006/relationships/hyperlink" Target="https://doi.org/10.18093/0869-0189-2017-27-3-311-319" TargetMode="External"/><Relationship Id="rId747" Type="http://schemas.openxmlformats.org/officeDocument/2006/relationships/hyperlink" Target="https://doi.org/10.1542/PEDS.2015-4496" TargetMode="External"/><Relationship Id="rId954" Type="http://schemas.openxmlformats.org/officeDocument/2006/relationships/hyperlink" Target="https://doi.org/10.3389/FIMMU.2018.00302" TargetMode="External"/><Relationship Id="rId1377" Type="http://schemas.openxmlformats.org/officeDocument/2006/relationships/hyperlink" Target="https://dissercat.com/content/osobennosti-techeniya-i-lecheniya-bronkhialnoi-astmy-v-period-beremennosti-0" TargetMode="External"/><Relationship Id="rId83" Type="http://schemas.openxmlformats.org/officeDocument/2006/relationships/hyperlink" Target="http://www.ginasthma.org/" TargetMode="External"/><Relationship Id="rId179" Type="http://schemas.openxmlformats.org/officeDocument/2006/relationships/hyperlink" Target="https://doi.org/10.18093/0869-0189-2011-0-2-276-287" TargetMode="External"/><Relationship Id="rId386" Type="http://schemas.openxmlformats.org/officeDocument/2006/relationships/hyperlink" Target="https://spulmo.ru/upload/kr/Spirometria_2023.pdf?t=1" TargetMode="External"/><Relationship Id="rId593" Type="http://schemas.openxmlformats.org/officeDocument/2006/relationships/hyperlink" Target="https://doi.org/10.1136/THX.48.12.1211" TargetMode="External"/><Relationship Id="rId607" Type="http://schemas.openxmlformats.org/officeDocument/2006/relationships/hyperlink" Target="https://doi.org/10.1016/S2213-2600(16)30160-6" TargetMode="External"/><Relationship Id="rId814" Type="http://schemas.openxmlformats.org/officeDocument/2006/relationships/hyperlink" Target="https://doi.org/10.1016/S2213-2600(20)30178-8" TargetMode="External"/><Relationship Id="rId1237" Type="http://schemas.openxmlformats.org/officeDocument/2006/relationships/hyperlink" Target="https://raaci.ru/education/clinic_recomendations/103.html" TargetMode="External"/><Relationship Id="rId1444" Type="http://schemas.openxmlformats.org/officeDocument/2006/relationships/hyperlink" Target="https://doi.org/10.1093/CID/CIY889" TargetMode="External"/><Relationship Id="rId246" Type="http://schemas.openxmlformats.org/officeDocument/2006/relationships/hyperlink" Target="https://doi.org/10.1038/S41598-023-48381-1" TargetMode="External"/><Relationship Id="rId453" Type="http://schemas.openxmlformats.org/officeDocument/2006/relationships/hyperlink" Target="https://doi.org/10.1016/S0140-6736(98)06128-5" TargetMode="External"/><Relationship Id="rId660" Type="http://schemas.openxmlformats.org/officeDocument/2006/relationships/hyperlink" Target="https://doi.org/10.1016/S2213-2600(21)00536-1" TargetMode="External"/><Relationship Id="rId898" Type="http://schemas.openxmlformats.org/officeDocument/2006/relationships/hyperlink" Target="https://doi.org/10.1016/S2213-2600(21)00352-0" TargetMode="External"/><Relationship Id="rId1083" Type="http://schemas.openxmlformats.org/officeDocument/2006/relationships/hyperlink" Target="https://doi.org/10.1155/2000/587957" TargetMode="External"/><Relationship Id="rId1290" Type="http://schemas.openxmlformats.org/officeDocument/2006/relationships/hyperlink" Target="https://doi.org/10.31550/1727-2378-2020-19-11-38-41" TargetMode="External"/><Relationship Id="rId1304" Type="http://schemas.openxmlformats.org/officeDocument/2006/relationships/hyperlink" Target="https://doi.org/10.1177/0269215512450521" TargetMode="External"/><Relationship Id="rId1511" Type="http://schemas.openxmlformats.org/officeDocument/2006/relationships/image" Target="media/image6.png"/><Relationship Id="rId106" Type="http://schemas.openxmlformats.org/officeDocument/2006/relationships/hyperlink" Target="https://doi.org/10.18093/0869-0189-2008-0-2-15-19" TargetMode="External"/><Relationship Id="rId313" Type="http://schemas.openxmlformats.org/officeDocument/2006/relationships/hyperlink" Target="https://www.rmj.ru/articles/bolezni_dykhatelnykh_putey/Infekcionnye_zabolevaniya_dyhatelynogo_trakta_u_bolynyh_s_bronhialynoy_astmoy/" TargetMode="External"/><Relationship Id="rId758" Type="http://schemas.openxmlformats.org/officeDocument/2006/relationships/hyperlink" Target="https://doi.org/10.1002/14651858.CD005307.pub2" TargetMode="External"/><Relationship Id="rId965" Type="http://schemas.openxmlformats.org/officeDocument/2006/relationships/hyperlink" Target="https://doi.org/10.1016/S0140-6736(17)31281-3" TargetMode="External"/><Relationship Id="rId1150" Type="http://schemas.openxmlformats.org/officeDocument/2006/relationships/hyperlink" Target="https://doi.org/10.1371/JOURNAL.PONE.0267445" TargetMode="External"/><Relationship Id="rId1388" Type="http://schemas.openxmlformats.org/officeDocument/2006/relationships/hyperlink" Target="https://doi.org/10.7759/cureus.50094" TargetMode="External"/><Relationship Id="rId10" Type="http://schemas.openxmlformats.org/officeDocument/2006/relationships/footer" Target="footer3.xml"/><Relationship Id="rId94" Type="http://schemas.openxmlformats.org/officeDocument/2006/relationships/hyperlink" Target="https://doi.org/10.1164/AJRCCM.162.2.9905079" TargetMode="External"/><Relationship Id="rId397" Type="http://schemas.openxmlformats.org/officeDocument/2006/relationships/hyperlink" Target="https://doi.org/10.18093/08690189-2023-33-3-307-340" TargetMode="External"/><Relationship Id="rId520" Type="http://schemas.openxmlformats.org/officeDocument/2006/relationships/hyperlink" Target="https://doi.org/10.1016/S0196-0644(82)80298-9" TargetMode="External"/><Relationship Id="rId618" Type="http://schemas.openxmlformats.org/officeDocument/2006/relationships/hyperlink" Target="https://doi.org/10.1186/s12890-023-02570-w" TargetMode="External"/><Relationship Id="rId825" Type="http://schemas.openxmlformats.org/officeDocument/2006/relationships/hyperlink" Target="https://doi.org/10.1016/j.rmed.2014.12.005" TargetMode="External"/><Relationship Id="rId1248" Type="http://schemas.openxmlformats.org/officeDocument/2006/relationships/hyperlink" Target="https://doi.org/10.3389/fped.2023.1137478" TargetMode="External"/><Relationship Id="rId1455" Type="http://schemas.openxmlformats.org/officeDocument/2006/relationships/hyperlink" Target="https://doi.org/10.1097/ACI.0B013E3282F7CD58" TargetMode="External"/><Relationship Id="rId257" Type="http://schemas.openxmlformats.org/officeDocument/2006/relationships/hyperlink" Target="https://doi.org/10.1136/BMJOPEN-2014-005748" TargetMode="External"/><Relationship Id="rId464" Type="http://schemas.openxmlformats.org/officeDocument/2006/relationships/hyperlink" Target="https://doi.org/10.1183/13993003.01033-2018" TargetMode="External"/><Relationship Id="rId1010" Type="http://schemas.openxmlformats.org/officeDocument/2006/relationships/hyperlink" Target="https://cyberleninka.ru/article/n/nebulayzernaya-terapiya-suspenziey-pulmikorta-pri-tyazheloy-bronhialnoy-astme" TargetMode="External"/><Relationship Id="rId1094" Type="http://schemas.openxmlformats.org/officeDocument/2006/relationships/hyperlink" Target="https://doi.org/10.1183/13993003.00703-2018" TargetMode="External"/><Relationship Id="rId1108" Type="http://schemas.openxmlformats.org/officeDocument/2006/relationships/hyperlink" Target="https://doi.org/10.2169/INTERNALMEDICINE.39.794" TargetMode="External"/><Relationship Id="rId1315" Type="http://schemas.openxmlformats.org/officeDocument/2006/relationships/hyperlink" Target="https://doi.org/10.1136/THORAX.58.8.674" TargetMode="External"/><Relationship Id="rId117" Type="http://schemas.openxmlformats.org/officeDocument/2006/relationships/hyperlink" Target="https://doi.org/10.18093/0869-0189-2005-0-2-57-62" TargetMode="External"/><Relationship Id="rId671" Type="http://schemas.openxmlformats.org/officeDocument/2006/relationships/hyperlink" Target="https://doi.org/10.1007/s12325-022-02092-7" TargetMode="External"/><Relationship Id="rId769" Type="http://schemas.openxmlformats.org/officeDocument/2006/relationships/hyperlink" Target="https://doi.org/10.1056/NEJM199711133372002" TargetMode="External"/><Relationship Id="rId976" Type="http://schemas.openxmlformats.org/officeDocument/2006/relationships/hyperlink" Target="https://doi.org/10.5863/1551-6776-18.2.88" TargetMode="External"/><Relationship Id="rId1399" Type="http://schemas.openxmlformats.org/officeDocument/2006/relationships/hyperlink" Target="https://doi.org/10.1186/1471-2466-6-S1-S4" TargetMode="External"/><Relationship Id="rId324" Type="http://schemas.openxmlformats.org/officeDocument/2006/relationships/hyperlink" Target="https://www.rmj.ru/articles/bolezni_dykhatelnykh_putey/Infekcionnye_zabolevaniya_dyhatelynogo_trakta_u_bolynyh_s_bronhialynoy_astmoy/" TargetMode="External"/><Relationship Id="rId531" Type="http://schemas.openxmlformats.org/officeDocument/2006/relationships/hyperlink" Target="https://doi.org/10.1136/THX.2004.023077" TargetMode="External"/><Relationship Id="rId629" Type="http://schemas.openxmlformats.org/officeDocument/2006/relationships/hyperlink" Target="https://doi.org/10.1016/J.JAIP.2024.01.011" TargetMode="External"/><Relationship Id="rId1161" Type="http://schemas.openxmlformats.org/officeDocument/2006/relationships/hyperlink" Target="https://doi.org/10.1073/PNAS.132556899" TargetMode="External"/><Relationship Id="rId1259" Type="http://schemas.openxmlformats.org/officeDocument/2006/relationships/hyperlink" Target="https://doi.org/10.1111/ALL.13749" TargetMode="External"/><Relationship Id="rId1466" Type="http://schemas.openxmlformats.org/officeDocument/2006/relationships/hyperlink" Target="https://doi.org/10.3390/healthcare11081125" TargetMode="External"/><Relationship Id="rId836" Type="http://schemas.openxmlformats.org/officeDocument/2006/relationships/hyperlink" Target="https://doi.org/10.1136/THORAX.58.3.211" TargetMode="External"/><Relationship Id="rId1021" Type="http://schemas.openxmlformats.org/officeDocument/2006/relationships/hyperlink" Target="https://doi.org/10.1002/14651858.CD002316.pub2" TargetMode="External"/><Relationship Id="rId1119" Type="http://schemas.openxmlformats.org/officeDocument/2006/relationships/hyperlink" Target="https://doi.org/10.3389/falgy.2023.1211949" TargetMode="External"/><Relationship Id="rId903" Type="http://schemas.openxmlformats.org/officeDocument/2006/relationships/hyperlink" Target="https://doi.org/10.3389/FPHAR.2022.839011" TargetMode="External"/><Relationship Id="rId1326" Type="http://schemas.openxmlformats.org/officeDocument/2006/relationships/hyperlink" Target="https://doi.org/10.1007/s12098-017-2519-6" TargetMode="External"/><Relationship Id="rId1533" Type="http://schemas.openxmlformats.org/officeDocument/2006/relationships/hyperlink" Target="http://www.ginasthma.org/" TargetMode="External"/><Relationship Id="rId32" Type="http://schemas.openxmlformats.org/officeDocument/2006/relationships/hyperlink" Target="http://www.ginasthma.org/" TargetMode="External"/><Relationship Id="rId181" Type="http://schemas.openxmlformats.org/officeDocument/2006/relationships/hyperlink" Target="https://doi.org/10.18093/0869-0189-2011-0-2-276-287" TargetMode="External"/><Relationship Id="rId279" Type="http://schemas.openxmlformats.org/officeDocument/2006/relationships/hyperlink" Target="https://doi.org/10.1183/13993003.01585-2021" TargetMode="External"/><Relationship Id="rId486" Type="http://schemas.openxmlformats.org/officeDocument/2006/relationships/hyperlink" Target="https://cyberleninka.ru/article/n/bronhomotornye-testy-v-klinicheskoy-diagnostike-bronhialnoy-astmy" TargetMode="External"/><Relationship Id="rId693" Type="http://schemas.openxmlformats.org/officeDocument/2006/relationships/hyperlink" Target="https://doi.org/10.2147/JAA.S358798" TargetMode="External"/><Relationship Id="rId139" Type="http://schemas.openxmlformats.org/officeDocument/2006/relationships/hyperlink" Target="https://cyberleninka.ru/article/n/osobennosti-techeniya-bronhialnoy-astmy-u-podrostkov-i-yunoshey-prizyvnogo-vozrasta" TargetMode="External"/><Relationship Id="rId346" Type="http://schemas.openxmlformats.org/officeDocument/2006/relationships/hyperlink" Target="https://www.rmj.ru/articles/bolezni_dykhatelnykh_putey/Infekcionnye_zabolevaniya_dyhatelynogo_trakta_u_bolynyh_s_bronhialynoy_astmoy/" TargetMode="External"/><Relationship Id="rId553" Type="http://schemas.openxmlformats.org/officeDocument/2006/relationships/hyperlink" Target="https://doi.org/10.1111/J.1440-1843.2009.01605.X" TargetMode="External"/><Relationship Id="rId760" Type="http://schemas.openxmlformats.org/officeDocument/2006/relationships/hyperlink" Target="https://doi.org/10.1002/14651858.cd005535.pub2" TargetMode="External"/><Relationship Id="rId998" Type="http://schemas.openxmlformats.org/officeDocument/2006/relationships/hyperlink" Target="https://doi.org/10.18093/0869-0189-2006-4-58-67" TargetMode="External"/><Relationship Id="rId1183" Type="http://schemas.openxmlformats.org/officeDocument/2006/relationships/hyperlink" Target="https://doi.org/10.1016/S0002-9343(03)00241-9" TargetMode="External"/><Relationship Id="rId1390" Type="http://schemas.openxmlformats.org/officeDocument/2006/relationships/hyperlink" Target="https://doi.org/10.1258/OM.2012.120008" TargetMode="External"/><Relationship Id="rId206" Type="http://schemas.openxmlformats.org/officeDocument/2006/relationships/hyperlink" Target="https://doi.org/10.1186/1465-9921-13-59" TargetMode="External"/><Relationship Id="rId413" Type="http://schemas.openxmlformats.org/officeDocument/2006/relationships/hyperlink" Target="https://doi.org/10.18093/0869-0189-2014-0-6-11-24" TargetMode="External"/><Relationship Id="rId858" Type="http://schemas.openxmlformats.org/officeDocument/2006/relationships/hyperlink" Target="https://doi.org/10.1016/0091-6749(82)90065-3" TargetMode="External"/><Relationship Id="rId1043" Type="http://schemas.openxmlformats.org/officeDocument/2006/relationships/hyperlink" Target="https://doi.org/10.1007/s12098-014-1498-0" TargetMode="External"/><Relationship Id="rId1488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620" Type="http://schemas.openxmlformats.org/officeDocument/2006/relationships/hyperlink" Target="https://doi.org/10.1016/J.JAIP.2017.05.001" TargetMode="External"/><Relationship Id="rId718" Type="http://schemas.openxmlformats.org/officeDocument/2006/relationships/hyperlink" Target="https://doi.org/10.2165/11598840-000000000-00000" TargetMode="External"/><Relationship Id="rId925" Type="http://schemas.openxmlformats.org/officeDocument/2006/relationships/hyperlink" Target="https://doi.org/10.1016/S2213-2600(15)00042-9" TargetMode="External"/><Relationship Id="rId1250" Type="http://schemas.openxmlformats.org/officeDocument/2006/relationships/hyperlink" Target="https://doi.org/10.1186/1939-4551-7-6" TargetMode="External"/><Relationship Id="rId1348" Type="http://schemas.openxmlformats.org/officeDocument/2006/relationships/hyperlink" Target="https://doi.org/10.1111/J.1398-9995.2004.00526.X" TargetMode="External"/><Relationship Id="rId1110" Type="http://schemas.openxmlformats.org/officeDocument/2006/relationships/hyperlink" Target="https://doi.org/10.1053/RMED.2002.1369" TargetMode="External"/><Relationship Id="rId1208" Type="http://schemas.openxmlformats.org/officeDocument/2006/relationships/hyperlink" Target="https://doi.org/10.1007/S11882-020-00948-Y" TargetMode="External"/><Relationship Id="rId1415" Type="http://schemas.openxmlformats.org/officeDocument/2006/relationships/hyperlink" Target="https://doi.org/10.1111/J.1398-9995.2007.01451.X" TargetMode="External"/><Relationship Id="rId54" Type="http://schemas.openxmlformats.org/officeDocument/2006/relationships/hyperlink" Target="https://doi.org/10.1016/S0140-6736(01)05779-8" TargetMode="External"/><Relationship Id="rId270" Type="http://schemas.openxmlformats.org/officeDocument/2006/relationships/hyperlink" Target="https://doi.org/10.1111/CEA.12774" TargetMode="External"/><Relationship Id="rId130" Type="http://schemas.openxmlformats.org/officeDocument/2006/relationships/hyperlink" Target="https://cyberleninka.ru/article/n/osobennosti-techeniya-bronhialnoy-astmy-u-podrostkov-i-yunoshey-prizyvnogo-vozrasta" TargetMode="External"/><Relationship Id="rId368" Type="http://schemas.openxmlformats.org/officeDocument/2006/relationships/hyperlink" Target="https://doi.org/10.3389/FPED.2019.00054" TargetMode="External"/><Relationship Id="rId575" Type="http://schemas.openxmlformats.org/officeDocument/2006/relationships/hyperlink" Target="https://doi.org/10.1378/CHEST.117.3.728" TargetMode="External"/><Relationship Id="rId782" Type="http://schemas.openxmlformats.org/officeDocument/2006/relationships/hyperlink" Target="https://doi.org/10.1542/PEDS.2008-2867" TargetMode="External"/><Relationship Id="rId228" Type="http://schemas.openxmlformats.org/officeDocument/2006/relationships/hyperlink" Target="https://ginasthma.org/severeasthma/" TargetMode="External"/><Relationship Id="rId435" Type="http://schemas.openxmlformats.org/officeDocument/2006/relationships/hyperlink" Target="https://doi.org/10.1183/13993003.04173-2020" TargetMode="External"/><Relationship Id="rId642" Type="http://schemas.openxmlformats.org/officeDocument/2006/relationships/hyperlink" Target="https://doi.org/10.1056/NEJMOA1715274" TargetMode="External"/><Relationship Id="rId1065" Type="http://schemas.openxmlformats.org/officeDocument/2006/relationships/hyperlink" Target="https://doi.org/10.1016/S1081-1206(10)61758-9" TargetMode="External"/><Relationship Id="rId1272" Type="http://schemas.openxmlformats.org/officeDocument/2006/relationships/hyperlink" Target="https://doi.org/10.1016/j.waojou.2023.100756" TargetMode="External"/><Relationship Id="rId502" Type="http://schemas.openxmlformats.org/officeDocument/2006/relationships/hyperlink" Target="https://doi.org/10.1016/0091-6749(85)90032-6" TargetMode="External"/><Relationship Id="rId947" Type="http://schemas.openxmlformats.org/officeDocument/2006/relationships/hyperlink" Target="https://doi.org/10.1056/NEJMOA2034975" TargetMode="External"/><Relationship Id="rId1132" Type="http://schemas.openxmlformats.org/officeDocument/2006/relationships/hyperlink" Target="https://doi.org/10.1016/B978-008055232-3.61213-9" TargetMode="External"/><Relationship Id="rId76" Type="http://schemas.openxmlformats.org/officeDocument/2006/relationships/hyperlink" Target="http://www.ginasthma.org/" TargetMode="External"/><Relationship Id="rId807" Type="http://schemas.openxmlformats.org/officeDocument/2006/relationships/hyperlink" Target="https://doi.org/10.3389/FPHYS.2023.1131949" TargetMode="External"/><Relationship Id="rId1437" Type="http://schemas.openxmlformats.org/officeDocument/2006/relationships/hyperlink" Target="https://pubmed.ncbi.nlm.nih.gov/24340399/" TargetMode="External"/><Relationship Id="rId1504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92" Type="http://schemas.openxmlformats.org/officeDocument/2006/relationships/hyperlink" Target="https://cr.minzdrav.gov.ru/schema/735_1" TargetMode="External"/><Relationship Id="rId597" Type="http://schemas.openxmlformats.org/officeDocument/2006/relationships/hyperlink" Target="https://doi.org/10.1513/ANNALSATS.201711-886OC" TargetMode="External"/><Relationship Id="rId152" Type="http://schemas.openxmlformats.org/officeDocument/2006/relationships/hyperlink" Target="https://doi.org/10.1183/13993003.01585-2021" TargetMode="External"/><Relationship Id="rId457" Type="http://schemas.openxmlformats.org/officeDocument/2006/relationships/hyperlink" Target="https://doi.org/10.1136/THORAXJNL-2011-201445" TargetMode="External"/><Relationship Id="rId1087" Type="http://schemas.openxmlformats.org/officeDocument/2006/relationships/hyperlink" Target="https://doi.org/10.1001/JAMA.281.22.2119" TargetMode="External"/><Relationship Id="rId1294" Type="http://schemas.openxmlformats.org/officeDocument/2006/relationships/hyperlink" Target="https://doi.org/10.31550/1727-2378-2020-19-11-38-41" TargetMode="External"/><Relationship Id="rId664" Type="http://schemas.openxmlformats.org/officeDocument/2006/relationships/hyperlink" Target="https://doi.org/10.1016/j.jaip.2020.03.013" TargetMode="External"/><Relationship Id="rId871" Type="http://schemas.openxmlformats.org/officeDocument/2006/relationships/hyperlink" Target="https://doi.org/10.1186/S12931-019-1065-3" TargetMode="External"/><Relationship Id="rId969" Type="http://schemas.openxmlformats.org/officeDocument/2006/relationships/hyperlink" Target="https://doi.org/10.1136/thoraxjnl-2012-202698" TargetMode="External"/><Relationship Id="rId317" Type="http://schemas.openxmlformats.org/officeDocument/2006/relationships/hyperlink" Target="https://www.rmj.ru/articles/bolezni_dykhatelnykh_putey/Infekcionnye_zabolevaniya_dyhatelynogo_trakta_u_bolynyh_s_bronhialynoy_astmoy/" TargetMode="External"/><Relationship Id="rId524" Type="http://schemas.openxmlformats.org/officeDocument/2006/relationships/hyperlink" Target="https://doi.org/10.1016/S0196-0644(82)80298-9" TargetMode="External"/><Relationship Id="rId731" Type="http://schemas.openxmlformats.org/officeDocument/2006/relationships/hyperlink" Target="https://doi.org/10.1164/AJRCCM.162.4.2002019" TargetMode="External"/><Relationship Id="rId1154" Type="http://schemas.openxmlformats.org/officeDocument/2006/relationships/hyperlink" Target="https://doi.org/10.1371/JOURNAL.PONE.0267445" TargetMode="External"/><Relationship Id="rId1361" Type="http://schemas.openxmlformats.org/officeDocument/2006/relationships/hyperlink" Target="https://doi.org/10.1016/S0029-7844(98)00191-4" TargetMode="External"/><Relationship Id="rId1459" Type="http://schemas.openxmlformats.org/officeDocument/2006/relationships/hyperlink" Target="https://doi.org/10.2147/PPA.S395258" TargetMode="External"/><Relationship Id="rId98" Type="http://schemas.openxmlformats.org/officeDocument/2006/relationships/hyperlink" Target="https://doi.org/10.18093/0869-0189-2008-0-2-15-19" TargetMode="External"/><Relationship Id="rId829" Type="http://schemas.openxmlformats.org/officeDocument/2006/relationships/hyperlink" Target="https://doi.org/10.1371/journal.pone.0124109" TargetMode="External"/><Relationship Id="rId1014" Type="http://schemas.openxmlformats.org/officeDocument/2006/relationships/hyperlink" Target="https://cyberleninka.ru/article/n/nebulayzernaya-terapiya-suspenziey-pulmikorta-pri-tyazheloy-bronhialnoy-astme" TargetMode="External"/><Relationship Id="rId1221" Type="http://schemas.openxmlformats.org/officeDocument/2006/relationships/hyperlink" Target="https://doi.org/10.1111/pai.13915" TargetMode="External"/><Relationship Id="rId1319" Type="http://schemas.openxmlformats.org/officeDocument/2006/relationships/hyperlink" Target="https://doi.org/10.4103/0973-6131.213472" TargetMode="External"/><Relationship Id="rId1526" Type="http://schemas.openxmlformats.org/officeDocument/2006/relationships/hyperlink" Target="http://www.ginasthma.org/" TargetMode="External"/><Relationship Id="rId25" Type="http://schemas.openxmlformats.org/officeDocument/2006/relationships/hyperlink" Target="https://doi.org/10.1016/S0140-6736(20)30925-9" TargetMode="External"/><Relationship Id="rId174" Type="http://schemas.openxmlformats.org/officeDocument/2006/relationships/hyperlink" Target="https://doi.org/10.18093/0869-0189-2011-0-2-276-287" TargetMode="External"/><Relationship Id="rId381" Type="http://schemas.openxmlformats.org/officeDocument/2006/relationships/hyperlink" Target="https://spulmo.ru/upload/kr/Spirometria_2023.pdf?t=1" TargetMode="External"/><Relationship Id="rId241" Type="http://schemas.openxmlformats.org/officeDocument/2006/relationships/hyperlink" Target="https://doi.org/10.1016/S2213-2600(15)00050-8" TargetMode="External"/><Relationship Id="rId479" Type="http://schemas.openxmlformats.org/officeDocument/2006/relationships/hyperlink" Target="https://doi.org/10.3949/CCJM.75.1.37" TargetMode="External"/><Relationship Id="rId686" Type="http://schemas.openxmlformats.org/officeDocument/2006/relationships/hyperlink" Target="https://doi.org/10.1016/S0140-6736(10)62145-9" TargetMode="External"/><Relationship Id="rId893" Type="http://schemas.openxmlformats.org/officeDocument/2006/relationships/hyperlink" Target="https://doi.org/10.1016/S2213-2600(21)00352-0" TargetMode="External"/><Relationship Id="rId339" Type="http://schemas.openxmlformats.org/officeDocument/2006/relationships/hyperlink" Target="https://www.rmj.ru/articles/bolezni_dykhatelnykh_putey/Infekcionnye_zabolevaniya_dyhatelynogo_trakta_u_bolynyh_s_bronhialynoy_astmoy/" TargetMode="External"/><Relationship Id="rId546" Type="http://schemas.openxmlformats.org/officeDocument/2006/relationships/hyperlink" Target="https://cyberleninka.ru/article/n/osobennosti-issledovaniya-funktsii-vneshnego-dyhaniya-u-detey-i-podrostkov" TargetMode="External"/><Relationship Id="rId753" Type="http://schemas.openxmlformats.org/officeDocument/2006/relationships/hyperlink" Target="https://doi.org/10.1002/14651858.CD007949.pub2" TargetMode="External"/><Relationship Id="rId1176" Type="http://schemas.openxmlformats.org/officeDocument/2006/relationships/hyperlink" Target="https://doi.org/10.1378/CHEST.117.3.728" TargetMode="External"/><Relationship Id="rId1383" Type="http://schemas.openxmlformats.org/officeDocument/2006/relationships/hyperlink" Target="https://dissercat.com/content/osobennosti-techeniya-i-lecheniya-bronkhialnoi-astmy-v-period-beremennosti-0" TargetMode="External"/><Relationship Id="rId101" Type="http://schemas.openxmlformats.org/officeDocument/2006/relationships/hyperlink" Target="https://doi.org/10.18093/0869-0189-2008-0-2-15-19" TargetMode="External"/><Relationship Id="rId406" Type="http://schemas.openxmlformats.org/officeDocument/2006/relationships/hyperlink" Target="https://doi.org/10.18093/0869-0189-2014-0-6-11-24" TargetMode="External"/><Relationship Id="rId960" Type="http://schemas.openxmlformats.org/officeDocument/2006/relationships/hyperlink" Target="https://doi.org/10.1016/S0140-6736(17)31281-3" TargetMode="External"/><Relationship Id="rId1036" Type="http://schemas.openxmlformats.org/officeDocument/2006/relationships/hyperlink" Target="https://pubmed.ncbi.nlm.nih.gov/16924568/" TargetMode="External"/><Relationship Id="rId1243" Type="http://schemas.openxmlformats.org/officeDocument/2006/relationships/hyperlink" Target="https://doi.org/10.1111/J.1398-9995.2010.02474.X" TargetMode="External"/><Relationship Id="rId613" Type="http://schemas.openxmlformats.org/officeDocument/2006/relationships/hyperlink" Target="https://doi.org/10.1186/s12890-023-02570-w" TargetMode="External"/><Relationship Id="rId820" Type="http://schemas.openxmlformats.org/officeDocument/2006/relationships/hyperlink" Target="https://doi.org/10.1016/S2213-2600(15)00031-4" TargetMode="External"/><Relationship Id="rId918" Type="http://schemas.openxmlformats.org/officeDocument/2006/relationships/hyperlink" Target="https://doi.org/10.1055/S-0031-1300502" TargetMode="External"/><Relationship Id="rId1450" Type="http://schemas.openxmlformats.org/officeDocument/2006/relationships/hyperlink" Target="https://doi.org/10.1111/J.1398-9995.1999.TB04391.X" TargetMode="External"/><Relationship Id="rId1103" Type="http://schemas.openxmlformats.org/officeDocument/2006/relationships/hyperlink" Target="https://doi.org/10.5694/J.1326-5377.2008.TB02046.X" TargetMode="External"/><Relationship Id="rId1310" Type="http://schemas.openxmlformats.org/officeDocument/2006/relationships/hyperlink" Target="https://doi.org/10.1186/s40001-023-01634-1" TargetMode="External"/><Relationship Id="rId1408" Type="http://schemas.openxmlformats.org/officeDocument/2006/relationships/hyperlink" Target="https://doi.org/10.1111/J.1398-9995.1998.TB03988.X" TargetMode="External"/><Relationship Id="rId47" Type="http://schemas.openxmlformats.org/officeDocument/2006/relationships/hyperlink" Target="https://doi.org/10.1016/S0002-9343(02)01242-1" TargetMode="External"/><Relationship Id="rId196" Type="http://schemas.openxmlformats.org/officeDocument/2006/relationships/hyperlink" Target="https://doi.org/10.1111/J.1398-9995.2012.02865.X" TargetMode="External"/><Relationship Id="rId263" Type="http://schemas.openxmlformats.org/officeDocument/2006/relationships/hyperlink" Target="https://doi.org/10.1016/S0091-6749(99)70402-1" TargetMode="External"/><Relationship Id="rId470" Type="http://schemas.openxmlformats.org/officeDocument/2006/relationships/hyperlink" Target="https://doi.org/10.17816/rmj38189" TargetMode="External"/><Relationship Id="rId123" Type="http://schemas.openxmlformats.org/officeDocument/2006/relationships/hyperlink" Target="https://doi.org/10.18093/0869-0189-2005-0-2-57-62" TargetMode="External"/><Relationship Id="rId330" Type="http://schemas.openxmlformats.org/officeDocument/2006/relationships/hyperlink" Target="https://www.rmj.ru/articles/bolezni_dykhatelnykh_putey/Infekcionnye_zabolevaniya_dyhatelynogo_trakta_u_bolynyh_s_bronhialynoy_astmoy/" TargetMode="External"/><Relationship Id="rId568" Type="http://schemas.openxmlformats.org/officeDocument/2006/relationships/hyperlink" Target="https://doi.org/10.1186/S40733-018-0045-6" TargetMode="External"/><Relationship Id="rId775" Type="http://schemas.openxmlformats.org/officeDocument/2006/relationships/hyperlink" Target="https://doi.org/10.1186/S40733-016-0020-Z" TargetMode="External"/><Relationship Id="rId982" Type="http://schemas.openxmlformats.org/officeDocument/2006/relationships/hyperlink" Target="https://doi.org/10.1186/1465-9921-8-19/FIGURES/2_557" TargetMode="External"/><Relationship Id="rId1198" Type="http://schemas.openxmlformats.org/officeDocument/2006/relationships/hyperlink" Target="https://doi.org/10.1097/00003246-199311000-00023" TargetMode="External"/><Relationship Id="rId428" Type="http://schemas.openxmlformats.org/officeDocument/2006/relationships/hyperlink" Target="https://doi.org/10.1136/BMJPO-2021-001277" TargetMode="External"/><Relationship Id="rId635" Type="http://schemas.openxmlformats.org/officeDocument/2006/relationships/hyperlink" Target="https://doi.org/10.1007/s12325-022-02410-z" TargetMode="External"/><Relationship Id="rId842" Type="http://schemas.openxmlformats.org/officeDocument/2006/relationships/hyperlink" Target="https://doi.org/10.1007/S41030-017-0043-5" TargetMode="External"/><Relationship Id="rId1058" Type="http://schemas.openxmlformats.org/officeDocument/2006/relationships/hyperlink" Target="https://doi.org/10.1111/J.1553-2712.1998.TB02614.X" TargetMode="External"/><Relationship Id="rId1265" Type="http://schemas.openxmlformats.org/officeDocument/2006/relationships/hyperlink" Target="https://doi.org/10.3390/pathogens10111406" TargetMode="External"/><Relationship Id="rId1472" Type="http://schemas.openxmlformats.org/officeDocument/2006/relationships/hyperlink" Target="https://doi.org/10.1016/S0954-6111(06)80268-4" TargetMode="External"/><Relationship Id="rId702" Type="http://schemas.openxmlformats.org/officeDocument/2006/relationships/hyperlink" Target="https://doi.org/10.1007/S12325-022-02092-7" TargetMode="External"/><Relationship Id="rId1125" Type="http://schemas.openxmlformats.org/officeDocument/2006/relationships/hyperlink" Target="https://doi.org/10.1016/S2213-2600(13)70070-5" TargetMode="External"/><Relationship Id="rId1332" Type="http://schemas.openxmlformats.org/officeDocument/2006/relationships/hyperlink" Target="https://cyberleninka.ru/article/n/bronhialnaya-astma-i-beremennost-4" TargetMode="External"/><Relationship Id="rId69" Type="http://schemas.openxmlformats.org/officeDocument/2006/relationships/hyperlink" Target="https://doi.org/10.1164/RCCM.200801-060ST" TargetMode="External"/><Relationship Id="rId285" Type="http://schemas.openxmlformats.org/officeDocument/2006/relationships/hyperlink" Target="https://cr.minzdrav.gov.ru/schema/735_1" TargetMode="External"/><Relationship Id="rId492" Type="http://schemas.openxmlformats.org/officeDocument/2006/relationships/hyperlink" Target="https://cyberleninka.ru/article/n/bronhomotornye-testy-v-klinicheskoy-diagnostike-bronhialnoy-astmy" TargetMode="External"/><Relationship Id="rId797" Type="http://schemas.openxmlformats.org/officeDocument/2006/relationships/hyperlink" Target="https://doi.org/10.1016/S0140-6736(19)32215-9" TargetMode="External"/><Relationship Id="rId145" Type="http://schemas.openxmlformats.org/officeDocument/2006/relationships/hyperlink" Target="https://cyberleninka.ru/article/n/osobennosti-techeniya-bronhialnoy-astmy-u-podrostkov-i-yunoshey-prizyvnogo-vozrasta" TargetMode="External"/><Relationship Id="rId352" Type="http://schemas.openxmlformats.org/officeDocument/2006/relationships/hyperlink" Target="https://doi.org/10.1530/EJE-16-0653" TargetMode="External"/><Relationship Id="rId1287" Type="http://schemas.openxmlformats.org/officeDocument/2006/relationships/hyperlink" Target="https://doi.org/10.31550/1727-2378-2020-19-11-38-41" TargetMode="External"/><Relationship Id="rId212" Type="http://schemas.openxmlformats.org/officeDocument/2006/relationships/hyperlink" Target="https://doi.org/10.23736/S0026-4946.18.05351-3" TargetMode="External"/><Relationship Id="rId657" Type="http://schemas.openxmlformats.org/officeDocument/2006/relationships/hyperlink" Target="https://doi.org/10.1053/RMED.2000.0820" TargetMode="External"/><Relationship Id="rId864" Type="http://schemas.openxmlformats.org/officeDocument/2006/relationships/hyperlink" Target="https://doi.org/10.1002/14651858.CD010834.PUB4" TargetMode="External"/><Relationship Id="rId1494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517" Type="http://schemas.openxmlformats.org/officeDocument/2006/relationships/hyperlink" Target="https://doi.org/10.1016/0954-6111(95)90249-X" TargetMode="External"/><Relationship Id="rId724" Type="http://schemas.openxmlformats.org/officeDocument/2006/relationships/hyperlink" Target="https://doi.org/10.1186/1465-9921-12-38" TargetMode="External"/><Relationship Id="rId931" Type="http://schemas.openxmlformats.org/officeDocument/2006/relationships/hyperlink" Target="https://doi.org/10.3233/HAB-2009-0198" TargetMode="External"/><Relationship Id="rId1147" Type="http://schemas.openxmlformats.org/officeDocument/2006/relationships/hyperlink" Target="https://doi.org/10.1136/BMJRESP-2021-001137" TargetMode="External"/><Relationship Id="rId1354" Type="http://schemas.openxmlformats.org/officeDocument/2006/relationships/hyperlink" Target="https://doi.org/10.1155/2020/9046842" TargetMode="External"/><Relationship Id="rId60" Type="http://schemas.openxmlformats.org/officeDocument/2006/relationships/hyperlink" Target="https://bookmix.ru/book.phtml?id=2271191" TargetMode="External"/><Relationship Id="rId1007" Type="http://schemas.openxmlformats.org/officeDocument/2006/relationships/hyperlink" Target="https://cyberleninka.ru/article/n/nebulayzernaya-terapiya-suspenziey-pulmikorta-pri-tyazheloy-bronhialnoy-astme" TargetMode="External"/><Relationship Id="rId1214" Type="http://schemas.openxmlformats.org/officeDocument/2006/relationships/hyperlink" Target="https://doi.org/10.1111/j.1398-9995.1998.tb05010.x" TargetMode="External"/><Relationship Id="rId1421" Type="http://schemas.openxmlformats.org/officeDocument/2006/relationships/hyperlink" Target="https://doi.org/10.1111/ALL.15551" TargetMode="External"/><Relationship Id="rId1519" Type="http://schemas.openxmlformats.org/officeDocument/2006/relationships/image" Target="media/image70.jpg"/><Relationship Id="rId18" Type="http://schemas.openxmlformats.org/officeDocument/2006/relationships/hyperlink" Target="https://doi.org/10.1152/PHYSREV.00023.2019" TargetMode="External"/><Relationship Id="rId167" Type="http://schemas.openxmlformats.org/officeDocument/2006/relationships/hyperlink" Target="https://doi.org/10.1016/J.JACI.2006.12.662" TargetMode="External"/><Relationship Id="rId374" Type="http://schemas.openxmlformats.org/officeDocument/2006/relationships/hyperlink" Target="https://spulmo.ru/upload/kr/Spirometria_2023.pdf?t=1" TargetMode="External"/><Relationship Id="rId581" Type="http://schemas.openxmlformats.org/officeDocument/2006/relationships/hyperlink" Target="https://doi.org/10.1016/J.JAIP.2019.11.008" TargetMode="External"/><Relationship Id="rId234" Type="http://schemas.openxmlformats.org/officeDocument/2006/relationships/hyperlink" Target="https://doi.org/10.1164/RCCM.200203-183OC" TargetMode="External"/><Relationship Id="rId679" Type="http://schemas.openxmlformats.org/officeDocument/2006/relationships/hyperlink" Target="https://doi.org/10.20452/PAMW.4341" TargetMode="External"/><Relationship Id="rId886" Type="http://schemas.openxmlformats.org/officeDocument/2006/relationships/hyperlink" Target="https://doi.org/10.2147/JAA.S286036" TargetMode="External"/><Relationship Id="rId2" Type="http://schemas.openxmlformats.org/officeDocument/2006/relationships/styles" Target="styles.xml"/><Relationship Id="rId441" Type="http://schemas.openxmlformats.org/officeDocument/2006/relationships/hyperlink" Target="https://doi.org/10.18203/2349-3291.IJCP20201631" TargetMode="External"/><Relationship Id="rId539" Type="http://schemas.openxmlformats.org/officeDocument/2006/relationships/hyperlink" Target="https://cyberleninka.ru/article/n/osobennosti-issledovaniya-funktsii-vneshnego-dyhaniya-u-detey-i-podrostkov" TargetMode="External"/><Relationship Id="rId746" Type="http://schemas.openxmlformats.org/officeDocument/2006/relationships/hyperlink" Target="https://doi.org/10.1542/PEDS.2015-4496" TargetMode="External"/><Relationship Id="rId1071" Type="http://schemas.openxmlformats.org/officeDocument/2006/relationships/hyperlink" Target="https://doi.org/10.1080/08035259950168748" TargetMode="External"/><Relationship Id="rId1169" Type="http://schemas.openxmlformats.org/officeDocument/2006/relationships/hyperlink" Target="https://doi.org/10.1002/14651858.cd001276.pub2" TargetMode="External"/><Relationship Id="rId1376" Type="http://schemas.openxmlformats.org/officeDocument/2006/relationships/hyperlink" Target="https://dissercat.com/content/osobennosti-techeniya-i-lecheniya-bronkhialnoi-astmy-v-period-beremennosti-0" TargetMode="External"/><Relationship Id="rId301" Type="http://schemas.openxmlformats.org/officeDocument/2006/relationships/hyperlink" Target="https://doi.org/10.18093/0869-0189-2017-27-3-311-319" TargetMode="External"/><Relationship Id="rId953" Type="http://schemas.openxmlformats.org/officeDocument/2006/relationships/hyperlink" Target="https://doi.org/10.1002/14651858.CD002997.pub5" TargetMode="External"/><Relationship Id="rId1029" Type="http://schemas.openxmlformats.org/officeDocument/2006/relationships/hyperlink" Target="https://doi.org/10.1007/s12098-014-1498-0" TargetMode="External"/><Relationship Id="rId1236" Type="http://schemas.openxmlformats.org/officeDocument/2006/relationships/hyperlink" Target="https://raaci.ru/education/clinic_recomendations/103.html" TargetMode="External"/><Relationship Id="rId82" Type="http://schemas.openxmlformats.org/officeDocument/2006/relationships/hyperlink" Target="http://www.ginasthma.org/" TargetMode="External"/><Relationship Id="rId606" Type="http://schemas.openxmlformats.org/officeDocument/2006/relationships/hyperlink" Target="https://doi.org/10.1016/S2213-2600(16)30160-6" TargetMode="External"/><Relationship Id="rId813" Type="http://schemas.openxmlformats.org/officeDocument/2006/relationships/hyperlink" Target="https://doi.org/10.1016/S2213-2600(20)30178-8" TargetMode="External"/><Relationship Id="rId1443" Type="http://schemas.openxmlformats.org/officeDocument/2006/relationships/hyperlink" Target="https://doi.org/10.1136/THX.2005.056291" TargetMode="External"/><Relationship Id="rId1303" Type="http://schemas.openxmlformats.org/officeDocument/2006/relationships/hyperlink" Target="https://doi.org/10.1136/thorax.58.8.649" TargetMode="External"/><Relationship Id="rId1510" Type="http://schemas.openxmlformats.org/officeDocument/2006/relationships/image" Target="media/image5.png"/><Relationship Id="rId189" Type="http://schemas.openxmlformats.org/officeDocument/2006/relationships/hyperlink" Target="https://doi.org/10.18093/0869-0189-2011-0-2-276-287" TargetMode="External"/><Relationship Id="rId396" Type="http://schemas.openxmlformats.org/officeDocument/2006/relationships/hyperlink" Target="https://doi.org/10.18093/08690189-2023-33-3-307-340" TargetMode="External"/><Relationship Id="rId256" Type="http://schemas.openxmlformats.org/officeDocument/2006/relationships/hyperlink" Target="https://doi.org/10.1136/BMJOPEN-2014-005748" TargetMode="External"/><Relationship Id="rId463" Type="http://schemas.openxmlformats.org/officeDocument/2006/relationships/hyperlink" Target="https://doi.org/10.1183/13993003.01033-2018" TargetMode="External"/><Relationship Id="rId670" Type="http://schemas.openxmlformats.org/officeDocument/2006/relationships/hyperlink" Target="https://doi.org/10.1056/nejmoa1715275" TargetMode="External"/><Relationship Id="rId1093" Type="http://schemas.openxmlformats.org/officeDocument/2006/relationships/hyperlink" Target="https://doi.org/10.1183/13993003.00703-2018" TargetMode="External"/><Relationship Id="rId116" Type="http://schemas.openxmlformats.org/officeDocument/2006/relationships/hyperlink" Target="https://doi.org/10.18093/0869-0189-2005-0-2-57-62" TargetMode="External"/><Relationship Id="rId323" Type="http://schemas.openxmlformats.org/officeDocument/2006/relationships/hyperlink" Target="https://www.rmj.ru/articles/bolezni_dykhatelnykh_putey/Infekcionnye_zabolevaniya_dyhatelynogo_trakta_u_bolynyh_s_bronhialynoy_astmoy/" TargetMode="External"/><Relationship Id="rId530" Type="http://schemas.openxmlformats.org/officeDocument/2006/relationships/hyperlink" Target="https://doi.org/10.1136/THX.2004.023077" TargetMode="External"/><Relationship Id="rId768" Type="http://schemas.openxmlformats.org/officeDocument/2006/relationships/hyperlink" Target="https://doi.org/10.1067/mai.2002.122635" TargetMode="External"/><Relationship Id="rId975" Type="http://schemas.openxmlformats.org/officeDocument/2006/relationships/hyperlink" Target="https://doi.org/10.5863/1551-6776-18.2.88" TargetMode="External"/><Relationship Id="rId1160" Type="http://schemas.openxmlformats.org/officeDocument/2006/relationships/hyperlink" Target="https://doi.org/10.1073/PNAS.132556899" TargetMode="External"/><Relationship Id="rId1398" Type="http://schemas.openxmlformats.org/officeDocument/2006/relationships/hyperlink" Target="https://doi.org/10.1186/1471-2466-6-S1-S4" TargetMode="External"/><Relationship Id="rId628" Type="http://schemas.openxmlformats.org/officeDocument/2006/relationships/hyperlink" Target="https://doi.org/10.1002/14651858.CD013518.pub2" TargetMode="External"/><Relationship Id="rId835" Type="http://schemas.openxmlformats.org/officeDocument/2006/relationships/hyperlink" Target="https://doi.org/10.1136/THORAX.58.3.211" TargetMode="External"/><Relationship Id="rId1258" Type="http://schemas.openxmlformats.org/officeDocument/2006/relationships/hyperlink" Target="https://doi.org/10.1016/J.JACIG.2024.100206" TargetMode="External"/><Relationship Id="rId1465" Type="http://schemas.openxmlformats.org/officeDocument/2006/relationships/hyperlink" Target="https://doi.org/10.3390/healthcare11081125" TargetMode="External"/><Relationship Id="rId1020" Type="http://schemas.openxmlformats.org/officeDocument/2006/relationships/hyperlink" Target="https://doi.org/10.1002/14651858.CD002316.pub2" TargetMode="External"/><Relationship Id="rId1118" Type="http://schemas.openxmlformats.org/officeDocument/2006/relationships/hyperlink" Target="https://doi.org/10.1002/14651858.cd003898.pub3" TargetMode="External"/><Relationship Id="rId1325" Type="http://schemas.openxmlformats.org/officeDocument/2006/relationships/hyperlink" Target="https://doi.org/10.1007/s12098-017-2519-6" TargetMode="External"/><Relationship Id="rId1532" Type="http://schemas.openxmlformats.org/officeDocument/2006/relationships/hyperlink" Target="http://www.ginasthma.org/" TargetMode="External"/><Relationship Id="rId902" Type="http://schemas.openxmlformats.org/officeDocument/2006/relationships/hyperlink" Target="https://doi.org/10.1097/ACI.0000000000000708" TargetMode="External"/><Relationship Id="rId31" Type="http://schemas.openxmlformats.org/officeDocument/2006/relationships/hyperlink" Target="http://www.ginasthma.org/" TargetMode="External"/><Relationship Id="rId180" Type="http://schemas.openxmlformats.org/officeDocument/2006/relationships/hyperlink" Target="https://doi.org/10.18093/0869-0189-2011-0-2-276-287" TargetMode="External"/><Relationship Id="rId278" Type="http://schemas.openxmlformats.org/officeDocument/2006/relationships/hyperlink" Target="https://doi.org/10.1183/13993003.01585-2021" TargetMode="External"/><Relationship Id="rId485" Type="http://schemas.openxmlformats.org/officeDocument/2006/relationships/hyperlink" Target="https://cyberleninka.ru/article/n/bronhomotornye-testy-v-klinicheskoy-diagnostike-bronhialnoy-astmy" TargetMode="External"/><Relationship Id="rId692" Type="http://schemas.openxmlformats.org/officeDocument/2006/relationships/hyperlink" Target="https://doi.org/10.1016/J.JAIP.2021.10.011" TargetMode="External"/><Relationship Id="rId138" Type="http://schemas.openxmlformats.org/officeDocument/2006/relationships/hyperlink" Target="https://cyberleninka.ru/article/n/osobennosti-techeniya-bronhialnoy-astmy-u-podrostkov-i-yunoshey-prizyvnogo-vozrasta" TargetMode="External"/><Relationship Id="rId345" Type="http://schemas.openxmlformats.org/officeDocument/2006/relationships/hyperlink" Target="https://www.rmj.ru/articles/bolezni_dykhatelnykh_putey/Infekcionnye_zabolevaniya_dyhatelynogo_trakta_u_bolynyh_s_bronhialynoy_astmoy/" TargetMode="External"/><Relationship Id="rId552" Type="http://schemas.openxmlformats.org/officeDocument/2006/relationships/hyperlink" Target="https://cyberleninka.ru/article/n/osobennosti-issledovaniya-funktsii-vneshnego-dyhaniya-u-detey-i-podrostkov" TargetMode="External"/><Relationship Id="rId997" Type="http://schemas.openxmlformats.org/officeDocument/2006/relationships/hyperlink" Target="https://doi.org/10.18093/0869-0189-2006-4-58-67" TargetMode="External"/><Relationship Id="rId1182" Type="http://schemas.openxmlformats.org/officeDocument/2006/relationships/hyperlink" Target="https://doi.org/10.1016/S0002-9343(03)00241-9" TargetMode="External"/><Relationship Id="rId205" Type="http://schemas.openxmlformats.org/officeDocument/2006/relationships/hyperlink" Target="https://doi.org/10.1186/1465-9921-13-59" TargetMode="External"/><Relationship Id="rId412" Type="http://schemas.openxmlformats.org/officeDocument/2006/relationships/hyperlink" Target="https://doi.org/10.18093/0869-0189-2014-0-6-11-24" TargetMode="External"/><Relationship Id="rId857" Type="http://schemas.openxmlformats.org/officeDocument/2006/relationships/hyperlink" Target="https://doi.org/10.1016/0091-6749(82)90065-3" TargetMode="External"/><Relationship Id="rId1042" Type="http://schemas.openxmlformats.org/officeDocument/2006/relationships/hyperlink" Target="https://doi.org/10.1007/s12098-014-1498-0" TargetMode="External"/><Relationship Id="rId1487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717" Type="http://schemas.openxmlformats.org/officeDocument/2006/relationships/hyperlink" Target="https://doi.org/10.2165/11598840-000000000-00000" TargetMode="External"/><Relationship Id="rId924" Type="http://schemas.openxmlformats.org/officeDocument/2006/relationships/hyperlink" Target="https://doi.org/10.1016/S2213-2600(15)00042-9" TargetMode="External"/><Relationship Id="rId1347" Type="http://schemas.openxmlformats.org/officeDocument/2006/relationships/hyperlink" Target="https://cyberleninka.ru/article/n/bronhialnaya-astma-i-beremennost-4" TargetMode="External"/><Relationship Id="rId53" Type="http://schemas.openxmlformats.org/officeDocument/2006/relationships/hyperlink" Target="https://doi.org/10.1016/S0140-6736(01)05779-8" TargetMode="External"/><Relationship Id="rId1207" Type="http://schemas.openxmlformats.org/officeDocument/2006/relationships/hyperlink" Target="https://doi.org/10.1007/S11882-020-00948-Y" TargetMode="External"/><Relationship Id="rId1414" Type="http://schemas.openxmlformats.org/officeDocument/2006/relationships/hyperlink" Target="https://doi.org/10.1111/J.1398-9995.2007.01451.X" TargetMode="External"/><Relationship Id="rId367" Type="http://schemas.openxmlformats.org/officeDocument/2006/relationships/hyperlink" Target="https://doi.org/10.4103/0970-2113.168139" TargetMode="External"/><Relationship Id="rId574" Type="http://schemas.openxmlformats.org/officeDocument/2006/relationships/hyperlink" Target="https://doi.org/10.1378/CHEST.117.3.728" TargetMode="External"/><Relationship Id="rId227" Type="http://schemas.openxmlformats.org/officeDocument/2006/relationships/hyperlink" Target="https://ginasthma.org/severeasthma/" TargetMode="External"/><Relationship Id="rId781" Type="http://schemas.openxmlformats.org/officeDocument/2006/relationships/hyperlink" Target="https://doi.org/10.1542/PEDS.2008-2867" TargetMode="External"/><Relationship Id="rId879" Type="http://schemas.openxmlformats.org/officeDocument/2006/relationships/hyperlink" Target="https://doi.org/10.1016/S0140-6736(16)30307-5" TargetMode="External"/><Relationship Id="rId434" Type="http://schemas.openxmlformats.org/officeDocument/2006/relationships/hyperlink" Target="https://doi.org/10.1183/13993003.04173-2020" TargetMode="External"/><Relationship Id="rId641" Type="http://schemas.openxmlformats.org/officeDocument/2006/relationships/hyperlink" Target="https://doi.org/10.1056/NEJMOA1901963" TargetMode="External"/><Relationship Id="rId739" Type="http://schemas.openxmlformats.org/officeDocument/2006/relationships/hyperlink" Target="https://doi.org/10.2500/AAP.2014.35.3745" TargetMode="External"/><Relationship Id="rId1064" Type="http://schemas.openxmlformats.org/officeDocument/2006/relationships/hyperlink" Target="https://doi.org/10.1016/S1081-1206(10)61758-9" TargetMode="External"/><Relationship Id="rId1271" Type="http://schemas.openxmlformats.org/officeDocument/2006/relationships/hyperlink" Target="https://doi.org/10.1016/j.waojou.2023.100756" TargetMode="External"/><Relationship Id="rId1369" Type="http://schemas.openxmlformats.org/officeDocument/2006/relationships/hyperlink" Target="https://dissercat.com/content/osobennosti-techeniya-i-lecheniya-bronkhialnoi-astmy-v-period-beremennosti-0" TargetMode="External"/><Relationship Id="rId501" Type="http://schemas.openxmlformats.org/officeDocument/2006/relationships/hyperlink" Target="https://doi.org/10.1183/13993003.01526-2016" TargetMode="External"/><Relationship Id="rId946" Type="http://schemas.openxmlformats.org/officeDocument/2006/relationships/hyperlink" Target="https://doi.org/10.1056/NEJMOA2034975" TargetMode="External"/><Relationship Id="rId1131" Type="http://schemas.openxmlformats.org/officeDocument/2006/relationships/hyperlink" Target="https://doi.org/10.1016/B978-008055232-3.61213-9" TargetMode="External"/><Relationship Id="rId1229" Type="http://schemas.openxmlformats.org/officeDocument/2006/relationships/hyperlink" Target="https://raaci.ru/education/clinic_recomendations/103.html" TargetMode="External"/><Relationship Id="rId75" Type="http://schemas.openxmlformats.org/officeDocument/2006/relationships/hyperlink" Target="https://doi.org/10.1183/09031936.00202013" TargetMode="External"/><Relationship Id="rId806" Type="http://schemas.openxmlformats.org/officeDocument/2006/relationships/hyperlink" Target="https://doi.org/10.1080/03007995.2021.1944849" TargetMode="External"/><Relationship Id="rId1436" Type="http://schemas.openxmlformats.org/officeDocument/2006/relationships/hyperlink" Target="https://pubmed.ncbi.nlm.nih.gov/24340399/" TargetMode="External"/><Relationship Id="rId1503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91" Type="http://schemas.openxmlformats.org/officeDocument/2006/relationships/hyperlink" Target="https://cr.minzdrav.gov.ru/schema/735_1" TargetMode="External"/><Relationship Id="rId151" Type="http://schemas.openxmlformats.org/officeDocument/2006/relationships/hyperlink" Target="https://doi.org/10.1183/13993003.01585-2021" TargetMode="External"/><Relationship Id="rId389" Type="http://schemas.openxmlformats.org/officeDocument/2006/relationships/hyperlink" Target="https://doi.org/10.18093/08690189-2023-33-3-307-340" TargetMode="External"/><Relationship Id="rId596" Type="http://schemas.openxmlformats.org/officeDocument/2006/relationships/hyperlink" Target="https://doi.org/10.1513/ANNALSATS.201711-886OC" TargetMode="External"/><Relationship Id="rId249" Type="http://schemas.openxmlformats.org/officeDocument/2006/relationships/hyperlink" Target="https://doi.org/10.1038/S41598-023-48381-1" TargetMode="External"/><Relationship Id="rId456" Type="http://schemas.openxmlformats.org/officeDocument/2006/relationships/hyperlink" Target="https://doi.org/10.1136/THORAXJNL-2011-201445" TargetMode="External"/><Relationship Id="rId663" Type="http://schemas.openxmlformats.org/officeDocument/2006/relationships/hyperlink" Target="https://doi.org/10.1016/S2213-2600(21)00536-1" TargetMode="External"/><Relationship Id="rId870" Type="http://schemas.openxmlformats.org/officeDocument/2006/relationships/hyperlink" Target="https://doi.org/10.1186/S12931-019-1065-3" TargetMode="External"/><Relationship Id="rId1086" Type="http://schemas.openxmlformats.org/officeDocument/2006/relationships/hyperlink" Target="https://doi.org/10.1001/JAMA.281.22.2119" TargetMode="External"/><Relationship Id="rId1293" Type="http://schemas.openxmlformats.org/officeDocument/2006/relationships/hyperlink" Target="https://doi.org/10.31550/1727-2378-2020-19-11-38-41" TargetMode="External"/><Relationship Id="rId109" Type="http://schemas.openxmlformats.org/officeDocument/2006/relationships/hyperlink" Target="https://doi.org/10.18093/0869-0189-2008-0-2-15-19" TargetMode="External"/><Relationship Id="rId316" Type="http://schemas.openxmlformats.org/officeDocument/2006/relationships/hyperlink" Target="https://www.rmj.ru/articles/bolezni_dykhatelnykh_putey/Infekcionnye_zabolevaniya_dyhatelynogo_trakta_u_bolynyh_s_bronhialynoy_astmoy/" TargetMode="External"/><Relationship Id="rId523" Type="http://schemas.openxmlformats.org/officeDocument/2006/relationships/hyperlink" Target="https://doi.org/10.1016/S0196-0644(82)80298-9" TargetMode="External"/><Relationship Id="rId968" Type="http://schemas.openxmlformats.org/officeDocument/2006/relationships/hyperlink" Target="https://doi.org/10.1136/thoraxjnl-2012-202698" TargetMode="External"/><Relationship Id="rId1153" Type="http://schemas.openxmlformats.org/officeDocument/2006/relationships/hyperlink" Target="https://doi.org/10.1371/JOURNAL.PONE.0267445" TargetMode="External"/><Relationship Id="rId97" Type="http://schemas.openxmlformats.org/officeDocument/2006/relationships/hyperlink" Target="https://doi.org/10.18093/0869-0189-2008-0-2-15-19" TargetMode="External"/><Relationship Id="rId730" Type="http://schemas.openxmlformats.org/officeDocument/2006/relationships/hyperlink" Target="https://doi.org/10.1016/J.JAIP.2019.06.030" TargetMode="External"/><Relationship Id="rId828" Type="http://schemas.openxmlformats.org/officeDocument/2006/relationships/hyperlink" Target="https://doi.org/10.1111/pai.12759" TargetMode="External"/><Relationship Id="rId1013" Type="http://schemas.openxmlformats.org/officeDocument/2006/relationships/hyperlink" Target="https://cyberleninka.ru/article/n/nebulayzernaya-terapiya-suspenziey-pulmikorta-pri-tyazheloy-bronhialnoy-astme" TargetMode="External"/><Relationship Id="rId1360" Type="http://schemas.openxmlformats.org/officeDocument/2006/relationships/hyperlink" Target="https://doi.org/10.1016/S0029-7844(98)00191-4" TargetMode="External"/><Relationship Id="rId1458" Type="http://schemas.openxmlformats.org/officeDocument/2006/relationships/hyperlink" Target="https://doi.org/10.1136/THORAX.2003.011858" TargetMode="External"/><Relationship Id="rId1220" Type="http://schemas.openxmlformats.org/officeDocument/2006/relationships/hyperlink" Target="https://doi.org/10.1111/pai.13915" TargetMode="External"/><Relationship Id="rId1318" Type="http://schemas.openxmlformats.org/officeDocument/2006/relationships/hyperlink" Target="https://doi.org/10.4103/0973-6131.213472" TargetMode="External"/><Relationship Id="rId1525" Type="http://schemas.openxmlformats.org/officeDocument/2006/relationships/image" Target="media/image15.jpg"/><Relationship Id="rId24" Type="http://schemas.openxmlformats.org/officeDocument/2006/relationships/hyperlink" Target="https://doi.org/10.1164/RCCM.200906-0896OC" TargetMode="External"/><Relationship Id="rId173" Type="http://schemas.openxmlformats.org/officeDocument/2006/relationships/hyperlink" Target="https://doi.org/10.18093/0869-0189-2011-0-2-276-287" TargetMode="External"/><Relationship Id="rId380" Type="http://schemas.openxmlformats.org/officeDocument/2006/relationships/hyperlink" Target="https://spulmo.ru/upload/kr/Spirometria_2023.pdf?t=1" TargetMode="External"/><Relationship Id="rId240" Type="http://schemas.openxmlformats.org/officeDocument/2006/relationships/hyperlink" Target="https://doi.org/10.1016/S2213-2600(15)00050-8" TargetMode="External"/><Relationship Id="rId478" Type="http://schemas.openxmlformats.org/officeDocument/2006/relationships/hyperlink" Target="https://doi.org/10.3949/CCJM.75.1.37" TargetMode="External"/><Relationship Id="rId685" Type="http://schemas.openxmlformats.org/officeDocument/2006/relationships/hyperlink" Target="https://doi.org/10.1016/S0140-6736(10)62145-9" TargetMode="External"/><Relationship Id="rId892" Type="http://schemas.openxmlformats.org/officeDocument/2006/relationships/hyperlink" Target="https://doi.org/10.1002/14651858.CD010834.pub4" TargetMode="External"/><Relationship Id="rId100" Type="http://schemas.openxmlformats.org/officeDocument/2006/relationships/hyperlink" Target="https://doi.org/10.18093/0869-0189-2008-0-2-15-19" TargetMode="External"/><Relationship Id="rId338" Type="http://schemas.openxmlformats.org/officeDocument/2006/relationships/hyperlink" Target="https://www.rmj.ru/articles/bolezni_dykhatelnykh_putey/Infekcionnye_zabolevaniya_dyhatelynogo_trakta_u_bolynyh_s_bronhialynoy_astmoy/" TargetMode="External"/><Relationship Id="rId545" Type="http://schemas.openxmlformats.org/officeDocument/2006/relationships/hyperlink" Target="https://cyberleninka.ru/article/n/osobennosti-issledovaniya-funktsii-vneshnego-dyhaniya-u-detey-i-podrostkov" TargetMode="External"/><Relationship Id="rId752" Type="http://schemas.openxmlformats.org/officeDocument/2006/relationships/hyperlink" Target="https://doi.org/10.1016/J.JACI.2016.09.028" TargetMode="External"/><Relationship Id="rId1175" Type="http://schemas.openxmlformats.org/officeDocument/2006/relationships/hyperlink" Target="https://doi.org/10.1136/THX.2010.155259" TargetMode="External"/><Relationship Id="rId1382" Type="http://schemas.openxmlformats.org/officeDocument/2006/relationships/hyperlink" Target="https://dissercat.com/content/osobennosti-techeniya-i-lecheniya-bronkhialnoi-astmy-v-period-beremennosti-0" TargetMode="External"/><Relationship Id="rId405" Type="http://schemas.openxmlformats.org/officeDocument/2006/relationships/hyperlink" Target="https://doi.org/10.18093/0869-0189-2014-0-6-11-24" TargetMode="External"/><Relationship Id="rId612" Type="http://schemas.openxmlformats.org/officeDocument/2006/relationships/hyperlink" Target="https://doi.org/10.1186/s12890-023-02570-w" TargetMode="External"/><Relationship Id="rId1035" Type="http://schemas.openxmlformats.org/officeDocument/2006/relationships/hyperlink" Target="https://pubmed.ncbi.nlm.nih.gov/16924568/" TargetMode="External"/><Relationship Id="rId1242" Type="http://schemas.openxmlformats.org/officeDocument/2006/relationships/hyperlink" Target="https://doi.org/10.1111/J.1398-9995.2010.02474.X" TargetMode="External"/><Relationship Id="rId917" Type="http://schemas.openxmlformats.org/officeDocument/2006/relationships/hyperlink" Target="https://doi.org/10.1055/S-0031-1300502" TargetMode="External"/><Relationship Id="rId1102" Type="http://schemas.openxmlformats.org/officeDocument/2006/relationships/hyperlink" Target="https://doi.org/10.1111/J.1445-5994.2010.02192.X" TargetMode="External"/><Relationship Id="rId46" Type="http://schemas.openxmlformats.org/officeDocument/2006/relationships/hyperlink" Target="https://doi.org/10.1016/S0002-9343(02)01242-1" TargetMode="External"/><Relationship Id="rId1407" Type="http://schemas.openxmlformats.org/officeDocument/2006/relationships/hyperlink" Target="https://doi.org/10.1002/ALR.22073" TargetMode="External"/><Relationship Id="rId195" Type="http://schemas.openxmlformats.org/officeDocument/2006/relationships/hyperlink" Target="https://doi.org/10.1111/J.1398-9995.2012.02865.X" TargetMode="External"/><Relationship Id="rId262" Type="http://schemas.openxmlformats.org/officeDocument/2006/relationships/hyperlink" Target="https://doi.org/10.1016/S0091-6749(99)70402-1" TargetMode="External"/><Relationship Id="rId567" Type="http://schemas.openxmlformats.org/officeDocument/2006/relationships/hyperlink" Target="https://doi.org/10.1186/S40733-018-0045-6" TargetMode="External"/><Relationship Id="rId1197" Type="http://schemas.openxmlformats.org/officeDocument/2006/relationships/hyperlink" Target="https://doi.org/10.1097/00003246-199311000-00023" TargetMode="External"/><Relationship Id="rId122" Type="http://schemas.openxmlformats.org/officeDocument/2006/relationships/hyperlink" Target="https://doi.org/10.18093/0869-0189-2005-0-2-57-62" TargetMode="External"/><Relationship Id="rId774" Type="http://schemas.openxmlformats.org/officeDocument/2006/relationships/hyperlink" Target="https://doi.org/10.1186/S40733-016-0020-Z" TargetMode="External"/><Relationship Id="rId981" Type="http://schemas.openxmlformats.org/officeDocument/2006/relationships/hyperlink" Target="https://doi.org/10.1002/14651858.CD000052.PUB3" TargetMode="External"/><Relationship Id="rId1057" Type="http://schemas.openxmlformats.org/officeDocument/2006/relationships/hyperlink" Target="https://doi.org/10.1164/AJRCCM.165.5.2109093" TargetMode="External"/><Relationship Id="rId427" Type="http://schemas.openxmlformats.org/officeDocument/2006/relationships/hyperlink" Target="https://doi.org/10.1136/BMJPO-2021-001277" TargetMode="External"/><Relationship Id="rId634" Type="http://schemas.openxmlformats.org/officeDocument/2006/relationships/hyperlink" Target="https://doi.org/10.1007/s12325-022-02410-z" TargetMode="External"/><Relationship Id="rId841" Type="http://schemas.openxmlformats.org/officeDocument/2006/relationships/hyperlink" Target="https://doi.org/10.1007/S41030-017-0043-5" TargetMode="External"/><Relationship Id="rId1264" Type="http://schemas.openxmlformats.org/officeDocument/2006/relationships/hyperlink" Target="https://doi.org/10.1001/jama.2016.3964" TargetMode="External"/><Relationship Id="rId1471" Type="http://schemas.openxmlformats.org/officeDocument/2006/relationships/hyperlink" Target="https://doi.org/10.1016/S0954-6111(06)80268-4" TargetMode="External"/><Relationship Id="rId701" Type="http://schemas.openxmlformats.org/officeDocument/2006/relationships/hyperlink" Target="https://doi.org/10.1007/S12325-022-02092-7" TargetMode="External"/><Relationship Id="rId939" Type="http://schemas.openxmlformats.org/officeDocument/2006/relationships/hyperlink" Target="https://doi.org/10.1016/S0140-6736(19)31881-1" TargetMode="External"/><Relationship Id="rId1124" Type="http://schemas.openxmlformats.org/officeDocument/2006/relationships/hyperlink" Target="https://doi.org/10.1016/S2213-2600(13)70070-5" TargetMode="External"/><Relationship Id="rId1331" Type="http://schemas.openxmlformats.org/officeDocument/2006/relationships/hyperlink" Target="https://cyberleninka.ru/article/n/bronhialnaya-astma-i-beremennost-4" TargetMode="External"/><Relationship Id="rId68" Type="http://schemas.openxmlformats.org/officeDocument/2006/relationships/hyperlink" Target="https://doi.org/10.1164/RCCM.200801-060ST" TargetMode="External"/><Relationship Id="rId1429" Type="http://schemas.openxmlformats.org/officeDocument/2006/relationships/hyperlink" Target="https://doi.org/10.1111/RESP.13528" TargetMode="External"/><Relationship Id="rId284" Type="http://schemas.openxmlformats.org/officeDocument/2006/relationships/hyperlink" Target="https://cr.minzdrav.gov.ru/schema/735_1" TargetMode="External"/><Relationship Id="rId491" Type="http://schemas.openxmlformats.org/officeDocument/2006/relationships/hyperlink" Target="https://cyberleninka.ru/article/n/bronhomotornye-testy-v-klinicheskoy-diagnostike-bronhialnoy-astmy" TargetMode="External"/><Relationship Id="rId144" Type="http://schemas.openxmlformats.org/officeDocument/2006/relationships/hyperlink" Target="https://cyberleninka.ru/article/n/osobennosti-techeniya-bronhialnoy-astmy-u-podrostkov-i-yunoshey-prizyvnogo-vozrasta" TargetMode="External"/><Relationship Id="rId589" Type="http://schemas.openxmlformats.org/officeDocument/2006/relationships/hyperlink" Target="https://doi.org/10.1183/09031936.00096111" TargetMode="External"/><Relationship Id="rId796" Type="http://schemas.openxmlformats.org/officeDocument/2006/relationships/hyperlink" Target="https://doi.org/10.1016/S0140-6736(19)32215-9" TargetMode="External"/><Relationship Id="rId351" Type="http://schemas.openxmlformats.org/officeDocument/2006/relationships/hyperlink" Target="https://doi.org/10.1530/EJE-16-0653" TargetMode="External"/><Relationship Id="rId449" Type="http://schemas.openxmlformats.org/officeDocument/2006/relationships/hyperlink" Target="https://doi.org/10.1016/S0140-6736(98)06128-5" TargetMode="External"/><Relationship Id="rId656" Type="http://schemas.openxmlformats.org/officeDocument/2006/relationships/hyperlink" Target="https://doi.org/10.1053/RMED.2000.0820" TargetMode="External"/><Relationship Id="rId863" Type="http://schemas.openxmlformats.org/officeDocument/2006/relationships/hyperlink" Target="https://doi.org/10.1002/14651858.CD010834.PUB4" TargetMode="External"/><Relationship Id="rId1079" Type="http://schemas.openxmlformats.org/officeDocument/2006/relationships/hyperlink" Target="https://doi.org/10.18203/2349-3291.IJCP20172542" TargetMode="External"/><Relationship Id="rId1286" Type="http://schemas.openxmlformats.org/officeDocument/2006/relationships/hyperlink" Target="https://doi.org/10.31550/1727-2378-2020-19-11-38-41" TargetMode="External"/><Relationship Id="rId1493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11" Type="http://schemas.openxmlformats.org/officeDocument/2006/relationships/hyperlink" Target="https://doi.org/10.23736/S0026-4946.18.05351-3" TargetMode="External"/><Relationship Id="rId309" Type="http://schemas.openxmlformats.org/officeDocument/2006/relationships/hyperlink" Target="https://doi.org/10.18093/0869-0189-2017-27-3-311-319" TargetMode="External"/><Relationship Id="rId516" Type="http://schemas.openxmlformats.org/officeDocument/2006/relationships/hyperlink" Target="https://doi.org/10.1016/0954-6111(95)90249-X" TargetMode="External"/><Relationship Id="rId1146" Type="http://schemas.openxmlformats.org/officeDocument/2006/relationships/hyperlink" Target="https://doi.org/10.1136/BMJRESP-2021-001137" TargetMode="External"/><Relationship Id="rId723" Type="http://schemas.openxmlformats.org/officeDocument/2006/relationships/hyperlink" Target="https://doi.org/10.1186/1465-9921-12-38" TargetMode="External"/><Relationship Id="rId930" Type="http://schemas.openxmlformats.org/officeDocument/2006/relationships/hyperlink" Target="https://doi.org/10.3233/HAB-2009-0198" TargetMode="External"/><Relationship Id="rId1006" Type="http://schemas.openxmlformats.org/officeDocument/2006/relationships/hyperlink" Target="https://cyberleninka.ru/article/n/nebulayzernaya-terapiya-suspenziey-pulmikorta-pri-tyazheloy-bronhialnoy-astme" TargetMode="External"/><Relationship Id="rId1353" Type="http://schemas.openxmlformats.org/officeDocument/2006/relationships/hyperlink" Target="https://doi.org/10.1155/2020/9046842" TargetMode="External"/><Relationship Id="rId1213" Type="http://schemas.openxmlformats.org/officeDocument/2006/relationships/hyperlink" Target="https://doi.org/10.1111/j.1398-9995.1998.tb05010.x" TargetMode="External"/><Relationship Id="rId1420" Type="http://schemas.openxmlformats.org/officeDocument/2006/relationships/hyperlink" Target="https://doi.org/10.1111/ALL.15551" TargetMode="External"/><Relationship Id="rId1518" Type="http://schemas.openxmlformats.org/officeDocument/2006/relationships/image" Target="media/image9.jpg"/><Relationship Id="rId17" Type="http://schemas.openxmlformats.org/officeDocument/2006/relationships/hyperlink" Target="https://doi.org/10.1152/PHYSREV.00023.2019" TargetMode="External"/><Relationship Id="rId166" Type="http://schemas.openxmlformats.org/officeDocument/2006/relationships/hyperlink" Target="https://doi.org/10.1016/J.JACI.2006.12.662" TargetMode="External"/><Relationship Id="rId373" Type="http://schemas.openxmlformats.org/officeDocument/2006/relationships/hyperlink" Target="https://spulmo.ru/upload/kr/Spirometria_2023.pdf?t=1" TargetMode="External"/><Relationship Id="rId580" Type="http://schemas.openxmlformats.org/officeDocument/2006/relationships/hyperlink" Target="https://doi.org/10.1016/J.JAIP.2019.11.008" TargetMode="External"/><Relationship Id="rId1" Type="http://schemas.openxmlformats.org/officeDocument/2006/relationships/numbering" Target="numbering.xml"/><Relationship Id="rId233" Type="http://schemas.openxmlformats.org/officeDocument/2006/relationships/hyperlink" Target="https://doi.org/10.1164/RCCM.200203-183OC" TargetMode="External"/><Relationship Id="rId440" Type="http://schemas.openxmlformats.org/officeDocument/2006/relationships/hyperlink" Target="https://doi.org/10.18203/2349-3291.IJCP20201631" TargetMode="External"/><Relationship Id="rId678" Type="http://schemas.openxmlformats.org/officeDocument/2006/relationships/hyperlink" Target="https://doi.org/10.1007/s12325-022-02092-7" TargetMode="External"/><Relationship Id="rId885" Type="http://schemas.openxmlformats.org/officeDocument/2006/relationships/hyperlink" Target="https://doi.org/10.2147/JAA.S286036" TargetMode="External"/><Relationship Id="rId1070" Type="http://schemas.openxmlformats.org/officeDocument/2006/relationships/hyperlink" Target="https://doi.org/10.1378/chest.121.6.1798" TargetMode="External"/><Relationship Id="rId300" Type="http://schemas.openxmlformats.org/officeDocument/2006/relationships/hyperlink" Target="https://doi.org/10.18093/0869-0189-2017-27-3-311-319" TargetMode="External"/><Relationship Id="rId538" Type="http://schemas.openxmlformats.org/officeDocument/2006/relationships/hyperlink" Target="https://cyberleninka.ru/article/n/osobennosti-issledovaniya-funktsii-vneshnego-dyhaniya-u-detey-i-podrostkov" TargetMode="External"/><Relationship Id="rId745" Type="http://schemas.openxmlformats.org/officeDocument/2006/relationships/hyperlink" Target="https://doi.org/10.1542/PEDS.2015-4496" TargetMode="External"/><Relationship Id="rId952" Type="http://schemas.openxmlformats.org/officeDocument/2006/relationships/hyperlink" Target="https://doi.org/10.1002/14651858.CD002997.pub5" TargetMode="External"/><Relationship Id="rId1168" Type="http://schemas.openxmlformats.org/officeDocument/2006/relationships/hyperlink" Target="https://doi.org/10.1002/14651858.cd001276.pub2" TargetMode="External"/><Relationship Id="rId1375" Type="http://schemas.openxmlformats.org/officeDocument/2006/relationships/hyperlink" Target="https://dissercat.com/content/osobennosti-techeniya-i-lecheniya-bronkhialnoi-astmy-v-period-beremennosti-0" TargetMode="External"/><Relationship Id="rId81" Type="http://schemas.openxmlformats.org/officeDocument/2006/relationships/hyperlink" Target="http://www.ginasthma.org/" TargetMode="External"/><Relationship Id="rId605" Type="http://schemas.openxmlformats.org/officeDocument/2006/relationships/hyperlink" Target="https://doi.org/10.1016/S2213-2600(16)30160-6" TargetMode="External"/><Relationship Id="rId812" Type="http://schemas.openxmlformats.org/officeDocument/2006/relationships/hyperlink" Target="https://doi.org/10.1016/J.RMED.2020.106021" TargetMode="External"/><Relationship Id="rId1028" Type="http://schemas.openxmlformats.org/officeDocument/2006/relationships/hyperlink" Target="https://doi.org/10.1007/s12098-014-1498-0" TargetMode="External"/><Relationship Id="rId1235" Type="http://schemas.openxmlformats.org/officeDocument/2006/relationships/hyperlink" Target="https://raaci.ru/education/clinic_recomendations/103.html" TargetMode="External"/><Relationship Id="rId1442" Type="http://schemas.openxmlformats.org/officeDocument/2006/relationships/hyperlink" Target="https://doi.org/10.1136/THX.2005.056291" TargetMode="External"/><Relationship Id="rId1302" Type="http://schemas.openxmlformats.org/officeDocument/2006/relationships/hyperlink" Target="https://doi.org/10.1136/thorax.58.8.649" TargetMode="External"/><Relationship Id="rId39" Type="http://schemas.openxmlformats.org/officeDocument/2006/relationships/hyperlink" Target="https://yandex.ru/search/?text=mednet.ru&amp;lr=213&amp;clid=2270455&amp;win=587" TargetMode="External"/><Relationship Id="rId188" Type="http://schemas.openxmlformats.org/officeDocument/2006/relationships/hyperlink" Target="https://doi.org/10.18093/0869-0189-2011-0-2-276-287" TargetMode="External"/><Relationship Id="rId395" Type="http://schemas.openxmlformats.org/officeDocument/2006/relationships/hyperlink" Target="https://doi.org/10.18093/08690189-2023-33-3-307-340" TargetMode="External"/><Relationship Id="rId255" Type="http://schemas.openxmlformats.org/officeDocument/2006/relationships/hyperlink" Target="https://doi.org/10.1136/BMJOPEN-2014-005748" TargetMode="External"/><Relationship Id="rId462" Type="http://schemas.openxmlformats.org/officeDocument/2006/relationships/hyperlink" Target="https://doi.org/10.1183/13993003.01033-2018" TargetMode="External"/><Relationship Id="rId1092" Type="http://schemas.openxmlformats.org/officeDocument/2006/relationships/hyperlink" Target="https://doi.org/10.1183/13993003.00703-2018" TargetMode="External"/><Relationship Id="rId1397" Type="http://schemas.openxmlformats.org/officeDocument/2006/relationships/hyperlink" Target="https://doi.org/10.1186/1471-2466-6-S1-S4" TargetMode="External"/><Relationship Id="rId115" Type="http://schemas.openxmlformats.org/officeDocument/2006/relationships/hyperlink" Target="https://doi.org/10.18093/0869-0189-2005-0-2-57-62" TargetMode="External"/><Relationship Id="rId322" Type="http://schemas.openxmlformats.org/officeDocument/2006/relationships/hyperlink" Target="https://www.rmj.ru/articles/bolezni_dykhatelnykh_putey/Infekcionnye_zabolevaniya_dyhatelynogo_trakta_u_bolynyh_s_bronhialynoy_astmoy/" TargetMode="External"/><Relationship Id="rId767" Type="http://schemas.openxmlformats.org/officeDocument/2006/relationships/hyperlink" Target="https://doi.org/10.1067/mai.2002.122635" TargetMode="External"/><Relationship Id="rId974" Type="http://schemas.openxmlformats.org/officeDocument/2006/relationships/hyperlink" Target="https://doi.org/10.5863/1551-6776-18.2.88" TargetMode="External"/><Relationship Id="rId627" Type="http://schemas.openxmlformats.org/officeDocument/2006/relationships/hyperlink" Target="https://doi.org/10.1002/14651858.CD013518.pub2" TargetMode="External"/><Relationship Id="rId834" Type="http://schemas.openxmlformats.org/officeDocument/2006/relationships/hyperlink" Target="https://doi.org/10.1136/BMJ.319.7202.87" TargetMode="External"/><Relationship Id="rId1257" Type="http://schemas.openxmlformats.org/officeDocument/2006/relationships/hyperlink" Target="https://doi.org/10.1016/J.JACIG.2024.100206" TargetMode="External"/><Relationship Id="rId1464" Type="http://schemas.openxmlformats.org/officeDocument/2006/relationships/hyperlink" Target="https://doi.org/10.7759/cureus.50655" TargetMode="External"/><Relationship Id="rId901" Type="http://schemas.openxmlformats.org/officeDocument/2006/relationships/hyperlink" Target="https://doi.org/10.1097/ACI.0000000000000708" TargetMode="External"/><Relationship Id="rId1117" Type="http://schemas.openxmlformats.org/officeDocument/2006/relationships/hyperlink" Target="https://doi.org/10.1002/14651858.cd003898.pub3" TargetMode="External"/><Relationship Id="rId1324" Type="http://schemas.openxmlformats.org/officeDocument/2006/relationships/hyperlink" Target="https://doi.org/10.1007/s12098-017-2519-6" TargetMode="External"/><Relationship Id="rId1531" Type="http://schemas.openxmlformats.org/officeDocument/2006/relationships/hyperlink" Target="http://www.ginasthma.org/" TargetMode="External"/><Relationship Id="rId30" Type="http://schemas.openxmlformats.org/officeDocument/2006/relationships/hyperlink" Target="https://doi.org/10.1016/S0140-6736(20)30925-9" TargetMode="External"/><Relationship Id="rId277" Type="http://schemas.openxmlformats.org/officeDocument/2006/relationships/hyperlink" Target="https://doi.org/10.1183/13993003.01585-2021" TargetMode="External"/><Relationship Id="rId484" Type="http://schemas.openxmlformats.org/officeDocument/2006/relationships/hyperlink" Target="https://cyberleninka.ru/article/n/bronhomotornye-testy-v-klinicheskoy-diagnostike-bronhialnoy-astmy" TargetMode="External"/><Relationship Id="rId137" Type="http://schemas.openxmlformats.org/officeDocument/2006/relationships/hyperlink" Target="https://cyberleninka.ru/article/n/osobennosti-techeniya-bronhialnoy-astmy-u-podrostkov-i-yunoshey-prizyvnogo-vozrasta" TargetMode="External"/><Relationship Id="rId344" Type="http://schemas.openxmlformats.org/officeDocument/2006/relationships/hyperlink" Target="https://www.rmj.ru/articles/bolezni_dykhatelnykh_putey/Infekcionnye_zabolevaniya_dyhatelynogo_trakta_u_bolynyh_s_bronhialynoy_astmoy/" TargetMode="External"/><Relationship Id="rId691" Type="http://schemas.openxmlformats.org/officeDocument/2006/relationships/hyperlink" Target="https://doi.org/10.1016/J.JAIP.2021.10.011" TargetMode="External"/><Relationship Id="rId789" Type="http://schemas.openxmlformats.org/officeDocument/2006/relationships/hyperlink" Target="https://doi.org/10.1016/S2213-2600(20)30190-9" TargetMode="External"/><Relationship Id="rId996" Type="http://schemas.openxmlformats.org/officeDocument/2006/relationships/hyperlink" Target="https://doi.org/10.18093/0869-0189-2006-4-58-67" TargetMode="External"/><Relationship Id="rId551" Type="http://schemas.openxmlformats.org/officeDocument/2006/relationships/hyperlink" Target="https://cyberleninka.ru/article/n/osobennosti-issledovaniya-funktsii-vneshnego-dyhaniya-u-detey-i-podrostkov" TargetMode="External"/><Relationship Id="rId649" Type="http://schemas.openxmlformats.org/officeDocument/2006/relationships/hyperlink" Target="https://doi.org/10.1016/J.ANAI.2012.08.014" TargetMode="External"/><Relationship Id="rId856" Type="http://schemas.openxmlformats.org/officeDocument/2006/relationships/hyperlink" Target="https://doi.org/10.1016/0091-6749(82)90065-3" TargetMode="External"/><Relationship Id="rId1181" Type="http://schemas.openxmlformats.org/officeDocument/2006/relationships/hyperlink" Target="https://doi.org/10.1016/S0002-9343(03)00241-9" TargetMode="External"/><Relationship Id="rId1279" Type="http://schemas.openxmlformats.org/officeDocument/2006/relationships/hyperlink" Target="https://doi.org/10.1136/BMJOPEN-2018-026742" TargetMode="External"/><Relationship Id="rId1486" Type="http://schemas.openxmlformats.org/officeDocument/2006/relationships/hyperlink" Target="https://www.rosminzdrav.ru/news/2019/12/18/13043-minzdrav-podgotovil-informatsionnoe-pismo-po-vozmozhnosti-zakupki-lekarstvennogo-preparata-po-torgovomu-naimenovaniyu" TargetMode="External"/><Relationship Id="rId204" Type="http://schemas.openxmlformats.org/officeDocument/2006/relationships/hyperlink" Target="https://doi.org/10.1186/1465-9921-13-59" TargetMode="External"/><Relationship Id="rId411" Type="http://schemas.openxmlformats.org/officeDocument/2006/relationships/hyperlink" Target="https://doi.org/10.18093/0869-0189-2014-0-6-11-24" TargetMode="External"/><Relationship Id="rId509" Type="http://schemas.openxmlformats.org/officeDocument/2006/relationships/hyperlink" Target="https://doi.org/10.1136/thx.39.12.912" TargetMode="External"/><Relationship Id="rId1041" Type="http://schemas.openxmlformats.org/officeDocument/2006/relationships/hyperlink" Target="https://doi.org/10.1007/s12098-014-1498-0" TargetMode="External"/><Relationship Id="rId1139" Type="http://schemas.openxmlformats.org/officeDocument/2006/relationships/hyperlink" Target="https://doi.org/10.1136/BMJRESP-2022-001502" TargetMode="External"/><Relationship Id="rId1346" Type="http://schemas.openxmlformats.org/officeDocument/2006/relationships/hyperlink" Target="https://cyberleninka.ru/article/n/bronhialnaya-astma-i-beremennost-4" TargetMode="External"/><Relationship Id="rId716" Type="http://schemas.openxmlformats.org/officeDocument/2006/relationships/hyperlink" Target="https://doi.org/10.2165/11598840-000000000-00000" TargetMode="External"/><Relationship Id="rId923" Type="http://schemas.openxmlformats.org/officeDocument/2006/relationships/hyperlink" Target="https://doi.org/10.1164/RCCM.201103-0396OC" TargetMode="External"/><Relationship Id="rId52" Type="http://schemas.openxmlformats.org/officeDocument/2006/relationships/hyperlink" Target="https://doi.org/10.1016/S0140-6736(01)05779-8" TargetMode="External"/><Relationship Id="rId1206" Type="http://schemas.openxmlformats.org/officeDocument/2006/relationships/hyperlink" Target="https://doi.org/10.1007/S11882-020-00948-Y" TargetMode="External"/><Relationship Id="rId1413" Type="http://schemas.openxmlformats.org/officeDocument/2006/relationships/hyperlink" Target="https://doi.org/10.1111/J.1398-9995.2007.01451.X" TargetMode="External"/><Relationship Id="rId299" Type="http://schemas.openxmlformats.org/officeDocument/2006/relationships/hyperlink" Target="https://doi.org/10.18093/0869-0189-2017-27-3-311-319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73119</Words>
  <Characters>416779</Characters>
  <Application>Microsoft Office Word</Application>
  <DocSecurity>4</DocSecurity>
  <Lines>3473</Lines>
  <Paragraphs>977</Paragraphs>
  <ScaleCrop>false</ScaleCrop>
  <Company/>
  <LinksUpToDate>false</LinksUpToDate>
  <CharactersWithSpaces>488921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ФГБУ "ЦЭККМП" Минздрава России</dc:creator>
  <cp:keywords/>
  <cp:lastModifiedBy>word</cp:lastModifiedBy>
  <cp:revision>2</cp:revision>
  <dcterms:created xsi:type="dcterms:W3CDTF">2024-09-26T12:40:00Z</dcterms:created>
  <dcterms:modified xsi:type="dcterms:W3CDTF">2024-09-26T12:40:00Z</dcterms:modified>
</cp:coreProperties>
</file>