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20 марта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46039</w:t>
      </w:r>
    </w:p>
    <w:p w:rsidR="00000000" w:rsidRDefault="0046628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ПО НАДЗОРУ В СФЕРЕ ЗДРАВООХРАНЕНИЯ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15 февраля 2017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1071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ОСУЩЕСТВЛЕНИЯ ФАРМАКОНАДЗОРА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Росздравнадзора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статьями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64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4161;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5293;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6409</w:t>
      </w:r>
      <w:r>
        <w:rPr>
          <w:rFonts w:ascii="Times New Roman" w:hAnsi="Times New Roman"/>
          <w:sz w:val="24"/>
          <w:szCs w:val="24"/>
        </w:rPr>
        <w:t xml:space="preserve">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7351;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7587;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7540;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4359, 4367, 4388;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7245;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23, ст. 3287;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4238, 4283), приказываю: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осуществления фармаконадзора согласно приложению.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исполнением настоящего приказа оставляю за собой.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Руководитель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приказом Федеральной </w:t>
      </w:r>
      <w:r>
        <w:rPr>
          <w:rFonts w:ascii="Times New Roman" w:hAnsi="Times New Roman"/>
          <w:i/>
          <w:iCs/>
          <w:sz w:val="24"/>
          <w:szCs w:val="24"/>
        </w:rPr>
        <w:t>службы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15.02.2017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1071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ОСУЩЕСТВЛЕНИЯ ФАРМАКОНАДЗОРА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Росздравнадзора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</w:t>
      </w:r>
      <w:r>
        <w:rPr>
          <w:rFonts w:ascii="Times New Roman" w:hAnsi="Times New Roman"/>
          <w:sz w:val="24"/>
          <w:szCs w:val="24"/>
        </w:rPr>
        <w:t>ок устанавливает требования к осуществлению фармаконадзора.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Фармаконадзор - вид деятельности по мониторингу эффективности и безопасности </w:t>
      </w:r>
      <w:r>
        <w:rPr>
          <w:rFonts w:ascii="Times New Roman" w:hAnsi="Times New Roman"/>
          <w:sz w:val="24"/>
          <w:szCs w:val="24"/>
        </w:rPr>
        <w:lastRenderedPageBreak/>
        <w:t>лекарственных препаратов, направленный на выявление, оценку и предотвращение нежелательных последствий применения ле</w:t>
      </w:r>
      <w:r>
        <w:rPr>
          <w:rFonts w:ascii="Times New Roman" w:hAnsi="Times New Roman"/>
          <w:sz w:val="24"/>
          <w:szCs w:val="24"/>
        </w:rPr>
        <w:t>карственных препаратов &lt;1&gt;.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 52.1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(Собрание за</w:t>
      </w:r>
      <w:r>
        <w:rPr>
          <w:rFonts w:ascii="Times New Roman" w:hAnsi="Times New Roman"/>
          <w:sz w:val="24"/>
          <w:szCs w:val="24"/>
        </w:rPr>
        <w:t xml:space="preserve">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1815;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4161;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5293;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6409;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7351;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7587;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1098;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754</w:t>
      </w:r>
      <w:r>
        <w:rPr>
          <w:rFonts w:ascii="Times New Roman" w:hAnsi="Times New Roman"/>
          <w:sz w:val="24"/>
          <w:szCs w:val="24"/>
        </w:rPr>
        <w:t xml:space="preserve">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4359, 4367, 4388;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7245;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3287;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4238, 4283).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Фармаконадзор осуществляется Федеральной службой по надзору в сфере здравоохранения (далее - Росздравнадзор) п</w:t>
      </w:r>
      <w:r>
        <w:rPr>
          <w:rFonts w:ascii="Times New Roman" w:hAnsi="Times New Roman"/>
          <w:sz w:val="24"/>
          <w:szCs w:val="24"/>
        </w:rPr>
        <w:t>утем анализа представляемой субъектами обращения лекарственных средств информации о побочных действиях лекарственных средств, нежелательных реакциях, серьезных нежелательных реакциях, непредвиденных нежелательных реакциях при применении лекарственных препа</w:t>
      </w:r>
      <w:r>
        <w:rPr>
          <w:rFonts w:ascii="Times New Roman" w:hAnsi="Times New Roman"/>
          <w:sz w:val="24"/>
          <w:szCs w:val="24"/>
        </w:rPr>
        <w:t>ратов, об индивидуальной непереносимости, отсутствии эффективности лекарственных препаратов (далее - нежелательных реакций), а также об иных фактах и обстоятельствах, представляющих угрозу жизни или здоровью человека при применении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(далее - иной информации по безопасности и эффективности), выявленных на всех этапах обращения лекарственных препаратов в Российской Федерации и других государствах в целях выявления возможных негативных последствий их применения, индивидуальной неперенос</w:t>
      </w:r>
      <w:r>
        <w:rPr>
          <w:rFonts w:ascii="Times New Roman" w:hAnsi="Times New Roman"/>
          <w:sz w:val="24"/>
          <w:szCs w:val="24"/>
        </w:rPr>
        <w:t>имости, предупреждения медицинских работников, пациентов и их защиты от применения таких лекарственных препаратов.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Фармаконадзор осуществляется с соблюдением законодательства Российской Федерации в области защиты персональных данных.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Должностными лиц</w:t>
      </w:r>
      <w:r>
        <w:rPr>
          <w:rFonts w:ascii="Times New Roman" w:hAnsi="Times New Roman"/>
          <w:sz w:val="24"/>
          <w:szCs w:val="24"/>
        </w:rPr>
        <w:t>ами, уполномоченными осуществлять фармаконадзор, являются: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руководитель (заместители руководителя) Росздравнадзора;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руководители структурных подразделений Росздравнадзора, их заместители, должностными регламентами которых предусмотрены полномочия по </w:t>
      </w:r>
      <w:r>
        <w:rPr>
          <w:rFonts w:ascii="Times New Roman" w:hAnsi="Times New Roman"/>
          <w:sz w:val="24"/>
          <w:szCs w:val="24"/>
        </w:rPr>
        <w:t>осуществлению фармаконадзора;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государственные гражданские служащие Росздравнадзора, должностными регламентами которых предусмотрены полномочия по осуществлению фармаконадзора.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Фармаконадзор осуществляется Росздравнадзором на основании сведений, </w:t>
      </w:r>
      <w:r>
        <w:rPr>
          <w:rFonts w:ascii="Times New Roman" w:hAnsi="Times New Roman"/>
          <w:sz w:val="24"/>
          <w:szCs w:val="24"/>
        </w:rPr>
        <w:t>полученных в виде: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сообщений субъектов обращения лекарственных средств (далее - сообщений);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периодических отчетов по безопасности лекарственных препаратов (далее - ПОБ), направляемых в Росздравнадзор держателями или владельцами регистрационных удосто</w:t>
      </w:r>
      <w:r>
        <w:rPr>
          <w:rFonts w:ascii="Times New Roman" w:hAnsi="Times New Roman"/>
          <w:sz w:val="24"/>
          <w:szCs w:val="24"/>
        </w:rPr>
        <w:t>верений лекарственных препаратов или уполномоченными ими иными юридическими лицами (далее - держателями регистрационных удостоверений);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периодических отчетов по безопасности разрабатываемого (исследуемого) лекарственного препарата (далее - РООБ), направ</w:t>
      </w:r>
      <w:r>
        <w:rPr>
          <w:rFonts w:ascii="Times New Roman" w:hAnsi="Times New Roman"/>
          <w:sz w:val="24"/>
          <w:szCs w:val="24"/>
        </w:rPr>
        <w:t xml:space="preserve">ляемых в Росздравнадзор юридическими лицами, на имя которых выданы разрешения на проведение клинических исследований в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Федерации, либо другими уполномоченными юридическими лицами (далее - юридические лицами, на имя которых выданы разрешения на п</w:t>
      </w:r>
      <w:r>
        <w:rPr>
          <w:rFonts w:ascii="Times New Roman" w:hAnsi="Times New Roman"/>
          <w:sz w:val="24"/>
          <w:szCs w:val="24"/>
        </w:rPr>
        <w:t>роведение клинических исследований);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информации, полученной в ходе осуществления государственного контроля (надзора) в сфере обращения лекарственных средств.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целях оценки информации научного и клинического характера, содержащейся в документах и дан</w:t>
      </w:r>
      <w:r>
        <w:rPr>
          <w:rFonts w:ascii="Times New Roman" w:hAnsi="Times New Roman"/>
          <w:sz w:val="24"/>
          <w:szCs w:val="24"/>
        </w:rPr>
        <w:t>ных, перечисленных в пункте 6 настоящего Порядка, Росздравнадзор привлекает Федеральное государственное бюджетное учреждение, находящееся в ведении Росздравнадзора (далее - экспертная организация).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Оценка информации научного и клинического характера, со</w:t>
      </w:r>
      <w:r>
        <w:rPr>
          <w:rFonts w:ascii="Times New Roman" w:hAnsi="Times New Roman"/>
          <w:sz w:val="24"/>
          <w:szCs w:val="24"/>
        </w:rPr>
        <w:t>держащейся в документах и данных, перечисленных в пункте 6 настоящего Порядка, основывается на принципах законности, соблюдения прав и свобод человека и гражданина, прав юридического лица, независимости эксперта, объективности, всесторонности и полноты исс</w:t>
      </w:r>
      <w:r>
        <w:rPr>
          <w:rFonts w:ascii="Times New Roman" w:hAnsi="Times New Roman"/>
          <w:sz w:val="24"/>
          <w:szCs w:val="24"/>
        </w:rPr>
        <w:t>ледований, проводимых с использованием современных достижений науки и техники, ответственности экспертной организации по проведению экспертной оценки и качества экспертной оценки.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Сообщения субъектов обращения лекарственных средств, за исключением юриди</w:t>
      </w:r>
      <w:r>
        <w:rPr>
          <w:rFonts w:ascii="Times New Roman" w:hAnsi="Times New Roman"/>
          <w:sz w:val="24"/>
          <w:szCs w:val="24"/>
        </w:rPr>
        <w:t>ческих лиц, на имя которых выданы разрешения на проведение клинических исследований в Российской Федерации, направляются в Росздравнадзор по рекомендуемому образцу "Извещения о нежелательной реакции или отсутствии терапевтического эффекта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епарата", приведенному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Сообщения юридических лиц, на имя которых выданы разрешения на проведение клинических исследований, направляются в Росздравнадзор по рекомендуемому образцу "Сообщения о серьезной непредвиден</w:t>
      </w:r>
      <w:r>
        <w:rPr>
          <w:rFonts w:ascii="Times New Roman" w:hAnsi="Times New Roman"/>
          <w:sz w:val="24"/>
          <w:szCs w:val="24"/>
        </w:rPr>
        <w:t xml:space="preserve">ной нежелательной реакции на лекарственный препарат, изучающийся в клиническом исследовании", приведенному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случае, если характер сведений, указанных в подпункте 1 пункта 6 настоящего Порядка, не соответствует со</w:t>
      </w:r>
      <w:r>
        <w:rPr>
          <w:rFonts w:ascii="Times New Roman" w:hAnsi="Times New Roman"/>
          <w:sz w:val="24"/>
          <w:szCs w:val="24"/>
        </w:rPr>
        <w:t xml:space="preserve">держанию полей форм, приведенным в приложениях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Порядку, или в случае, если указанные сведения были выявлены за пределами Российской Федерации, допускается их представление в Росздравнадзор в произвольной форме.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Сообщения направля</w:t>
      </w:r>
      <w:r>
        <w:rPr>
          <w:rFonts w:ascii="Times New Roman" w:hAnsi="Times New Roman"/>
          <w:sz w:val="24"/>
          <w:szCs w:val="24"/>
        </w:rPr>
        <w:t xml:space="preserve">ются в Росздравнадзор через Автоматизированную информационную систему Росздравнадзора (далее - АИС Росздравнадзора), либо по электронной почте </w:t>
      </w:r>
      <w:r>
        <w:rPr>
          <w:rFonts w:ascii="Times New Roman" w:hAnsi="Times New Roman"/>
          <w:sz w:val="24"/>
          <w:szCs w:val="24"/>
        </w:rPr>
        <w:t>pharm</w:t>
      </w:r>
      <w:r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</w:rPr>
        <w:t>roszdravnadzor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 xml:space="preserve">. ПОБ, РООБ представляются в Росздравнадзор через АИС Росздравнадзора либо на электронных </w:t>
      </w:r>
      <w:r>
        <w:rPr>
          <w:rFonts w:ascii="Times New Roman" w:hAnsi="Times New Roman"/>
          <w:sz w:val="24"/>
          <w:szCs w:val="24"/>
        </w:rPr>
        <w:t>носителях.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Держатели регистрационных удостоверений в срок не более 15 календарных дней сообщают в Росздравнадзор сведения о нежелательных реакциях, указанных Правилах надлежащей практики фармаконадзора, утвержденных решением Совета Евразийской Экономич</w:t>
      </w:r>
      <w:r>
        <w:rPr>
          <w:rFonts w:ascii="Times New Roman" w:hAnsi="Times New Roman"/>
          <w:sz w:val="24"/>
          <w:szCs w:val="24"/>
        </w:rPr>
        <w:t xml:space="preserve">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 &lt;2&gt; (п. п.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7.1.7.1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7.1.7.3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</w:t>
      </w:r>
      <w:r>
        <w:rPr>
          <w:rFonts w:ascii="Times New Roman" w:hAnsi="Times New Roman"/>
          <w:sz w:val="24"/>
          <w:szCs w:val="24"/>
        </w:rPr>
        <w:t>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Правила</w:t>
        </w:r>
      </w:hyperlink>
      <w:r>
        <w:rPr>
          <w:rFonts w:ascii="Times New Roman" w:hAnsi="Times New Roman"/>
          <w:sz w:val="24"/>
          <w:szCs w:val="24"/>
        </w:rPr>
        <w:t xml:space="preserve"> надлежащей практики фармаконадзора. Утверждены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 (Официальный сайт Евразийского эконо</w:t>
      </w:r>
      <w:r>
        <w:rPr>
          <w:rFonts w:ascii="Times New Roman" w:hAnsi="Times New Roman"/>
          <w:sz w:val="24"/>
          <w:szCs w:val="24"/>
        </w:rPr>
        <w:t xml:space="preserve">мического союза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docs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eaeunion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docs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/01411948/</w:t>
      </w:r>
      <w:r>
        <w:rPr>
          <w:rFonts w:ascii="Times New Roman" w:hAnsi="Times New Roman"/>
          <w:sz w:val="24"/>
          <w:szCs w:val="24"/>
        </w:rPr>
        <w:t>cncd</w:t>
      </w:r>
      <w:r>
        <w:rPr>
          <w:rFonts w:ascii="Times New Roman" w:hAnsi="Times New Roman"/>
          <w:sz w:val="24"/>
          <w:szCs w:val="24"/>
        </w:rPr>
        <w:t>_21112016_87, 21 ноября 2016 г.).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 Срок для сообщения о нежелательных реакциях, указанных в Правилах надлежащей практики фармаконадзора ЕАЭС (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п. 7.1.7.1</w:t>
        </w:r>
      </w:hyperlink>
      <w:r>
        <w:rPr>
          <w:rFonts w:ascii="Times New Roman" w:hAnsi="Times New Roman"/>
          <w:sz w:val="24"/>
          <w:szCs w:val="24"/>
        </w:rPr>
        <w:t>), исчисляется в соответствии с Правилами надлежащей практики фармаконадзора ЕАЭС (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п. 7.1.2.1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Срок сообщения иной ин</w:t>
      </w:r>
      <w:r>
        <w:rPr>
          <w:rFonts w:ascii="Times New Roman" w:hAnsi="Times New Roman"/>
          <w:sz w:val="24"/>
          <w:szCs w:val="24"/>
        </w:rPr>
        <w:t>формации по безопасности и эффективности, указанной в Правилах надлежащей практики фармаконадзора ЕАЭС (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п. 7.1.7.3</w:t>
        </w:r>
      </w:hyperlink>
      <w:r>
        <w:rPr>
          <w:rFonts w:ascii="Times New Roman" w:hAnsi="Times New Roman"/>
          <w:sz w:val="24"/>
          <w:szCs w:val="24"/>
        </w:rPr>
        <w:t>), исчисляется с даты, когда держателем регистрационного у</w:t>
      </w:r>
      <w:r>
        <w:rPr>
          <w:rFonts w:ascii="Times New Roman" w:hAnsi="Times New Roman"/>
          <w:sz w:val="24"/>
          <w:szCs w:val="24"/>
        </w:rPr>
        <w:t>достоверения лекарственного препарата были установлены соответствующие факты и обстоятельства.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Держатели регистрационных удостоверений лекарственных препаратов представляют в Росздравнадзор ПОБ по форме, приведенной в Правилах надлежащей практики фарма</w:t>
      </w:r>
      <w:r>
        <w:rPr>
          <w:rFonts w:ascii="Times New Roman" w:hAnsi="Times New Roman"/>
          <w:sz w:val="24"/>
          <w:szCs w:val="24"/>
        </w:rPr>
        <w:t xml:space="preserve">конадзора ЕАЭС (п. п.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8.4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8.5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Порядок исчисления даты окончания сбора держателем</w:t>
      </w:r>
      <w:r>
        <w:rPr>
          <w:rFonts w:ascii="Times New Roman" w:hAnsi="Times New Roman"/>
          <w:sz w:val="24"/>
          <w:szCs w:val="24"/>
        </w:rPr>
        <w:t xml:space="preserve"> регистрационного удостоверения сведений о нежелательных реакциях, иной информации по безопасности для очередного ПОБ и периодичность представления ПОБ для лекарственных препаратов различных международных непатентованных наименований или группировочных наи</w:t>
      </w:r>
      <w:r>
        <w:rPr>
          <w:rFonts w:ascii="Times New Roman" w:hAnsi="Times New Roman"/>
          <w:sz w:val="24"/>
          <w:szCs w:val="24"/>
        </w:rPr>
        <w:t>менований утверждаются Росздравнадзором.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Для лекарственных препаратов, сроки и периодичность представления ПОБ на которые не утверждены Росздравнадзором, периодичность и сроки представления ПОБ отсчитываются от даты первой государственной регистрации л</w:t>
      </w:r>
      <w:r>
        <w:rPr>
          <w:rFonts w:ascii="Times New Roman" w:hAnsi="Times New Roman"/>
          <w:sz w:val="24"/>
          <w:szCs w:val="24"/>
        </w:rPr>
        <w:t>екарственного препарата в мире и составляют: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каждые 6 месяцев от даты первой государственной регистрации в мире на протяжении первых 2 лет;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ежегодно на протяжении последующих 2 лет;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далее - каждые 3 года.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ПОБ представляются в Росздравнадзор в </w:t>
      </w:r>
      <w:r>
        <w:rPr>
          <w:rFonts w:ascii="Times New Roman" w:hAnsi="Times New Roman"/>
          <w:sz w:val="24"/>
          <w:szCs w:val="24"/>
        </w:rPr>
        <w:t>срок, указанный в Правилах надлежащей практики фармаконадзора ЕАЭС (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п. 8.8.1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выявлении нежелательных реакций и иной информации по безопасности и эффективности, н</w:t>
      </w:r>
      <w:r>
        <w:rPr>
          <w:rFonts w:ascii="Times New Roman" w:hAnsi="Times New Roman"/>
          <w:sz w:val="24"/>
          <w:szCs w:val="24"/>
        </w:rPr>
        <w:t>е содержащихся в инструкции по медицинскому применению, изменяющих отношение ожидаемой пользы к возможному риску применения лекарственного препарата, Росздравнадзор вправе запросить у держателя регистрационного удостоверения лекарственного препарата внеоче</w:t>
      </w:r>
      <w:r>
        <w:rPr>
          <w:rFonts w:ascii="Times New Roman" w:hAnsi="Times New Roman"/>
          <w:sz w:val="24"/>
          <w:szCs w:val="24"/>
        </w:rPr>
        <w:t>редной ПОБ.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Внеочередной ПОБ представляется в Росздравнадзор в срок, указанный в Правилах надлежащей практики фармаконадзора ЕАЭС (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п. 8.8.2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Юридические лица, на и</w:t>
      </w:r>
      <w:r>
        <w:rPr>
          <w:rFonts w:ascii="Times New Roman" w:hAnsi="Times New Roman"/>
          <w:sz w:val="24"/>
          <w:szCs w:val="24"/>
        </w:rPr>
        <w:t>мя которых выданы разрешения на проведение клинических исследований, в срок не более 7 календарных дней сообщают в Росздравнадзор о летальных или угрожающих жизни серьезных непредвиденных нежелательных реакциях на исследуемый лекарственный препарат, выявле</w:t>
      </w:r>
      <w:r>
        <w:rPr>
          <w:rFonts w:ascii="Times New Roman" w:hAnsi="Times New Roman"/>
          <w:sz w:val="24"/>
          <w:szCs w:val="24"/>
        </w:rPr>
        <w:t>нных в ходе клинических исследований, разрешенных к проведению в Российской Федерации, если иное не предусмотрено одобренным протоколом клинического исследования.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Юридические лица, на имя которых выданы разрешения на проведение клинических исследований</w:t>
      </w:r>
      <w:r>
        <w:rPr>
          <w:rFonts w:ascii="Times New Roman" w:hAnsi="Times New Roman"/>
          <w:sz w:val="24"/>
          <w:szCs w:val="24"/>
        </w:rPr>
        <w:t>, в срок не более 15 календарных дней сообщают в Росздравнадзор о серьезных непредвиденных нежелательных реакциях, за исключением реакций, указанных в пункте 22 настоящего Порядка.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Юридические лица, на имя которых выданы разрешения на проведение клинич</w:t>
      </w:r>
      <w:r>
        <w:rPr>
          <w:rFonts w:ascii="Times New Roman" w:hAnsi="Times New Roman"/>
          <w:sz w:val="24"/>
          <w:szCs w:val="24"/>
        </w:rPr>
        <w:t xml:space="preserve">еских </w:t>
      </w:r>
      <w:r>
        <w:rPr>
          <w:rFonts w:ascii="Times New Roman" w:hAnsi="Times New Roman"/>
          <w:sz w:val="24"/>
          <w:szCs w:val="24"/>
        </w:rPr>
        <w:lastRenderedPageBreak/>
        <w:t>исследований, в срок не более 15 календарных дней сообщают в Росздравнадзор информацию по безопасности исследуемого лекарственного препарата, указанную в Правилах надлежащей клинической практики Евразийского экономического союза, утвержденных решение</w:t>
      </w:r>
      <w:r>
        <w:rPr>
          <w:rFonts w:ascii="Times New Roman" w:hAnsi="Times New Roman"/>
          <w:sz w:val="24"/>
          <w:szCs w:val="24"/>
        </w:rPr>
        <w:t xml:space="preserve">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 (далее - Правила надлежащей клинической практики ЕАЭС) &lt;3&gt; (п. 1.5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Правила надлежащей клинической практики Евразийского экономического союза. Ут</w:t>
      </w:r>
      <w:r>
        <w:rPr>
          <w:rFonts w:ascii="Times New Roman" w:hAnsi="Times New Roman"/>
          <w:sz w:val="24"/>
          <w:szCs w:val="24"/>
        </w:rPr>
        <w:t xml:space="preserve">верждены решением Совета Евразийской Экономической Комиссии от 3 ноября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 (Официальный сайт Евразийского экономического союза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docs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eaeunion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org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docs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/01411924/</w:t>
      </w:r>
      <w:r>
        <w:rPr>
          <w:rFonts w:ascii="Times New Roman" w:hAnsi="Times New Roman"/>
          <w:sz w:val="24"/>
          <w:szCs w:val="24"/>
        </w:rPr>
        <w:t>cncd</w:t>
      </w:r>
      <w:r>
        <w:rPr>
          <w:rFonts w:ascii="Times New Roman" w:hAnsi="Times New Roman"/>
          <w:sz w:val="24"/>
          <w:szCs w:val="24"/>
        </w:rPr>
        <w:t>_21112016_79, 21 ноября 2016 г.).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Сроки для сообщения о нежелате</w:t>
      </w:r>
      <w:r>
        <w:rPr>
          <w:rFonts w:ascii="Times New Roman" w:hAnsi="Times New Roman"/>
          <w:sz w:val="24"/>
          <w:szCs w:val="24"/>
        </w:rPr>
        <w:t xml:space="preserve">льных реакциях, указанных в пунктах 22 и 23 настоящего Порядка, исчисляются в соответствии с Правилами надлежащей клинической практики ЕАЭС (п. 1.3.1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11).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Срок сообщения иной информации по безопасности исследуемого лекарственного препарата</w:t>
      </w:r>
      <w:r>
        <w:rPr>
          <w:rFonts w:ascii="Times New Roman" w:hAnsi="Times New Roman"/>
          <w:sz w:val="24"/>
          <w:szCs w:val="24"/>
        </w:rPr>
        <w:t>, указанный в пункте 24 настоящего Порядка, исчисляется с даты установления юридическим лицом, на имя которого выдано разрешение на проведение клинических исследований, соответствующих фактов и обстоятельств.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Юридическое лицо, на имя которого выдано ра</w:t>
      </w:r>
      <w:r>
        <w:rPr>
          <w:rFonts w:ascii="Times New Roman" w:hAnsi="Times New Roman"/>
          <w:sz w:val="24"/>
          <w:szCs w:val="24"/>
        </w:rPr>
        <w:t>зрешение на проведение клинических исследований, раскрывает рандомизационный код в сообщениях о нежелательных реакциях, указанных в пунктах 22 и 23 настоящего порядка, если иное не предусмотрено протоколом клинического исследования.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подлежат сообщению в</w:t>
      </w:r>
      <w:r>
        <w:rPr>
          <w:rFonts w:ascii="Times New Roman" w:hAnsi="Times New Roman"/>
          <w:sz w:val="24"/>
          <w:szCs w:val="24"/>
        </w:rPr>
        <w:t xml:space="preserve"> порядке, указанном в пунктах 22 и 23 настоящего Порядка, нежелательные реакции, произошедшие у участников клинических исследований, получавших плацебо.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Сообщения о выявленных на территории Российской Федерации нежелательных реакциях на лекарственные п</w:t>
      </w:r>
      <w:r>
        <w:rPr>
          <w:rFonts w:ascii="Times New Roman" w:hAnsi="Times New Roman"/>
          <w:sz w:val="24"/>
          <w:szCs w:val="24"/>
        </w:rPr>
        <w:t>репараты сравнения, зарегистрированные в Российской Федерации, подлежат сообщению в порядке, указанном в пункте 12 настоящего Порядка.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Юридические лица, на имя которых выдано разрешение на проведение клинических исследований, представляют в Росздравнад</w:t>
      </w:r>
      <w:r>
        <w:rPr>
          <w:rFonts w:ascii="Times New Roman" w:hAnsi="Times New Roman"/>
          <w:sz w:val="24"/>
          <w:szCs w:val="24"/>
        </w:rPr>
        <w:t xml:space="preserve">зор РООБ в соответствии с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Правил надлежащей клинической практики ЕАЭС. К РООБ прилагается копия брошюры исследователя клинического исследования, разрешенного к проведению в Российской Федерации, действующая на момент представления</w:t>
      </w:r>
      <w:r>
        <w:rPr>
          <w:rFonts w:ascii="Times New Roman" w:hAnsi="Times New Roman"/>
          <w:sz w:val="24"/>
          <w:szCs w:val="24"/>
        </w:rPr>
        <w:t xml:space="preserve"> РООБ.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РООБ представляются в Росздравнадзор ежегодно в срок, отсчитываемый от даты начала первого клинического исследования лекарственного препарата в мире или от даты первой государственной регистрации лекарственного препарата в мире.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РООБ по лека</w:t>
      </w:r>
      <w:r>
        <w:rPr>
          <w:rFonts w:ascii="Times New Roman" w:hAnsi="Times New Roman"/>
          <w:sz w:val="24"/>
          <w:szCs w:val="24"/>
        </w:rPr>
        <w:t>рственным препаратам, исследуемым на территории Российской Федерации, представляются в Росздравнадзор в срок, не превышающий 60 календарных дней от даты окончания сбора держателем регистрационного удостоверения сведений о нежелательных реакциях для данного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При выявлении сведений, изменяющих отношение ожидаемой пользы к возможному риску применения лекарственного препарата в клиническом исследовании, Росздравнадзор </w:t>
      </w:r>
      <w:r>
        <w:rPr>
          <w:rFonts w:ascii="Times New Roman" w:hAnsi="Times New Roman"/>
          <w:sz w:val="24"/>
          <w:szCs w:val="24"/>
        </w:rPr>
        <w:lastRenderedPageBreak/>
        <w:t>вправе запросить у юридического лица, на имя которого выдано разр</w:t>
      </w:r>
      <w:r>
        <w:rPr>
          <w:rFonts w:ascii="Times New Roman" w:hAnsi="Times New Roman"/>
          <w:sz w:val="24"/>
          <w:szCs w:val="24"/>
        </w:rPr>
        <w:t>ешение на проведение клинических исследований лекарственного средства, внеочередной РООБ.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Внеочередной РООБ представляется в Росздравнадзор в срок, не превышающий 60 календарных дней от даты получения юридическим лицом, на имя которого выдано разрешени</w:t>
      </w:r>
      <w:r>
        <w:rPr>
          <w:rFonts w:ascii="Times New Roman" w:hAnsi="Times New Roman"/>
          <w:sz w:val="24"/>
          <w:szCs w:val="24"/>
        </w:rPr>
        <w:t>е на проведение клинических исследований запроса Росздравнадзора, указанного в пункте 31 настоящего Порядка.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Осуществление работы субъектов обращения лекарственных средств (медицинских организаций) по выявлению нежелательных реакций и иной информации п</w:t>
      </w:r>
      <w:r>
        <w:rPr>
          <w:rFonts w:ascii="Times New Roman" w:hAnsi="Times New Roman"/>
          <w:sz w:val="24"/>
          <w:szCs w:val="24"/>
        </w:rPr>
        <w:t>о безопасности и эффективности при применении лекарственных препаратов регламентируется внутренними приказами медицинской организации.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Субъекты обращения лекарственных средств (медицинские организации) обязаны в срок не более 3 рабочих дней сообщать в </w:t>
      </w:r>
      <w:r>
        <w:rPr>
          <w:rFonts w:ascii="Times New Roman" w:hAnsi="Times New Roman"/>
          <w:sz w:val="24"/>
          <w:szCs w:val="24"/>
        </w:rPr>
        <w:t>Росздравнадзор о серьезных нежелательных реакциях с летальным исходом или угрозой жизни, за исключением нежелательных реакций, выявленных в ходе проведения клинических исследований, проводимых в данной медицинской организации.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Субъекты обращения лекарс</w:t>
      </w:r>
      <w:r>
        <w:rPr>
          <w:rFonts w:ascii="Times New Roman" w:hAnsi="Times New Roman"/>
          <w:sz w:val="24"/>
          <w:szCs w:val="24"/>
        </w:rPr>
        <w:t>твенных средств (медицинские организации) в срок, не превышающий 15 календарных дней, сообщают в Росздравнадзор о следующих нежелательных реакциях и иной информации по безопасности и эффективности, выявленной данной медицинской организацией, за исключением</w:t>
      </w:r>
      <w:r>
        <w:rPr>
          <w:rFonts w:ascii="Times New Roman" w:hAnsi="Times New Roman"/>
          <w:sz w:val="24"/>
          <w:szCs w:val="24"/>
        </w:rPr>
        <w:t xml:space="preserve"> нежелательных реакций, выявленных в ходе проведения клинических исследований: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серьезных нежелательных реакциях на лекарственные препараты, за исключением серьезных нежелательных реакций, указанных в пункте 35 настоящего Порядка;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случаях передачи инф</w:t>
      </w:r>
      <w:r>
        <w:rPr>
          <w:rFonts w:ascii="Times New Roman" w:hAnsi="Times New Roman"/>
          <w:sz w:val="24"/>
          <w:szCs w:val="24"/>
        </w:rPr>
        <w:t>екционного заболевания через лекарственный препарат;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случаях отсутствия заявленной эффективности лекарственных препаратов, применяемых при заболеваниях, представляющих угрозу для жизни человека, вакцин для профилактики инфекционных заболеваний, лекарств</w:t>
      </w:r>
      <w:r>
        <w:rPr>
          <w:rFonts w:ascii="Times New Roman" w:hAnsi="Times New Roman"/>
          <w:sz w:val="24"/>
          <w:szCs w:val="24"/>
        </w:rPr>
        <w:t>енных препаратов для предотвращения беременности, когда отсутствие клинического эффекта не вызвано индивидуальными особенностями пациента и (или) спецификой его заболевания;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нежелательных реакциях, возникших вследствие злоупотребления препаратом, в случ</w:t>
      </w:r>
      <w:r>
        <w:rPr>
          <w:rFonts w:ascii="Times New Roman" w:hAnsi="Times New Roman"/>
          <w:sz w:val="24"/>
          <w:szCs w:val="24"/>
        </w:rPr>
        <w:t>аях умышленной передозировки лекарственного препарата, при воздействии, связанном с профессиональной деятельностью, или в случаях использования лекарственного препарата в целях умышленного причинения вреда жизни и здоровью человека.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Случаи индивидуальн</w:t>
      </w:r>
      <w:r>
        <w:rPr>
          <w:rFonts w:ascii="Times New Roman" w:hAnsi="Times New Roman"/>
          <w:sz w:val="24"/>
          <w:szCs w:val="24"/>
        </w:rPr>
        <w:t xml:space="preserve">ой непереносимости лекарственных средств, явившиеся основанием для выписки лекарственных препаратов по торговому наименованию в рамках программ льготного лекарственного обеспечения, подлежат направлению в Росздравнадзор врачебными комиссиями, в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порядке</w:t>
        </w:r>
      </w:hyperlink>
      <w:r>
        <w:rPr>
          <w:rFonts w:ascii="Times New Roman" w:hAnsi="Times New Roman"/>
          <w:sz w:val="24"/>
          <w:szCs w:val="24"/>
        </w:rPr>
        <w:t xml:space="preserve">, установленном приказом Минздрава России от 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502н "Об утверждении порядка создания и деятельности врачебной комиссии медицинской организации" &lt;4&gt; в срок, не прев</w:t>
      </w:r>
      <w:r>
        <w:rPr>
          <w:rFonts w:ascii="Times New Roman" w:hAnsi="Times New Roman"/>
          <w:sz w:val="24"/>
          <w:szCs w:val="24"/>
        </w:rPr>
        <w:t>ышающий пяти рабочих дней с даты выписки соответствующего лекарственного препарата по торговому наименованию.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Приказ Министерства здравоохранения Российской Федерации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5 мая 2012 г. N 502н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создания и деятельности врачебной комиссии медицинской организации" (Зарегистрирован Минюстом России 9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24516, </w:t>
      </w:r>
      <w:r>
        <w:rPr>
          <w:rFonts w:ascii="Times New Roman" w:hAnsi="Times New Roman"/>
          <w:sz w:val="24"/>
          <w:szCs w:val="24"/>
        </w:rPr>
        <w:lastRenderedPageBreak/>
        <w:t xml:space="preserve">РГ 22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141) в редакции Приказа Мин</w:t>
      </w:r>
      <w:r>
        <w:rPr>
          <w:rFonts w:ascii="Times New Roman" w:hAnsi="Times New Roman"/>
          <w:sz w:val="24"/>
          <w:szCs w:val="24"/>
        </w:rPr>
        <w:t xml:space="preserve">истерства здравоохранения Российской Федерации от 2 декабря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886н "О внесении изменений в Порядок создания и деятельности врачебной комиссии медицинской организации, утвержденный приказом Министерства здравоохранения и социального развития Российс</w:t>
      </w:r>
      <w:r>
        <w:rPr>
          <w:rFonts w:ascii="Times New Roman" w:hAnsi="Times New Roman"/>
          <w:sz w:val="24"/>
          <w:szCs w:val="24"/>
        </w:rPr>
        <w:t xml:space="preserve">кой Федерации от 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502н, и в Порядок назначения и выписывания лекарственных препаратов, утвержденный приказом Министерства здравоохранения Российской Федерации от 20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1175н" (Зарегистрирован Минюстом России 23.12.2013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30714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Срок для сообщения о нежелательных реакциях и иной информации по безопасности и эффективности, указанной в пунктах 35 - 36 настоящего Порядка, исчисляется с даты, когда ответственному по фармаконадзору должностному лицу субъекта обращения лекарстве</w:t>
      </w:r>
      <w:r>
        <w:rPr>
          <w:rFonts w:ascii="Times New Roman" w:hAnsi="Times New Roman"/>
          <w:sz w:val="24"/>
          <w:szCs w:val="24"/>
        </w:rPr>
        <w:t>нных средств (медицинской организации) стали известны следующие сведения о нежелательной реакции или особой ситуации: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информация, позволяющая идентифицировать юридическое или физическое лицо, выявившее нежелательную реакцию или особую ситуацию;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инфор</w:t>
      </w:r>
      <w:r>
        <w:rPr>
          <w:rFonts w:ascii="Times New Roman" w:hAnsi="Times New Roman"/>
          <w:sz w:val="24"/>
          <w:szCs w:val="24"/>
        </w:rPr>
        <w:t>мация, позволяющая идентифицировать физическое лицо, у которого наблюдалась нежелательная реакция;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информация, позволяющая идентифицировать лекарственный препарат;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информация, позволяющая идентифицировать симптомы нежелательной реакции.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Копии соо</w:t>
      </w:r>
      <w:r>
        <w:rPr>
          <w:rFonts w:ascii="Times New Roman" w:hAnsi="Times New Roman"/>
          <w:sz w:val="24"/>
          <w:szCs w:val="24"/>
        </w:rPr>
        <w:t>бщений, направленных в Росздравнадзор, в соответствии с пунктами 35 - 36 настоящего Порядка, сохраняются в медицинской документации пациентов.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Сообщения, ПОБ, РООБ, поступающие в электронном виде в АИС Росздравнадзора, регистрируются автоматически.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</w:t>
      </w:r>
      <w:r>
        <w:rPr>
          <w:rFonts w:ascii="Times New Roman" w:hAnsi="Times New Roman"/>
          <w:sz w:val="24"/>
          <w:szCs w:val="24"/>
        </w:rPr>
        <w:t xml:space="preserve"> Сообщения, поступающие в Росздравнадзор по электронной почте, а также ПОБ, РООБ, поступающие в Росздравнадзор на электронных носителях, регистрируются и вносятся в АИС Росздравнадзора в течение 5 рабочих дней с даты их поступления.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Оценка информации н</w:t>
      </w:r>
      <w:r>
        <w:rPr>
          <w:rFonts w:ascii="Times New Roman" w:hAnsi="Times New Roman"/>
          <w:sz w:val="24"/>
          <w:szCs w:val="24"/>
        </w:rPr>
        <w:t>аучного и клинического характера, содержащейся в сообщениях, поступающих в АИС Росздравнадзора, осуществляется экспертной организацией в течение 5 рабочих дней с даты поступления.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информации научного и клинического характера, содержащейся в ПОБ и РО</w:t>
      </w:r>
      <w:r>
        <w:rPr>
          <w:rFonts w:ascii="Times New Roman" w:hAnsi="Times New Roman"/>
          <w:sz w:val="24"/>
          <w:szCs w:val="24"/>
        </w:rPr>
        <w:t>ОБ, проводится экспертной организацией в течение 60 рабочих дней с даты их поступления в экспертную организацию.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Результаты оценки информации научного и клинического характера, содержащейся в сообщениях, направляются в Росздравнадзор экспертной организ</w:t>
      </w:r>
      <w:r>
        <w:rPr>
          <w:rFonts w:ascii="Times New Roman" w:hAnsi="Times New Roman"/>
          <w:sz w:val="24"/>
          <w:szCs w:val="24"/>
        </w:rPr>
        <w:t>ацией в составе еженедельных отчетов.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информации научного и клинического характера, содержащейся в ПОБ и РООБ, направляются в Росздравнадзор в составе ежемесячных отчетов экспертной организации.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При выявлении экспертной организацией несоотве</w:t>
      </w:r>
      <w:r>
        <w:rPr>
          <w:rFonts w:ascii="Times New Roman" w:hAnsi="Times New Roman"/>
          <w:sz w:val="24"/>
          <w:szCs w:val="24"/>
        </w:rPr>
        <w:t xml:space="preserve">тствия представленного ПОБ пунктам ЕАЭС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8.4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8.5</w:t>
        </w:r>
      </w:hyperlink>
      <w:r>
        <w:rPr>
          <w:rFonts w:ascii="Times New Roman" w:hAnsi="Times New Roman"/>
          <w:sz w:val="24"/>
          <w:szCs w:val="24"/>
        </w:rPr>
        <w:t xml:space="preserve"> Правил надлежащей практики фармаконадз</w:t>
      </w:r>
      <w:r>
        <w:rPr>
          <w:rFonts w:ascii="Times New Roman" w:hAnsi="Times New Roman"/>
          <w:sz w:val="24"/>
          <w:szCs w:val="24"/>
        </w:rPr>
        <w:t xml:space="preserve">ора, и РООБ пункту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Правил надлежащей клинической практики ЕАЭС, Росздравнадзор в срок, не превышающий 10 рабочих дней с даты поступления данной информации, направляет держателю регистрационного удостоверения лекарственного препарата или ю</w:t>
      </w:r>
      <w:r>
        <w:rPr>
          <w:rFonts w:ascii="Times New Roman" w:hAnsi="Times New Roman"/>
          <w:sz w:val="24"/>
          <w:szCs w:val="24"/>
        </w:rPr>
        <w:t xml:space="preserve">ридическому </w:t>
      </w:r>
      <w:r>
        <w:rPr>
          <w:rFonts w:ascii="Times New Roman" w:hAnsi="Times New Roman"/>
          <w:sz w:val="24"/>
          <w:szCs w:val="24"/>
        </w:rPr>
        <w:lastRenderedPageBreak/>
        <w:t>лицу, на имя которого выдано разрешение на проведение клинических исследований, запрос о внесении изменений в ПОБ или РООБ.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Держатель регистрационного удостоверения лекарственного препарата или юридическое лицо, на имя которого выдано разре</w:t>
      </w:r>
      <w:r>
        <w:rPr>
          <w:rFonts w:ascii="Times New Roman" w:hAnsi="Times New Roman"/>
          <w:sz w:val="24"/>
          <w:szCs w:val="24"/>
        </w:rPr>
        <w:t xml:space="preserve">шение на проведение клинических исследований, в срок, не превышающий 30 рабочих дней с даты получения запроса Росздравнадзора, указанного в пункте 44 настоящего Порядка, направляет в Росздравнадзор ПОБ в соответствии с пунктами ЕАЭС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8.4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8.5</w:t>
        </w:r>
      </w:hyperlink>
      <w:r>
        <w:rPr>
          <w:rFonts w:ascii="Times New Roman" w:hAnsi="Times New Roman"/>
          <w:sz w:val="24"/>
          <w:szCs w:val="24"/>
        </w:rPr>
        <w:t xml:space="preserve"> Правил надлежащей практики фармаконадзора, и РООБ в соответствии с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 Правил н</w:t>
      </w:r>
      <w:r>
        <w:rPr>
          <w:rFonts w:ascii="Times New Roman" w:hAnsi="Times New Roman"/>
          <w:sz w:val="24"/>
          <w:szCs w:val="24"/>
        </w:rPr>
        <w:t>адлежащей клинической практики ЕАЭС.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При выявлении экспертной организацией в ходе оценки информации научного и клинического характера, содержащихся в сообщениях, ПОБ, РООБ сведений, отсутствующих в инструкции по медицинскому применению или документации</w:t>
      </w:r>
      <w:r>
        <w:rPr>
          <w:rFonts w:ascii="Times New Roman" w:hAnsi="Times New Roman"/>
          <w:sz w:val="24"/>
          <w:szCs w:val="24"/>
        </w:rPr>
        <w:t xml:space="preserve"> клинического исследования, изменяющих отношение ожидаемой пользы к возможному риску применения лекарственного препарата, экспертная организация направляет заключение об этом в Росздравнадзор в срок не позднее 5 рабочих дней с даты выявления соответствующи</w:t>
      </w:r>
      <w:r>
        <w:rPr>
          <w:rFonts w:ascii="Times New Roman" w:hAnsi="Times New Roman"/>
          <w:sz w:val="24"/>
          <w:szCs w:val="24"/>
        </w:rPr>
        <w:t>х сведений.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47. В случае, если согласно заключению экспертной организации, причиной нежелательной реакции или угрозы жизни и здоровью человека могло являться нарушение субъектами обращения лекарственных средств законодательных требований к фармаконадзору, </w:t>
      </w:r>
      <w:r>
        <w:rPr>
          <w:rFonts w:ascii="Times New Roman" w:hAnsi="Times New Roman"/>
          <w:sz w:val="24"/>
          <w:szCs w:val="24"/>
        </w:rPr>
        <w:t xml:space="preserve">либо нарушение правил надлежащей клинической практики, Росздравнадзор принимает решение о проведении проверки соблюдения субъектами обращения лекарственных средств установленных Федеральным законом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12.04.2010 N 61-ФЗ</w:t>
        </w:r>
      </w:hyperlink>
      <w:r>
        <w:rPr>
          <w:rFonts w:ascii="Times New Roman" w:hAnsi="Times New Roman"/>
          <w:sz w:val="24"/>
          <w:szCs w:val="24"/>
        </w:rPr>
        <w:t xml:space="preserve"> "Об обращении лекарственных средств" и принятыми в соответствии с ним иными нормативными правовыми актами Российской Федерации требований к клиническим исследованиям лекарственных препаратов, хранению, перевозк</w:t>
      </w:r>
      <w:r>
        <w:rPr>
          <w:rFonts w:ascii="Times New Roman" w:hAnsi="Times New Roman"/>
          <w:sz w:val="24"/>
          <w:szCs w:val="24"/>
        </w:rPr>
        <w:t xml:space="preserve">е, ввозу в Российскую Федерацию, отпуску, реализации лекарственных средств, применению лекарственных препаратов в порядке, установленном Федеральным законом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</w:t>
        </w:r>
        <w:r>
          <w:rPr>
            <w:rFonts w:ascii="Times New Roman" w:hAnsi="Times New Roman"/>
            <w:sz w:val="24"/>
            <w:szCs w:val="24"/>
            <w:u w:val="single"/>
          </w:rPr>
          <w:t>.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&lt;5&gt;.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Федеральный закон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2008 г. N 294-ФЗ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(Собрание законодательства Российской Федерац</w:t>
      </w:r>
      <w:r>
        <w:rPr>
          <w:rFonts w:ascii="Times New Roman" w:hAnsi="Times New Roman"/>
          <w:sz w:val="24"/>
          <w:szCs w:val="24"/>
        </w:rPr>
        <w:t xml:space="preserve">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6249;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2140;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3601;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5711;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6441;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1988;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2142;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4160, ст. 4193, ст. 4196,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4298;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20;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2310;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3263;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3880;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0, ст. 4590;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6728;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2281;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4320, ст. 4322).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В случае, если согласно заключению экспертной организации, причиной нежелательной реакции могло являться несоответствие лекарственного препарата требованиям </w:t>
      </w:r>
      <w:r>
        <w:rPr>
          <w:rFonts w:ascii="Times New Roman" w:hAnsi="Times New Roman"/>
          <w:sz w:val="24"/>
          <w:szCs w:val="24"/>
        </w:rPr>
        <w:t>качества, Росздравнадзор принимает решение о проведении выборочного контроля качества соответствующего лекарственного препарата в порядке, установленном законодательством Российской Федерации. &lt;6&gt;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Приказ Федеральной службы по надзо</w:t>
      </w:r>
      <w:r>
        <w:rPr>
          <w:rFonts w:ascii="Times New Roman" w:hAnsi="Times New Roman"/>
          <w:sz w:val="24"/>
          <w:szCs w:val="24"/>
        </w:rPr>
        <w:t xml:space="preserve">ру в сфере здравоохранения от 7 августа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5539 "Об утверждении Порядка осуществления выборочного контроля качества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средств для медицинского применения" (Зарегистрирован Минюстом России 9 августа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39263, "Бюлл</w:t>
      </w:r>
      <w:r>
        <w:rPr>
          <w:rFonts w:ascii="Times New Roman" w:hAnsi="Times New Roman"/>
          <w:sz w:val="24"/>
          <w:szCs w:val="24"/>
        </w:rPr>
        <w:t xml:space="preserve">етень нормативных актов федеральных органов исполнительной власти",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30.11.2015).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 течение 5 рабочих дней с даты поступления заключения экспертной организации, содержащего информацию о выявлении новых данных по безопасности и эффективности лекар</w:t>
      </w:r>
      <w:r>
        <w:rPr>
          <w:rFonts w:ascii="Times New Roman" w:hAnsi="Times New Roman"/>
          <w:sz w:val="24"/>
          <w:szCs w:val="24"/>
        </w:rPr>
        <w:t>ственных препаратов, не содержащихся в инструкции по медицинскому применению или документации клинического исследования, изменяющих отношение ожидаемой пользы к возможному риску применения лекарственных препаратов, Росздравнадзор уведомляет об этом держате</w:t>
      </w:r>
      <w:r>
        <w:rPr>
          <w:rFonts w:ascii="Times New Roman" w:hAnsi="Times New Roman"/>
          <w:sz w:val="24"/>
          <w:szCs w:val="24"/>
        </w:rPr>
        <w:t>ля регистрационного удостоверения лекарственного препарата или юридическое лицо, на имя которого выдано разрешение на проведение клинических исследований, в электронной форме через АИС Росздравнадзора, или посредством размещения информационного письма на о</w:t>
      </w:r>
      <w:r>
        <w:rPr>
          <w:rFonts w:ascii="Times New Roman" w:hAnsi="Times New Roman"/>
          <w:sz w:val="24"/>
          <w:szCs w:val="24"/>
        </w:rPr>
        <w:t xml:space="preserve">фициальном сайте Росздравнадзора в сети "Интернет", или в письменной форме (на бумажном носителе). (в ред. Приказа Росздравнадзора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Держатель регистр</w:t>
      </w:r>
      <w:r>
        <w:rPr>
          <w:rFonts w:ascii="Times New Roman" w:hAnsi="Times New Roman"/>
          <w:sz w:val="24"/>
          <w:szCs w:val="24"/>
        </w:rPr>
        <w:t>ационного удостоверения лекарственного препарата или юридическое лицо, на имя которого выдано разрешение на проведение клинических исследований, в течение 10 рабочих дней с момента получения уведомления Росздравнадзора, указанного в пункте 49 настоящего По</w:t>
      </w:r>
      <w:r>
        <w:rPr>
          <w:rFonts w:ascii="Times New Roman" w:hAnsi="Times New Roman"/>
          <w:sz w:val="24"/>
          <w:szCs w:val="24"/>
        </w:rPr>
        <w:t>рядка, проводит проверку достоверности полученной информации и представляет информацию о результатах проверки в Росздравнадзор.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В период проведения проверки, указанной в пункте 50 настоящего Порядка, держатель регистрационного удостоверения лекарственн</w:t>
      </w:r>
      <w:r>
        <w:rPr>
          <w:rFonts w:ascii="Times New Roman" w:hAnsi="Times New Roman"/>
          <w:sz w:val="24"/>
          <w:szCs w:val="24"/>
        </w:rPr>
        <w:t>ого препарата или юридическое лицо, на имя которого выдано разрешение на проведение клинических исследований, принимает необходимые меры для того, чтобы вред, связанный с обращением соответствующего лекарственного препарата, не увеличился.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В течение 10</w:t>
      </w:r>
      <w:r>
        <w:rPr>
          <w:rFonts w:ascii="Times New Roman" w:hAnsi="Times New Roman"/>
          <w:sz w:val="24"/>
          <w:szCs w:val="24"/>
        </w:rPr>
        <w:t xml:space="preserve"> рабочих дней с даты поступления результатов проверки, указанной в пункте 50 настоящего Порядка, проведенной держателем регистрационного удостоверения, либо в течение 10 рабочих дней с даты поступления в Росздравнадзор результатов выборочного контроля каче</w:t>
      </w:r>
      <w:r>
        <w:rPr>
          <w:rFonts w:ascii="Times New Roman" w:hAnsi="Times New Roman"/>
          <w:sz w:val="24"/>
          <w:szCs w:val="24"/>
        </w:rPr>
        <w:t>ства лекарственного препарата в соответствии с пунктом 48 настоящего Порядка, Росздравнадзор уведомляет Министерство здравоохранения Российской Федерации (далее - Министерство) о выявлении новых данных по безопасности и эффективности лекарственных препарат</w:t>
      </w:r>
      <w:r>
        <w:rPr>
          <w:rFonts w:ascii="Times New Roman" w:hAnsi="Times New Roman"/>
          <w:sz w:val="24"/>
          <w:szCs w:val="24"/>
        </w:rPr>
        <w:t>ов, не содержащихся в инструкции по медицинскому применению или документации клинического исследования, изменяющих отношение ожидаемой пользы к возможному риску применения лекарственных препаратов, в том числе при выявлении необходимости внесения изменений</w:t>
      </w:r>
      <w:r>
        <w:rPr>
          <w:rFonts w:ascii="Times New Roman" w:hAnsi="Times New Roman"/>
          <w:sz w:val="24"/>
          <w:szCs w:val="24"/>
        </w:rPr>
        <w:t xml:space="preserve"> в инструкцию по медицинскому применению лекарственного препарата в отношении сведений о показаниях для применения и противопоказаниях для применения лекарственного препарата, выявленных побочных действиях, нежелательных реакциях при применении лекарственн</w:t>
      </w:r>
      <w:r>
        <w:rPr>
          <w:rFonts w:ascii="Times New Roman" w:hAnsi="Times New Roman"/>
          <w:sz w:val="24"/>
          <w:szCs w:val="24"/>
        </w:rPr>
        <w:t>ого препарата, и направляет соответствующую информацию для рассмотрения вопроса о необходимости внесения изменений в регистрационное досье лекарственного препарата, отмены государственной регистрации, проведении доклинических или клинических исследований л</w:t>
      </w:r>
      <w:r>
        <w:rPr>
          <w:rFonts w:ascii="Times New Roman" w:hAnsi="Times New Roman"/>
          <w:sz w:val="24"/>
          <w:szCs w:val="24"/>
        </w:rPr>
        <w:t>екарственного препарата, либо иных дополнительных исследований качества, эффективности и безопасности лекарственного препарата (далее - дополнительных исследований), а также о необходимости, либо об отсутствии необходимости приостановления обращения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 на период проведения дополнительных исследований, либо на период, необходимый для внесения изменений в регистрационную документацию лекарственного препарата. (в ред. Приказа Росздравнадзора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53. По итогам рассмотрения результатов проверки, указанной в пункте 50 настоящего Порядка, представленных держателем регистрационного удостоверения лекарственного препарата, Росздравнадзор в течение </w:t>
      </w:r>
      <w:r>
        <w:rPr>
          <w:rFonts w:ascii="Times New Roman" w:hAnsi="Times New Roman"/>
          <w:sz w:val="24"/>
          <w:szCs w:val="24"/>
        </w:rPr>
        <w:t xml:space="preserve">30 рабочих дней с даты получения результатов проверки, вправе направить держателю регистрационного удостоверения запрос о необходимости разработки Плана управления рисками (далее - ПУР) в соответствии с пунктами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6.2.4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6.2.5</w:t>
        </w:r>
      </w:hyperlink>
      <w:r>
        <w:rPr>
          <w:rFonts w:ascii="Times New Roman" w:hAnsi="Times New Roman"/>
          <w:sz w:val="24"/>
          <w:szCs w:val="24"/>
        </w:rPr>
        <w:t xml:space="preserve"> Правил надлежащей практики фармаконадзора ЕАЭС.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ПУР подлежит направлению в Росздравнадзор в течение 60 рабочих дне</w:t>
      </w:r>
      <w:r>
        <w:rPr>
          <w:rFonts w:ascii="Times New Roman" w:hAnsi="Times New Roman"/>
          <w:sz w:val="24"/>
          <w:szCs w:val="24"/>
        </w:rPr>
        <w:t>й с даты получения запроса Росздравнадзора, указанного в пункте 52 настоящего Порядка.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При выявлении держателем регистрационного удостоверения лекарственного препарата, в ходе проведения проверки, указанной в пункте 50 настоящего Порядка, информации о </w:t>
      </w:r>
      <w:r>
        <w:rPr>
          <w:rFonts w:ascii="Times New Roman" w:hAnsi="Times New Roman"/>
          <w:sz w:val="24"/>
          <w:szCs w:val="24"/>
        </w:rPr>
        <w:t>несоответствии лекарственного препарата требованиям качества, эффективности и безопасности, держатель регистрационного удостоверения лекарственного препарата вправе самостоятельно разработать ПУР и представить его в Росздравнадзор.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ПУР включает подробн</w:t>
      </w:r>
      <w:r>
        <w:rPr>
          <w:rFonts w:ascii="Times New Roman" w:hAnsi="Times New Roman"/>
          <w:sz w:val="24"/>
          <w:szCs w:val="24"/>
        </w:rPr>
        <w:t>ое описание мероприятий по фармаконадзору, направленных на выявление, оценку и предотвращение или минимизацию рисков, связанных с лекарственными препаратами, включая оценку эффективности данных мероприятий.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Росздравнадзор в срок, не превышающий 5 рабоч</w:t>
      </w:r>
      <w:r>
        <w:rPr>
          <w:rFonts w:ascii="Times New Roman" w:hAnsi="Times New Roman"/>
          <w:sz w:val="24"/>
          <w:szCs w:val="24"/>
        </w:rPr>
        <w:t>их дней с даты поступления ПУР, направляет его в экспертную организацию для проведения научно-клинической оценки с целью определения достаточности предлагаемых мероприятий для предотвращения вреда жизни и здоровью граждан при применении лекарственного преп</w:t>
      </w:r>
      <w:r>
        <w:rPr>
          <w:rFonts w:ascii="Times New Roman" w:hAnsi="Times New Roman"/>
          <w:sz w:val="24"/>
          <w:szCs w:val="24"/>
        </w:rPr>
        <w:t>арата.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58. Заключение экспертной организации о достаточности предложенных ПУР мероприятий для предотвращения вреда жизни и здоровью, граждан при применении лекарственного препарата направляется в Росздравнадзор в течение 20 рабочих дней с даты поступления </w:t>
      </w:r>
      <w:r>
        <w:rPr>
          <w:rFonts w:ascii="Times New Roman" w:hAnsi="Times New Roman"/>
          <w:sz w:val="24"/>
          <w:szCs w:val="24"/>
        </w:rPr>
        <w:t>ПУР в экспертную организацию.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Росздравнадзор в течение 5 рабочих дней с даты получения заключения экспертной организации, указанного в пункте 57 настоящего Порядка, направляет держателю регистрационного удостоверения лекарственного препарата уведомлени</w:t>
      </w:r>
      <w:r>
        <w:rPr>
          <w:rFonts w:ascii="Times New Roman" w:hAnsi="Times New Roman"/>
          <w:sz w:val="24"/>
          <w:szCs w:val="24"/>
        </w:rPr>
        <w:t>е о согласовании ПУР, либо уведомление о необходимости внесения изменений в ПУР.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В случае получения уведомления о необходимости внесения изменений в ПУР держатель регистрационного удостоверения лекарственного препарата в срок, не превышающий 20 рабочих</w:t>
      </w:r>
      <w:r>
        <w:rPr>
          <w:rFonts w:ascii="Times New Roman" w:hAnsi="Times New Roman"/>
          <w:sz w:val="24"/>
          <w:szCs w:val="24"/>
        </w:rPr>
        <w:t xml:space="preserve"> дней со дня получения данного уведомления, представляет в Росздравнадзор ПУР с учетом внесенных изменений.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61. По итогам рассмотрения результатов проверки, указанных в пункте 50 настоящего Порядка, представленных юридическим лицом, на имя которого выдано </w:t>
      </w:r>
      <w:r>
        <w:rPr>
          <w:rFonts w:ascii="Times New Roman" w:hAnsi="Times New Roman"/>
          <w:sz w:val="24"/>
          <w:szCs w:val="24"/>
        </w:rPr>
        <w:t>разрешение на проведение клинических исследований, Росздравнадзор в течение 30 рабочих дней с даты получения результатов проверки, рассматривает вопрос о направлении Министерству и юридическому лицу, на имя которого выдано разрешение на проведение клиничес</w:t>
      </w:r>
      <w:r>
        <w:rPr>
          <w:rFonts w:ascii="Times New Roman" w:hAnsi="Times New Roman"/>
          <w:sz w:val="24"/>
          <w:szCs w:val="24"/>
        </w:rPr>
        <w:t xml:space="preserve">ких исследований, соответствующей информации для рассмотрения вопроса о необходимости приостановления клинического исследования, досрочного завершения клинического исследования, либо внесения изменений в протокол клинического исследования. (в ред. Приказа </w:t>
      </w:r>
      <w:r>
        <w:rPr>
          <w:rFonts w:ascii="Times New Roman" w:hAnsi="Times New Roman"/>
          <w:sz w:val="24"/>
          <w:szCs w:val="24"/>
        </w:rPr>
        <w:t xml:space="preserve">Росздравнадзора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62. По результатам фармаконадзора Росздравнадзор размещает на своем официальном сайте </w:t>
      </w:r>
      <w:r>
        <w:rPr>
          <w:rFonts w:ascii="Times New Roman" w:hAnsi="Times New Roman"/>
          <w:sz w:val="24"/>
          <w:szCs w:val="24"/>
        </w:rPr>
        <w:lastRenderedPageBreak/>
        <w:t>в сети "Интернет" информацию о: (в ред. Приказа Ро</w:t>
      </w:r>
      <w:r>
        <w:rPr>
          <w:rFonts w:ascii="Times New Roman" w:hAnsi="Times New Roman"/>
          <w:sz w:val="24"/>
          <w:szCs w:val="24"/>
        </w:rPr>
        <w:t xml:space="preserve">сздравнадзора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выявлении новых подтвержденных данных о побочных действиях, нежелательных реакциях, серьезных нежелательных реакциях, непредвиденных не</w:t>
      </w:r>
      <w:r>
        <w:rPr>
          <w:rFonts w:ascii="Times New Roman" w:hAnsi="Times New Roman"/>
          <w:sz w:val="24"/>
          <w:szCs w:val="24"/>
        </w:rPr>
        <w:t xml:space="preserve">желательных реакциях при применении лекарственного препарата, в том числе влияющих на отношение ожидаемой пользы к возможному риску применения данного лекарственного препарата; (в ред. Приказа Росздравнадзора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принятых Министерством решениях о внесении изменений в инструкцию по применению лекарственного препарата, о приостановлении применения лекарственного препарата, об изъятии из обращения лекарственн</w:t>
      </w:r>
      <w:r>
        <w:rPr>
          <w:rFonts w:ascii="Times New Roman" w:hAnsi="Times New Roman"/>
          <w:sz w:val="24"/>
          <w:szCs w:val="24"/>
        </w:rPr>
        <w:t>ого препарата или о возобновлении применения лекарственного препарата, сведения о которых представляются Министерством в форме электронного документа, подписанного усиленной электронной квалифицированной подписью, в Росздравнадзор в течение трех рабочих дн</w:t>
      </w:r>
      <w:r>
        <w:rPr>
          <w:rFonts w:ascii="Times New Roman" w:hAnsi="Times New Roman"/>
          <w:sz w:val="24"/>
          <w:szCs w:val="24"/>
        </w:rPr>
        <w:t xml:space="preserve">ей со дня принятия соответствующего решения. (в ред. Приказа Росздравнадзора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16.07.2020 N 6252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осуществления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фармаконадзора, утвержденному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</w:t>
      </w:r>
      <w:r>
        <w:rPr>
          <w:rFonts w:ascii="Times New Roman" w:hAnsi="Times New Roman"/>
          <w:i/>
          <w:iCs/>
          <w:sz w:val="24"/>
          <w:szCs w:val="24"/>
        </w:rPr>
        <w:t>зом Федеральной службы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15.02.2017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1071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образец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ИЗВЕЩЕНИЕ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НЕЖЕЛАТЕЛЬНОЙ РЕАКЦИИ ИЛИ ОТСУТСТВИИ ТЕРАПЕВТИЧЕСКОГО ЭФФЕКТА ЛЕКАРСТВЕННОГО ПРЕПАРАТА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Первичное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Дополнительная информация к сообщению</w:t>
            </w:r>
          </w:p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N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_________ от _____________________</w:t>
            </w: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1514"/>
        <w:gridCol w:w="1577"/>
        <w:gridCol w:w="825"/>
        <w:gridCol w:w="750"/>
        <w:gridCol w:w="750"/>
        <w:gridCol w:w="732"/>
        <w:gridCol w:w="732"/>
        <w:gridCol w:w="1095"/>
        <w:gridCol w:w="1097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Данные пациента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Инициалы пациента (код пациента) &lt;*&gt; ________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М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Ж 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Вес ___ кг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Возраст __________ Беременность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, срок ___ недель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Аллергия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Нет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Есть, на 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Лечение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амбулаторное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стационарное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самолечение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Лекарственные средства, предположительно вызывающие НР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Наименование ЛС торговое) &lt;*&gt;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Номер серии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Доза, путь введения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начала терапии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Да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та окончания терапии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Показание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Нежелательная реакция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начала НР 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Описание реакции &lt;*&gt; (укажите все детали, включая данные лабораторных исследований)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Критерии серьезности НР: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Смерть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Угроза жизни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Госпитализация или ее продление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Инвалидность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Врожденные аномалии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Клинически значимое событие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разрешения НР ___________________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 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Предпринятые меры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Без лечения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3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Отмена подозреваемого ЛС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Снижение дозы ЛС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Немедикаментозная терапия (в т.ч. хирургическое вме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шательство)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Лекарственная терапия ____________________________________________________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Исход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Выздоровление без последствий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Улучшение состо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яния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Состояние без изменений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Выздоровление с последствиями (указать) 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Смерть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2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Неизвестно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3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 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Сопровождалась ли отмена ЛС исчезновением НР? 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4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Нет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ЛС не отменялось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 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Назначалось ли лекарство повторно?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Нет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5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</w:p>
        </w:tc>
        <w:tc>
          <w:tcPr>
            <w:tcW w:w="45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Результат ________________________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 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Другие лекарственные средства, принимаемые в течение последних 3 месяцев, включая ЛС,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принимаемые пациентом самостоятельно (по собственному желанию)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Наименование ЛС (торговое)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Номер серии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Доза, путь введения 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начала терапии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окончания терапии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Показание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Д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анные сообщающего лица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Врач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2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Другой специалист системы здравоохранения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3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Пациент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4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Иной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>/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>e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>-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>mail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: &lt;*&gt; ___________________________________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Ф.И.О. _________________________________________________________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Должность и место работы ________________________________________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Дата сообщения _________________________________________________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Поле обязательно к заполнению.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Сообщение может быть отправлено: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mail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pharm</w:t>
      </w:r>
      <w:r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</w:rPr>
        <w:t>roszdravnadzor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,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факс: +7(495)698-15-73,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он-лайн на сайте </w:t>
      </w:r>
      <w:r>
        <w:rPr>
          <w:rFonts w:ascii="Times New Roman" w:hAnsi="Times New Roman"/>
          <w:sz w:val="24"/>
          <w:szCs w:val="24"/>
        </w:rPr>
        <w:t>www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npr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roszdravnadzor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почтовый адрес: 109074, г. Москва, Славянская площадь, д. </w:t>
      </w:r>
      <w:r>
        <w:rPr>
          <w:rFonts w:ascii="Times New Roman" w:hAnsi="Times New Roman"/>
          <w:sz w:val="24"/>
          <w:szCs w:val="24"/>
        </w:rPr>
        <w:t>4, строение 1.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осуществления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фармаконадзора, утвержденному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Федеральной службы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 надзору в сфере здравоохранения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15.02.2017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1071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образец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СООБЩЕНИЕ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СЕРЬЕЗНОЙ НЕПРЕДВИДЕННОЙ НЕЖЕЛАТЕЛЬНОЙ РЕАКЦИИ НА Л</w:t>
      </w:r>
      <w:r>
        <w:rPr>
          <w:rFonts w:ascii="Times New Roman" w:hAnsi="Times New Roman"/>
          <w:b/>
          <w:bCs/>
          <w:sz w:val="36"/>
          <w:szCs w:val="36"/>
        </w:rPr>
        <w:t>ЕКАРСТВЕННЫЙ ПРЕПАРАТ, ИЗУЧАЮЩИЙСЯ В КЛИНИЧЕСКОМ ИССЛЕДОВАНИИ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N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протокола клинического исследования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Наименование ЛС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Наименование протокола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N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разрешения на проведение КИ в РФ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лечебного учреждения, в котором выявлена нежелательная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реакция (если реакция произошла в Российской Федерации)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Информация о нежелательной реакции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7"/>
        <w:gridCol w:w="1207"/>
        <w:gridCol w:w="1247"/>
        <w:gridCol w:w="1219"/>
        <w:gridCol w:w="1161"/>
        <w:gridCol w:w="1720"/>
        <w:gridCol w:w="1894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1. Инициалы пациента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1а. Страна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2. Дата рождения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2а. Возраст 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3. Пол </w:t>
            </w:r>
          </w:p>
        </w:tc>
        <w:tc>
          <w:tcPr>
            <w:tcW w:w="12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4 - 6. Дата начала нежелательной реакции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8 - 12. Отметьте все, что соответствует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НЛР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Смерть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(день/месяц/год) 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Госпитализация или ее продление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1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7 - 13. Описание нежелательной реакции (включая данные лабораторных и инструментальных исследований) 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Стойкая утрата трудоспособности или инвалидность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71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Угроза жизни </w:t>
            </w: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Информация о подозреваемом лекарственном препарате (препаратах)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14. Подозреваемый лекарственный препарат (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включая международное непатентованное наименование или группировочное наименование)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20. Исчезла ли реакция после отмены препарата?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6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Нет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15. Суточная доза(ы)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16. Путь(-и) введения 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21. Возникла ли реакция вновь после повторного применения лекарственного препарата?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675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17. Показание(я) к назначению: 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Нет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Неприменимо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18. Даты лечения с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19. Продолжительность терапии </w:t>
            </w: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Сопутствующая лекарственная терапия и анамнез</w:t>
      </w: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22. Сопутс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твующий лекарственный препарат(-ы) и даты введения (за исключением тех, которые применяли для лечения нежелательной реакции)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23. Другие релевантные данные анамнеза (например, диагнозы, аллергии, беременность с указанием времени последней менструации и т.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</w:p>
        </w:tc>
      </w:tr>
    </w:tbl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Иная информация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электронном документе нумерация разделов соответствует официальному источнику.</w:t>
      </w:r>
    </w:p>
    <w:p w:rsidR="00000000" w:rsidRDefault="00466280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24. Наименование и адрес производителя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24а. Идентификационный номер случая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24б. Дата получения информации о нежелательной реакции производителе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м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>24в. Источник информации о нежелательной реакции</w:t>
            </w:r>
          </w:p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Исследование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Литература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Специалист здравоохранения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Рег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уляторные органы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Другой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25. Дата данного сообщения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t xml:space="preserve">26. Тип сообщения </w:t>
            </w:r>
          </w:p>
        </w:tc>
      </w:tr>
      <w:tr w:rsidR="00000000" w:rsidRPr="004662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466280" w:rsidRDefault="0046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Первичное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3.8pt;height:13.8pt">
                  <v:imagedata r:id="rId36" o:title=""/>
                </v:shape>
              </w:pic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280">
              <w:rPr>
                <w:rFonts w:ascii="Times New Roman" w:hAnsi="Times New Roman"/>
                <w:sz w:val="24"/>
                <w:szCs w:val="24"/>
              </w:rPr>
              <w:t xml:space="preserve"> Повторное </w:t>
            </w:r>
          </w:p>
        </w:tc>
      </w:tr>
    </w:tbl>
    <w:p w:rsidR="00466280" w:rsidRDefault="00466280"/>
    <w:sectPr w:rsidR="0046628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722"/>
    <w:rsid w:val="00466280"/>
    <w:rsid w:val="00AF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95DFFB-2F13-404F-8B4B-C1F6B05A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285063#l444" TargetMode="External"/><Relationship Id="rId18" Type="http://schemas.openxmlformats.org/officeDocument/2006/relationships/hyperlink" Target="https://normativ.kontur.ru/document?moduleid=1&amp;documentid=285063#l649" TargetMode="External"/><Relationship Id="rId26" Type="http://schemas.openxmlformats.org/officeDocument/2006/relationships/hyperlink" Target="https://normativ.kontur.ru/document?moduleid=1&amp;documentid=368626#l2" TargetMode="External"/><Relationship Id="rId21" Type="http://schemas.openxmlformats.org/officeDocument/2006/relationships/hyperlink" Target="https://normativ.kontur.ru/document?moduleid=1&amp;documentid=285063#l541" TargetMode="External"/><Relationship Id="rId34" Type="http://schemas.openxmlformats.org/officeDocument/2006/relationships/hyperlink" Target="https://normativ.kontur.ru/document?moduleid=1&amp;documentid=370203#l7" TargetMode="External"/><Relationship Id="rId7" Type="http://schemas.openxmlformats.org/officeDocument/2006/relationships/hyperlink" Target="https://normativ.kontur.ru/document?moduleid=1&amp;documentid=370203#l3" TargetMode="External"/><Relationship Id="rId12" Type="http://schemas.openxmlformats.org/officeDocument/2006/relationships/hyperlink" Target="https://normativ.kontur.ru/document?moduleid=1&amp;documentid=285063#l479" TargetMode="External"/><Relationship Id="rId17" Type="http://schemas.openxmlformats.org/officeDocument/2006/relationships/hyperlink" Target="https://normativ.kontur.ru/document?moduleid=1&amp;documentid=285063#l1414" TargetMode="External"/><Relationship Id="rId25" Type="http://schemas.openxmlformats.org/officeDocument/2006/relationships/hyperlink" Target="https://normativ.kontur.ru/document?moduleid=1&amp;documentid=356043#l0" TargetMode="External"/><Relationship Id="rId33" Type="http://schemas.openxmlformats.org/officeDocument/2006/relationships/hyperlink" Target="https://normativ.kontur.ru/document?moduleid=1&amp;documentid=370203#l7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85063#l554" TargetMode="External"/><Relationship Id="rId20" Type="http://schemas.openxmlformats.org/officeDocument/2006/relationships/hyperlink" Target="https://normativ.kontur.ru/document?moduleid=1&amp;documentid=227864#l2" TargetMode="External"/><Relationship Id="rId29" Type="http://schemas.openxmlformats.org/officeDocument/2006/relationships/hyperlink" Target="https://normativ.kontur.ru/document?moduleid=1&amp;documentid=370203#l7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56043#l2464" TargetMode="External"/><Relationship Id="rId11" Type="http://schemas.openxmlformats.org/officeDocument/2006/relationships/hyperlink" Target="https://normativ.kontur.ru/document?moduleid=1&amp;documentid=285063#l6" TargetMode="External"/><Relationship Id="rId24" Type="http://schemas.openxmlformats.org/officeDocument/2006/relationships/hyperlink" Target="https://normativ.kontur.ru/document?moduleid=1&amp;documentid=285063#l554" TargetMode="External"/><Relationship Id="rId32" Type="http://schemas.openxmlformats.org/officeDocument/2006/relationships/hyperlink" Target="https://normativ.kontur.ru/document?moduleid=1&amp;documentid=370203#l7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56043#l2455" TargetMode="External"/><Relationship Id="rId15" Type="http://schemas.openxmlformats.org/officeDocument/2006/relationships/hyperlink" Target="https://normativ.kontur.ru/document?moduleid=1&amp;documentid=285063#l541" TargetMode="External"/><Relationship Id="rId23" Type="http://schemas.openxmlformats.org/officeDocument/2006/relationships/hyperlink" Target="https://normativ.kontur.ru/document?moduleid=1&amp;documentid=285063#l541" TargetMode="External"/><Relationship Id="rId28" Type="http://schemas.openxmlformats.org/officeDocument/2006/relationships/hyperlink" Target="https://normativ.kontur.ru/document?moduleid=1&amp;documentid=370203#l3" TargetMode="External"/><Relationship Id="rId36" Type="http://schemas.openxmlformats.org/officeDocument/2006/relationships/image" Target="media/image1.gif"/><Relationship Id="rId10" Type="http://schemas.openxmlformats.org/officeDocument/2006/relationships/hyperlink" Target="https://normativ.kontur.ru/document?moduleid=1&amp;documentid=285063#l482" TargetMode="External"/><Relationship Id="rId19" Type="http://schemas.openxmlformats.org/officeDocument/2006/relationships/hyperlink" Target="https://normativ.kontur.ru/document?moduleid=1&amp;documentid=227864#l23" TargetMode="External"/><Relationship Id="rId31" Type="http://schemas.openxmlformats.org/officeDocument/2006/relationships/hyperlink" Target="https://normativ.kontur.ru/document?moduleid=1&amp;documentid=285063#l281" TargetMode="External"/><Relationship Id="rId4" Type="http://schemas.openxmlformats.org/officeDocument/2006/relationships/hyperlink" Target="https://normativ.kontur.ru/document?moduleid=1&amp;documentid=370203#l0" TargetMode="External"/><Relationship Id="rId9" Type="http://schemas.openxmlformats.org/officeDocument/2006/relationships/hyperlink" Target="https://normativ.kontur.ru/document?moduleid=1&amp;documentid=285063#l479" TargetMode="External"/><Relationship Id="rId14" Type="http://schemas.openxmlformats.org/officeDocument/2006/relationships/hyperlink" Target="https://normativ.kontur.ru/document?moduleid=1&amp;documentid=285063#l482" TargetMode="External"/><Relationship Id="rId22" Type="http://schemas.openxmlformats.org/officeDocument/2006/relationships/hyperlink" Target="https://normativ.kontur.ru/document?moduleid=1&amp;documentid=285063#l554" TargetMode="External"/><Relationship Id="rId27" Type="http://schemas.openxmlformats.org/officeDocument/2006/relationships/hyperlink" Target="https://normativ.kontur.ru/document?moduleid=1&amp;documentid=368626#l2" TargetMode="External"/><Relationship Id="rId30" Type="http://schemas.openxmlformats.org/officeDocument/2006/relationships/hyperlink" Target="https://normativ.kontur.ru/document?moduleid=1&amp;documentid=285063#l279" TargetMode="External"/><Relationship Id="rId35" Type="http://schemas.openxmlformats.org/officeDocument/2006/relationships/hyperlink" Target="https://normativ.kontur.ru/document?moduleid=1&amp;documentid=370203#l7" TargetMode="External"/><Relationship Id="rId8" Type="http://schemas.openxmlformats.org/officeDocument/2006/relationships/hyperlink" Target="https://normativ.kontur.ru/document?moduleid=1&amp;documentid=356043#l1841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5736</Words>
  <Characters>32698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2024-07-05T11:12:00Z</dcterms:created>
  <dcterms:modified xsi:type="dcterms:W3CDTF">2024-07-05T11:12:00Z</dcterms:modified>
</cp:coreProperties>
</file>