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v="urn:schemas-microsoft-com:vml" xmlns:wp="http://schemas.openxmlformats.org/drawingml/2006/wordprocessingDrawing" xmlns:w10="urn:schemas-microsoft-com:office:word" xmlns:w="http://schemas.openxmlformats.org/wordprocessingml/2006/main" xmlns:wps="http://schemas.microsoft.com/office/word/2010/wordprocessingShape">
  <w:body>
    <w:bookmarkStart w:id="0" w:name="page1"/>
    <w:bookmarkEnd w:id="0"/>
    <w:p>
      <w:pPr>
        <w:spacing w:after="0" w:line="200" w:lineRule="exact"/>
        <w:rPr>
          <w:sz w:val="24"/>
          <w:szCs w:val="24"/>
          <w:color w:val="auto"/>
        </w:rPr>
      </w:pPr>
      <w:r>
        <w:rPr>
          <w:sz w:val="24"/>
          <w:szCs w:val="24"/>
          <w:color w:val="auto"/>
        </w:rPr>
        <w:drawing>
          <wp:anchor simplePos="0" relativeHeight="251657728" behindDoc="1" locked="0" layoutInCell="0" allowOverlap="1">
            <wp:simplePos x="0" y="0"/>
            <wp:positionH relativeFrom="page">
              <wp:posOffset>2830195</wp:posOffset>
            </wp:positionH>
            <wp:positionV relativeFrom="page">
              <wp:posOffset>2239010</wp:posOffset>
            </wp:positionV>
            <wp:extent cx="1619885" cy="10864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clrChange>
                        <a:clrFrom>
                          <a:srgbClr val="FFFFFF"/>
                        </a:clrFrom>
                        <a:clrTo>
                          <a:srgbClr val="FFFFFF">
                            <a:alpha val="0"/>
                          </a:srgbClr>
                        </a:clrTo>
                      </a:clrChange>
                      <a:extLst>
                        <a:ext uri="{28A0092B-C50C-407E-A947-70E740481C1C}"/>
                      </a:extLst>
                    </a:blip>
                    <a:srcRect/>
                    <a:stretch>
                      <a:fillRect/>
                    </a:stretch>
                  </pic:blipFill>
                  <pic:spPr bwMode="auto">
                    <a:xfrm>
                      <a:off x="0" y="0"/>
                      <a:ext cx="1619885" cy="1086485"/>
                    </a:xfrm>
                    <a:prstGeom prst="rect">
                      <a:avLst/>
                    </a:prstGeom>
                    <a:noFill/>
                  </pic:spPr>
                </pic:pic>
              </a:graphicData>
            </a:graphic>
          </wp:anchor>
        </w:drawing>
      </w: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8" w:lineRule="exact"/>
        <w:rPr>
          <w:sz w:val="24"/>
          <w:szCs w:val="24"/>
          <w:color w:val="auto"/>
        </w:rPr>
      </w:pPr>
    </w:p>
    <w:p>
      <w:pPr>
        <w:ind w:left="580"/>
        <w:spacing w:after="0"/>
        <w:rPr>
          <w:sz w:val="20"/>
          <w:szCs w:val="20"/>
          <w:color w:val="auto"/>
        </w:rPr>
      </w:pPr>
      <w:r>
        <w:rPr>
          <w:rFonts w:ascii="Arial" w:cs="Arial" w:eastAsia="Arial" w:hAnsi="Arial"/>
          <w:sz w:val="27"/>
          <w:szCs w:val="27"/>
          <w:color w:val="auto"/>
        </w:rPr>
        <w:t>Клинические рекомендации</w:t>
      </w:r>
    </w:p>
    <w:p>
      <w:pPr>
        <w:spacing w:after="0" w:line="200" w:lineRule="exact"/>
        <w:rPr>
          <w:sz w:val="24"/>
          <w:szCs w:val="24"/>
          <w:color w:val="auto"/>
        </w:rPr>
      </w:pPr>
    </w:p>
    <w:p>
      <w:pPr>
        <w:spacing w:after="0" w:line="200" w:lineRule="exact"/>
        <w:rPr>
          <w:sz w:val="24"/>
          <w:szCs w:val="24"/>
          <w:color w:val="auto"/>
        </w:rPr>
      </w:pPr>
    </w:p>
    <w:p>
      <w:pPr>
        <w:spacing w:after="0" w:line="272" w:lineRule="exact"/>
        <w:rPr>
          <w:sz w:val="24"/>
          <w:szCs w:val="24"/>
          <w:color w:val="auto"/>
        </w:rPr>
      </w:pPr>
    </w:p>
    <w:p>
      <w:pPr>
        <w:ind w:left="580" w:right="1380"/>
        <w:spacing w:after="0" w:line="244" w:lineRule="auto"/>
        <w:rPr>
          <w:sz w:val="20"/>
          <w:szCs w:val="20"/>
          <w:color w:val="auto"/>
        </w:rPr>
      </w:pPr>
      <w:r>
        <w:rPr>
          <w:rFonts w:ascii="Arial" w:cs="Arial" w:eastAsia="Arial" w:hAnsi="Arial"/>
          <w:sz w:val="48"/>
          <w:szCs w:val="48"/>
          <w:b w:val="1"/>
          <w:bCs w:val="1"/>
          <w:color w:val="auto"/>
        </w:rPr>
        <w:t>Артериальная гипертензия у взрослых</w:t>
      </w: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327" w:lineRule="exact"/>
        <w:rPr>
          <w:sz w:val="24"/>
          <w:szCs w:val="24"/>
          <w:color w:val="auto"/>
        </w:rPr>
      </w:pPr>
    </w:p>
    <w:p>
      <w:pPr>
        <w:ind w:left="580"/>
        <w:spacing w:after="0"/>
        <w:rPr>
          <w:sz w:val="20"/>
          <w:szCs w:val="20"/>
          <w:color w:val="auto"/>
        </w:rPr>
      </w:pPr>
      <w:r>
        <w:rPr>
          <w:rFonts w:ascii="Arial" w:cs="Arial" w:eastAsia="Arial" w:hAnsi="Arial"/>
          <w:sz w:val="27"/>
          <w:szCs w:val="27"/>
          <w:color w:val="auto"/>
        </w:rPr>
        <w:t xml:space="preserve">МКБ </w:t>
      </w:r>
      <w:r>
        <w:rPr>
          <w:rFonts w:ascii="Arial" w:cs="Arial" w:eastAsia="Arial" w:hAnsi="Arial"/>
          <w:sz w:val="27"/>
          <w:szCs w:val="27"/>
          <w:color w:val="auto"/>
        </w:rPr>
        <w:t>10:</w:t>
      </w:r>
      <w:r>
        <w:rPr>
          <w:rFonts w:ascii="Arial" w:cs="Arial" w:eastAsia="Arial" w:hAnsi="Arial"/>
          <w:sz w:val="27"/>
          <w:szCs w:val="27"/>
          <w:color w:val="auto"/>
        </w:rPr>
        <w:t xml:space="preserve"> </w:t>
      </w:r>
      <w:r>
        <w:rPr>
          <w:rFonts w:ascii="Arial" w:cs="Arial" w:eastAsia="Arial" w:hAnsi="Arial"/>
          <w:sz w:val="27"/>
          <w:szCs w:val="27"/>
          <w:b w:val="1"/>
          <w:bCs w:val="1"/>
          <w:color w:val="auto"/>
        </w:rPr>
        <w:t>I10/ I11/ I12/ I13/ I15</w:t>
      </w:r>
    </w:p>
    <w:p>
      <w:pPr>
        <w:spacing w:after="0" w:line="110" w:lineRule="exact"/>
        <w:rPr>
          <w:sz w:val="24"/>
          <w:szCs w:val="24"/>
          <w:color w:val="auto"/>
        </w:rPr>
      </w:pPr>
    </w:p>
    <w:p>
      <w:pPr>
        <w:ind w:left="580"/>
        <w:spacing w:after="0"/>
        <w:rPr>
          <w:sz w:val="20"/>
          <w:szCs w:val="20"/>
          <w:color w:val="auto"/>
        </w:rPr>
      </w:pPr>
      <w:r>
        <w:rPr>
          <w:rFonts w:ascii="Arial" w:cs="Arial" w:eastAsia="Arial" w:hAnsi="Arial"/>
          <w:sz w:val="27"/>
          <w:szCs w:val="27"/>
          <w:color w:val="auto"/>
        </w:rPr>
        <w:t xml:space="preserve">Год утверждения </w:t>
      </w:r>
      <w:r>
        <w:rPr>
          <w:rFonts w:ascii="Arial" w:cs="Arial" w:eastAsia="Arial" w:hAnsi="Arial"/>
          <w:sz w:val="27"/>
          <w:szCs w:val="27"/>
          <w:color w:val="auto"/>
        </w:rPr>
        <w:t>(</w:t>
      </w:r>
      <w:r>
        <w:rPr>
          <w:rFonts w:ascii="Arial" w:cs="Arial" w:eastAsia="Arial" w:hAnsi="Arial"/>
          <w:sz w:val="27"/>
          <w:szCs w:val="27"/>
          <w:color w:val="auto"/>
        </w:rPr>
        <w:t>частота пересмотра</w:t>
      </w:r>
      <w:r>
        <w:rPr>
          <w:rFonts w:ascii="Arial" w:cs="Arial" w:eastAsia="Arial" w:hAnsi="Arial"/>
          <w:sz w:val="27"/>
          <w:szCs w:val="27"/>
          <w:color w:val="auto"/>
        </w:rPr>
        <w:t>):</w:t>
      </w:r>
      <w:r>
        <w:rPr>
          <w:rFonts w:ascii="Arial" w:cs="Arial" w:eastAsia="Arial" w:hAnsi="Arial"/>
          <w:sz w:val="27"/>
          <w:szCs w:val="27"/>
          <w:b w:val="1"/>
          <w:bCs w:val="1"/>
          <w:color w:val="auto"/>
        </w:rPr>
        <w:t>2020</w:t>
      </w:r>
    </w:p>
    <w:p>
      <w:pPr>
        <w:spacing w:after="0" w:line="200" w:lineRule="exact"/>
        <w:rPr>
          <w:sz w:val="24"/>
          <w:szCs w:val="24"/>
          <w:color w:val="auto"/>
        </w:rPr>
      </w:pPr>
    </w:p>
    <w:p>
      <w:pPr>
        <w:spacing w:after="0" w:line="200" w:lineRule="exact"/>
        <w:rPr>
          <w:sz w:val="24"/>
          <w:szCs w:val="24"/>
          <w:color w:val="auto"/>
        </w:rPr>
      </w:pPr>
    </w:p>
    <w:p>
      <w:pPr>
        <w:spacing w:after="0" w:line="310" w:lineRule="exact"/>
        <w:rPr>
          <w:sz w:val="24"/>
          <w:szCs w:val="24"/>
          <w:color w:val="auto"/>
        </w:rPr>
      </w:pPr>
    </w:p>
    <w:p>
      <w:pPr>
        <w:ind w:left="580"/>
        <w:spacing w:after="0"/>
        <w:rPr>
          <w:sz w:val="20"/>
          <w:szCs w:val="20"/>
          <w:color w:val="auto"/>
        </w:rPr>
      </w:pPr>
      <w:r>
        <w:rPr>
          <w:rFonts w:ascii="Arial" w:cs="Arial" w:eastAsia="Arial" w:hAnsi="Arial"/>
          <w:sz w:val="27"/>
          <w:szCs w:val="27"/>
          <w:color w:val="auto"/>
        </w:rPr>
        <w:t xml:space="preserve">ID: </w:t>
      </w:r>
      <w:r>
        <w:rPr>
          <w:rFonts w:ascii="Arial" w:cs="Arial" w:eastAsia="Arial" w:hAnsi="Arial"/>
          <w:sz w:val="27"/>
          <w:szCs w:val="27"/>
          <w:b w:val="1"/>
          <w:bCs w:val="1"/>
          <w:color w:val="auto"/>
        </w:rPr>
        <w:t>КР</w:t>
      </w:r>
      <w:r>
        <w:rPr>
          <w:rFonts w:ascii="Arial" w:cs="Arial" w:eastAsia="Arial" w:hAnsi="Arial"/>
          <w:sz w:val="27"/>
          <w:szCs w:val="27"/>
          <w:b w:val="1"/>
          <w:bCs w:val="1"/>
          <w:color w:val="auto"/>
        </w:rPr>
        <w:t>62</w:t>
      </w:r>
    </w:p>
    <w:p>
      <w:pPr>
        <w:spacing w:after="0" w:line="110" w:lineRule="exact"/>
        <w:rPr>
          <w:sz w:val="24"/>
          <w:szCs w:val="24"/>
          <w:color w:val="auto"/>
        </w:rPr>
      </w:pPr>
    </w:p>
    <w:p>
      <w:pPr>
        <w:ind w:left="580"/>
        <w:spacing w:after="0"/>
        <w:rPr>
          <w:sz w:val="20"/>
          <w:szCs w:val="20"/>
          <w:color w:val="auto"/>
        </w:rPr>
      </w:pPr>
      <w:r>
        <w:rPr>
          <w:rFonts w:ascii="Arial" w:cs="Arial" w:eastAsia="Arial" w:hAnsi="Arial"/>
          <w:sz w:val="27"/>
          <w:szCs w:val="27"/>
          <w:color w:val="auto"/>
        </w:rPr>
        <w:t>URL</w:t>
      </w:r>
    </w:p>
    <w:p>
      <w:pPr>
        <w:spacing w:after="0" w:line="200" w:lineRule="exact"/>
        <w:rPr>
          <w:sz w:val="24"/>
          <w:szCs w:val="24"/>
          <w:color w:val="auto"/>
        </w:rPr>
      </w:pPr>
    </w:p>
    <w:p>
      <w:pPr>
        <w:spacing w:after="0" w:line="200" w:lineRule="exact"/>
        <w:rPr>
          <w:sz w:val="24"/>
          <w:szCs w:val="24"/>
          <w:color w:val="auto"/>
        </w:rPr>
      </w:pPr>
    </w:p>
    <w:p>
      <w:pPr>
        <w:spacing w:after="0" w:line="310" w:lineRule="exact"/>
        <w:rPr>
          <w:sz w:val="24"/>
          <w:szCs w:val="24"/>
          <w:color w:val="auto"/>
        </w:rPr>
      </w:pPr>
    </w:p>
    <w:p>
      <w:pPr>
        <w:ind w:left="580"/>
        <w:spacing w:after="0"/>
        <w:rPr>
          <w:sz w:val="20"/>
          <w:szCs w:val="20"/>
          <w:color w:val="auto"/>
        </w:rPr>
      </w:pPr>
      <w:r>
        <w:rPr>
          <w:rFonts w:ascii="Arial" w:cs="Arial" w:eastAsia="Arial" w:hAnsi="Arial"/>
          <w:sz w:val="27"/>
          <w:szCs w:val="27"/>
          <w:color w:val="auto"/>
        </w:rPr>
        <w:t>Профессиональные ассоциации</w:t>
      </w:r>
    </w:p>
    <w:p>
      <w:pPr>
        <w:spacing w:after="0" w:line="320" w:lineRule="exact"/>
        <w:rPr>
          <w:sz w:val="24"/>
          <w:szCs w:val="24"/>
          <w:color w:val="auto"/>
        </w:rPr>
      </w:pPr>
    </w:p>
    <w:p>
      <w:pPr>
        <w:ind w:left="600"/>
        <w:spacing w:after="0"/>
        <w:rPr>
          <w:sz w:val="20"/>
          <w:szCs w:val="20"/>
          <w:color w:val="auto"/>
        </w:rPr>
      </w:pPr>
      <w:r>
        <w:rPr>
          <w:sz w:val="1"/>
          <w:szCs w:val="1"/>
          <w:color w:val="auto"/>
        </w:rPr>
        <w:drawing>
          <wp:inline distT="0" distB="0" distL="0" distR="0">
            <wp:extent cx="82550" cy="82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r>
        <w:rPr>
          <w:rFonts w:ascii="Arial" w:cs="Arial" w:eastAsia="Arial" w:hAnsi="Arial"/>
          <w:sz w:val="27"/>
          <w:szCs w:val="27"/>
          <w:b w:val="1"/>
          <w:bCs w:val="1"/>
          <w:color w:val="auto"/>
        </w:rPr>
        <w:t xml:space="preserve"> Российское кардиологическое общество</w:t>
      </w:r>
    </w:p>
    <w:p>
      <w:pPr>
        <w:spacing w:after="0" w:line="290" w:lineRule="exact"/>
        <w:rPr>
          <w:sz w:val="24"/>
          <w:szCs w:val="24"/>
          <w:color w:val="auto"/>
        </w:rPr>
      </w:pPr>
    </w:p>
    <w:p>
      <w:pPr>
        <w:ind w:left="580"/>
        <w:spacing w:after="0"/>
        <w:rPr>
          <w:sz w:val="20"/>
          <w:szCs w:val="20"/>
          <w:color w:val="auto"/>
        </w:rPr>
      </w:pPr>
      <w:r>
        <w:rPr>
          <w:rFonts w:ascii="Arial" w:cs="Arial" w:eastAsia="Arial" w:hAnsi="Arial"/>
          <w:sz w:val="27"/>
          <w:szCs w:val="27"/>
          <w:color w:val="auto"/>
        </w:rPr>
        <w:t>Одобрено Научно</w:t>
      </w:r>
      <w:r>
        <w:rPr>
          <w:rFonts w:ascii="Arial" w:cs="Arial" w:eastAsia="Arial" w:hAnsi="Arial"/>
          <w:sz w:val="27"/>
          <w:szCs w:val="27"/>
          <w:color w:val="auto"/>
        </w:rPr>
        <w:t>-</w:t>
      </w:r>
      <w:r>
        <w:rPr>
          <w:rFonts w:ascii="Arial" w:cs="Arial" w:eastAsia="Arial" w:hAnsi="Arial"/>
          <w:sz w:val="27"/>
          <w:szCs w:val="27"/>
          <w:color w:val="auto"/>
        </w:rPr>
        <w:t>практическим Советом Минздрава РФ</w:t>
      </w:r>
    </w:p>
    <w:p>
      <w:pPr>
        <w:sectPr>
          <w:pgSz w:w="11900" w:h="16840" w:orient="portrait"/>
          <w:cols w:equalWidth="0" w:num="1">
            <w:col w:w="9020"/>
          </w:cols>
          <w:pgMar w:left="1440" w:top="1440" w:right="1440" w:bottom="774" w:gutter="0" w:footer="0" w:header="0"/>
        </w:sectPr>
      </w:pPr>
    </w:p>
    <w:bookmarkStart w:id="1" w:name="page2"/>
    <w:bookmarkEnd w:id="1"/>
    <w:p>
      <w:pPr>
        <w:spacing w:after="0"/>
        <w:rPr>
          <w:sz w:val="20"/>
          <w:szCs w:val="20"/>
          <w:color w:val="auto"/>
        </w:rPr>
      </w:pPr>
    </w:p>
    <w:p>
      <w:pPr>
        <w:sectPr>
          <w:pgSz w:w="11900" w:h="16840" w:orient="portrait"/>
          <w:cols w:equalWidth="1" w:num="1" w:space="0"/>
          <w:pgMar w:left="1440" w:top="1440" w:right="1440" w:bottom="875" w:gutter="0" w:footer="0" w:header="0"/>
        </w:sectPr>
      </w:pPr>
    </w:p>
    <w:bookmarkStart w:id="2" w:name="page3"/>
    <w:bookmarkEnd w:id="2"/>
    <w:p>
      <w:pPr>
        <w:ind w:left="360"/>
        <w:spacing w:after="0"/>
        <w:rPr>
          <w:sz w:val="20"/>
          <w:szCs w:val="20"/>
          <w:color w:val="auto"/>
        </w:rPr>
      </w:pPr>
      <w:r>
        <w:rPr>
          <w:rFonts w:ascii="Arial" w:cs="Arial" w:eastAsia="Arial" w:hAnsi="Arial"/>
          <w:sz w:val="48"/>
          <w:szCs w:val="48"/>
          <w:b w:val="1"/>
          <w:bCs w:val="1"/>
          <w:color w:val="auto"/>
        </w:rPr>
        <w:t>Оглавление</w:t>
      </w:r>
    </w:p>
    <w:p>
      <w:pPr>
        <w:spacing w:after="0" w:line="26"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Ключевые слова</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Список сокращений</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Термины и определения</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1. </w:t>
        </w:r>
        <w:r>
          <w:rPr>
            <w:rFonts w:ascii="Arial" w:cs="Arial" w:eastAsia="Arial" w:hAnsi="Arial"/>
            <w:sz w:val="27"/>
            <w:szCs w:val="27"/>
            <w:b w:val="1"/>
            <w:bCs w:val="1"/>
            <w:color w:val="auto"/>
          </w:rPr>
          <w:t>Краткая информация</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2. </w:t>
        </w:r>
        <w:r>
          <w:rPr>
            <w:rFonts w:ascii="Arial" w:cs="Arial" w:eastAsia="Arial" w:hAnsi="Arial"/>
            <w:sz w:val="27"/>
            <w:szCs w:val="27"/>
            <w:b w:val="1"/>
            <w:bCs w:val="1"/>
            <w:color w:val="auto"/>
          </w:rPr>
          <w:t>Диагностика</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3. </w:t>
        </w:r>
        <w:r>
          <w:rPr>
            <w:rFonts w:ascii="Arial" w:cs="Arial" w:eastAsia="Arial" w:hAnsi="Arial"/>
            <w:sz w:val="27"/>
            <w:szCs w:val="27"/>
            <w:b w:val="1"/>
            <w:bCs w:val="1"/>
            <w:color w:val="auto"/>
          </w:rPr>
          <w:t>Лечение</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4. </w:t>
        </w:r>
        <w:r>
          <w:rPr>
            <w:rFonts w:ascii="Arial" w:cs="Arial" w:eastAsia="Arial" w:hAnsi="Arial"/>
            <w:sz w:val="27"/>
            <w:szCs w:val="27"/>
            <w:b w:val="1"/>
            <w:bCs w:val="1"/>
            <w:color w:val="auto"/>
          </w:rPr>
          <w:t>Реабилитация</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5. </w:t>
        </w:r>
        <w:r>
          <w:rPr>
            <w:rFonts w:ascii="Arial" w:cs="Arial" w:eastAsia="Arial" w:hAnsi="Arial"/>
            <w:sz w:val="27"/>
            <w:szCs w:val="27"/>
            <w:b w:val="1"/>
            <w:bCs w:val="1"/>
            <w:color w:val="auto"/>
          </w:rPr>
          <w:t>Профилактика</w:t>
        </w:r>
      </w:hyperlink>
    </w:p>
    <w:p>
      <w:pPr>
        <w:spacing w:after="0" w:line="80" w:lineRule="exact"/>
        <w:rPr>
          <w:sz w:val="20"/>
          <w:szCs w:val="20"/>
          <w:color w:val="auto"/>
        </w:rPr>
      </w:pPr>
    </w:p>
    <w:p>
      <w:pPr>
        <w:ind w:left="680" w:right="220" w:hanging="304"/>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6. </w:t>
        </w:r>
        <w:r>
          <w:rPr>
            <w:rFonts w:ascii="Arial" w:cs="Arial" w:eastAsia="Arial" w:hAnsi="Arial"/>
            <w:sz w:val="27"/>
            <w:szCs w:val="27"/>
            <w:b w:val="1"/>
            <w:bCs w:val="1"/>
            <w:color w:val="auto"/>
          </w:rPr>
          <w:t>Дополнительная информация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влияющая на течение и</w:t>
        </w:r>
      </w:hyperlink>
      <w:r>
        <w:rPr>
          <w:rFonts w:ascii="Arial" w:cs="Arial" w:eastAsia="Arial" w:hAnsi="Arial"/>
          <w:sz w:val="27"/>
          <w:szCs w:val="27"/>
          <w:b w:val="1"/>
          <w:bCs w:val="1"/>
          <w:color w:val="auto"/>
        </w:rPr>
        <w:t xml:space="preserve"> </w:t>
      </w:r>
      <w:hyperlink r:id="rId11">
        <w:r>
          <w:rPr>
            <w:rFonts w:ascii="Arial" w:cs="Arial" w:eastAsia="Arial" w:hAnsi="Arial"/>
            <w:sz w:val="27"/>
            <w:szCs w:val="27"/>
            <w:b w:val="1"/>
            <w:bCs w:val="1"/>
            <w:color w:val="auto"/>
          </w:rPr>
          <w:t>исход заболевания</w:t>
        </w:r>
      </w:hyperlink>
    </w:p>
    <w:p>
      <w:pPr>
        <w:spacing w:after="0" w:line="34"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Критерии оценки качества медицинской помощи</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Список литературы</w:t>
        </w:r>
      </w:hyperlink>
    </w:p>
    <w:p>
      <w:pPr>
        <w:spacing w:after="0" w:line="80" w:lineRule="exact"/>
        <w:rPr>
          <w:sz w:val="20"/>
          <w:szCs w:val="20"/>
          <w:color w:val="auto"/>
        </w:rPr>
      </w:pPr>
    </w:p>
    <w:p>
      <w:pPr>
        <w:ind w:left="380"/>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А</w:t>
        </w:r>
        <w:r>
          <w:rPr>
            <w:rFonts w:ascii="Arial" w:cs="Arial" w:eastAsia="Arial" w:hAnsi="Arial"/>
            <w:sz w:val="27"/>
            <w:szCs w:val="27"/>
            <w:b w:val="1"/>
            <w:bCs w:val="1"/>
            <w:color w:val="auto"/>
          </w:rPr>
          <w:t>1.</w:t>
        </w:r>
        <w:r>
          <w:rPr>
            <w:rFonts w:ascii="Arial" w:cs="Arial" w:eastAsia="Arial" w:hAnsi="Arial"/>
            <w:sz w:val="27"/>
            <w:szCs w:val="27"/>
            <w:b w:val="1"/>
            <w:bCs w:val="1"/>
            <w:color w:val="auto"/>
          </w:rPr>
          <w:t xml:space="preserve"> Состав рабочей группы</w:t>
        </w:r>
      </w:hyperlink>
    </w:p>
    <w:p>
      <w:pPr>
        <w:spacing w:after="0" w:line="80" w:lineRule="exact"/>
        <w:rPr>
          <w:sz w:val="20"/>
          <w:szCs w:val="20"/>
          <w:color w:val="auto"/>
        </w:rPr>
      </w:pPr>
    </w:p>
    <w:p>
      <w:pPr>
        <w:ind w:left="680" w:right="220" w:hanging="304"/>
        <w:spacing w:after="0"/>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А</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Методология разработки клинических</w:t>
        </w:r>
      </w:hyperlink>
      <w:r>
        <w:rPr>
          <w:rFonts w:ascii="Arial" w:cs="Arial" w:eastAsia="Arial" w:hAnsi="Arial"/>
          <w:sz w:val="27"/>
          <w:szCs w:val="27"/>
          <w:b w:val="1"/>
          <w:bCs w:val="1"/>
          <w:color w:val="auto"/>
        </w:rPr>
        <w:t xml:space="preserve"> </w:t>
      </w:r>
      <w:hyperlink r:id="rId11">
        <w:r>
          <w:rPr>
            <w:rFonts w:ascii="Arial" w:cs="Arial" w:eastAsia="Arial" w:hAnsi="Arial"/>
            <w:sz w:val="27"/>
            <w:szCs w:val="27"/>
            <w:b w:val="1"/>
            <w:bCs w:val="1"/>
            <w:color w:val="auto"/>
          </w:rPr>
          <w:t>рекомендаций</w:t>
        </w:r>
      </w:hyperlink>
    </w:p>
    <w:p>
      <w:pPr>
        <w:spacing w:after="0" w:line="34" w:lineRule="exact"/>
        <w:rPr>
          <w:sz w:val="20"/>
          <w:szCs w:val="20"/>
          <w:color w:val="auto"/>
        </w:rPr>
      </w:pPr>
    </w:p>
    <w:p>
      <w:pPr>
        <w:ind w:left="380" w:right="2060"/>
        <w:spacing w:after="0" w:line="301" w:lineRule="auto"/>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А</w:t>
        </w:r>
        <w:r>
          <w:rPr>
            <w:rFonts w:ascii="Arial" w:cs="Arial" w:eastAsia="Arial" w:hAnsi="Arial"/>
            <w:sz w:val="27"/>
            <w:szCs w:val="27"/>
            <w:b w:val="1"/>
            <w:bCs w:val="1"/>
            <w:color w:val="auto"/>
          </w:rPr>
          <w:t>3.</w:t>
        </w:r>
        <w:r>
          <w:rPr>
            <w:rFonts w:ascii="Arial" w:cs="Arial" w:eastAsia="Arial" w:hAnsi="Arial"/>
            <w:sz w:val="27"/>
            <w:szCs w:val="27"/>
            <w:b w:val="1"/>
            <w:bCs w:val="1"/>
            <w:color w:val="auto"/>
          </w:rPr>
          <w:t xml:space="preserve"> Связанные документы</w:t>
        </w:r>
      </w:hyperlink>
      <w:r>
        <w:rPr>
          <w:rFonts w:ascii="Arial" w:cs="Arial" w:eastAsia="Arial" w:hAnsi="Arial"/>
          <w:sz w:val="27"/>
          <w:szCs w:val="27"/>
          <w:b w:val="1"/>
          <w:bCs w:val="1"/>
          <w:color w:val="auto"/>
        </w:rPr>
        <w:t xml:space="preserve"> </w:t>
      </w:r>
      <w:r>
        <w:rPr>
          <w:rFonts w:ascii="Arial" w:cs="Arial" w:eastAsia="Arial" w:hAnsi="Arial"/>
          <w:sz w:val="1"/>
          <w:szCs w:val="1"/>
          <w:b w:val="1"/>
          <w:bCs w:val="1"/>
          <w:color w:val="auto"/>
        </w:rPr>
        <w:drawing>
          <wp:inline distT="0" distB="0" distL="0" distR="0">
            <wp:extent cx="82550" cy="825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Б</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Алгоритмы ведения пациента</w:t>
        </w:r>
      </w:hyperlink>
    </w:p>
    <w:p>
      <w:pPr>
        <w:spacing w:after="0" w:line="2" w:lineRule="exact"/>
        <w:rPr>
          <w:sz w:val="20"/>
          <w:szCs w:val="20"/>
          <w:color w:val="auto"/>
        </w:rPr>
      </w:pPr>
    </w:p>
    <w:p>
      <w:pPr>
        <w:ind w:left="380" w:right="2300"/>
        <w:spacing w:after="0" w:line="337" w:lineRule="auto"/>
        <w:rPr>
          <w:rFonts w:ascii="Arial" w:cs="Arial" w:eastAsia="Arial" w:hAnsi="Arial"/>
          <w:sz w:val="27"/>
          <w:szCs w:val="27"/>
          <w:b w:val="1"/>
          <w:bCs w:val="1"/>
          <w:color w:val="auto"/>
        </w:rPr>
      </w:pPr>
      <w:r>
        <w:rPr>
          <w:sz w:val="1"/>
          <w:szCs w:val="1"/>
          <w:color w:val="auto"/>
        </w:rPr>
        <w:drawing>
          <wp:inline distT="0" distB="0" distL="0" distR="0">
            <wp:extent cx="82550" cy="825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Информация для пациентов</w:t>
        </w:r>
      </w:hyperlink>
      <w:r>
        <w:rPr>
          <w:rFonts w:ascii="Arial" w:cs="Arial" w:eastAsia="Arial" w:hAnsi="Arial"/>
          <w:sz w:val="27"/>
          <w:szCs w:val="27"/>
          <w:b w:val="1"/>
          <w:bCs w:val="1"/>
          <w:color w:val="auto"/>
        </w:rPr>
        <w:t xml:space="preserve"> </w:t>
      </w:r>
      <w:r>
        <w:rPr>
          <w:rFonts w:ascii="Arial" w:cs="Arial" w:eastAsia="Arial" w:hAnsi="Arial"/>
          <w:sz w:val="1"/>
          <w:szCs w:val="1"/>
          <w:b w:val="1"/>
          <w:bCs w:val="1"/>
          <w:color w:val="auto"/>
        </w:rPr>
        <w:drawing>
          <wp:inline distT="0" distB="0" distL="0" distR="0">
            <wp:extent cx="82550" cy="82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extLst>
                    </a:blip>
                    <a:srcRect/>
                    <a:stretch>
                      <a:fillRect/>
                    </a:stretch>
                  </pic:blipFill>
                  <pic:spPr bwMode="auto">
                    <a:xfrm>
                      <a:off x="0" y="0"/>
                      <a:ext cx="82550" cy="82550"/>
                    </a:xfrm>
                    <a:prstGeom prst="rect">
                      <a:avLst/>
                    </a:prstGeom>
                    <a:noFill/>
                    <a:ln>
                      <a:noFill/>
                    </a:ln>
                  </pic:spPr>
                </pic:pic>
              </a:graphicData>
            </a:graphic>
          </wp:inline>
        </w:drawing>
      </w:r>
      <w:hyperlink r:id="rId11">
        <w:r>
          <w:rPr>
            <w:rFonts w:ascii="Arial" w:cs="Arial" w:eastAsia="Arial" w:hAnsi="Arial"/>
            <w:sz w:val="27"/>
            <w:szCs w:val="27"/>
            <w:b w:val="1"/>
            <w:bCs w:val="1"/>
            <w:color w:val="auto"/>
          </w:rPr>
          <w:t xml:space="preserve"> Приложение Г</w:t>
        </w:r>
        <w:r>
          <w:rPr>
            <w:rFonts w:ascii="Arial" w:cs="Arial" w:eastAsia="Arial" w:hAnsi="Arial"/>
            <w:sz w:val="27"/>
            <w:szCs w:val="27"/>
            <w:b w:val="1"/>
            <w:bCs w:val="1"/>
            <w:color w:val="auto"/>
          </w:rPr>
          <w:t>.</w:t>
        </w:r>
      </w:hyperlink>
    </w:p>
    <w:p>
      <w:pPr>
        <w:sectPr>
          <w:pgSz w:w="11900" w:h="16840" w:orient="portrait"/>
          <w:cols w:equalWidth="0" w:num="1">
            <w:col w:w="9020"/>
          </w:cols>
          <w:pgMar w:left="1440" w:top="671" w:right="1440" w:bottom="1440" w:gutter="0" w:footer="0" w:header="0"/>
        </w:sectPr>
      </w:pPr>
    </w:p>
    <w:bookmarkStart w:id="3" w:name="page4"/>
    <w:bookmarkEnd w:id="3"/>
    <w:p>
      <w:pPr>
        <w:ind w:left="360"/>
        <w:spacing w:after="0"/>
        <w:rPr>
          <w:sz w:val="20"/>
          <w:szCs w:val="20"/>
          <w:color w:val="auto"/>
        </w:rPr>
      </w:pPr>
      <w:r>
        <w:rPr>
          <w:rFonts w:ascii="Arial" w:cs="Arial" w:eastAsia="Arial" w:hAnsi="Arial"/>
          <w:sz w:val="46"/>
          <w:szCs w:val="46"/>
          <w:b w:val="1"/>
          <w:bCs w:val="1"/>
          <w:color w:val="auto"/>
        </w:rPr>
        <w:t>Ключевые слова</w:t>
      </w:r>
    </w:p>
    <w:p>
      <w:pPr>
        <w:sectPr>
          <w:pgSz w:w="11900" w:h="16840" w:orient="portrait"/>
          <w:cols w:equalWidth="0" w:num="1">
            <w:col w:w="9020"/>
          </w:cols>
          <w:pgMar w:left="1440" w:top="671" w:right="1440" w:bottom="1440" w:gutter="0" w:footer="0" w:header="0"/>
        </w:sectPr>
      </w:pPr>
    </w:p>
    <w:bookmarkStart w:id="4" w:name="page5"/>
    <w:bookmarkEnd w:id="4"/>
    <w:p>
      <w:pPr>
        <w:ind w:left="360"/>
        <w:spacing w:after="0"/>
        <w:rPr>
          <w:sz w:val="20"/>
          <w:szCs w:val="20"/>
          <w:color w:val="auto"/>
        </w:rPr>
      </w:pPr>
      <w:r>
        <w:rPr>
          <w:rFonts w:ascii="Arial" w:cs="Arial" w:eastAsia="Arial" w:hAnsi="Arial"/>
          <w:sz w:val="48"/>
          <w:szCs w:val="48"/>
          <w:b w:val="1"/>
          <w:bCs w:val="1"/>
          <w:color w:val="auto"/>
        </w:rPr>
        <w:t>Список сокращений</w:t>
      </w:r>
    </w:p>
    <w:p>
      <w:pPr>
        <w:spacing w:after="0" w:line="200" w:lineRule="exact"/>
        <w:rPr>
          <w:sz w:val="20"/>
          <w:szCs w:val="20"/>
          <w:color w:val="auto"/>
        </w:rPr>
      </w:pPr>
    </w:p>
    <w:p>
      <w:pPr>
        <w:spacing w:after="0" w:line="277"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АГ </w:t>
      </w:r>
      <w:r>
        <w:rPr>
          <w:rFonts w:ascii="Arial" w:cs="Arial" w:eastAsia="Arial" w:hAnsi="Arial"/>
          <w:sz w:val="27"/>
          <w:szCs w:val="27"/>
          <w:color w:val="auto"/>
        </w:rPr>
        <w:t>—</w:t>
      </w:r>
      <w:r>
        <w:rPr>
          <w:rFonts w:ascii="Arial" w:cs="Arial" w:eastAsia="Arial" w:hAnsi="Arial"/>
          <w:sz w:val="27"/>
          <w:szCs w:val="27"/>
          <w:color w:val="auto"/>
        </w:rPr>
        <w:t xml:space="preserve"> артериальная гипертензия</w:t>
      </w:r>
    </w:p>
    <w:p>
      <w:pPr>
        <w:spacing w:after="0" w:line="32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АГП </w:t>
      </w:r>
      <w:r>
        <w:rPr>
          <w:rFonts w:ascii="Arial" w:cs="Arial" w:eastAsia="Arial" w:hAnsi="Arial"/>
          <w:sz w:val="27"/>
          <w:szCs w:val="27"/>
          <w:color w:val="auto"/>
        </w:rPr>
        <w:t>—</w:t>
      </w:r>
      <w:r>
        <w:rPr>
          <w:rFonts w:ascii="Arial" w:cs="Arial" w:eastAsia="Arial" w:hAnsi="Arial"/>
          <w:sz w:val="27"/>
          <w:szCs w:val="27"/>
          <w:color w:val="auto"/>
        </w:rPr>
        <w:t xml:space="preserve"> антигипертензивные препараты</w:t>
      </w:r>
      <w:r>
        <w:rPr>
          <w:rFonts w:ascii="Lucida Sans Unicode" w:cs="Lucida Sans Unicode" w:eastAsia="Lucida Sans Unicode" w:hAnsi="Lucida Sans Unicode"/>
          <w:sz w:val="27"/>
          <w:szCs w:val="27"/>
          <w:color w:val="auto"/>
        </w:rPr>
        <w:t> </w:t>
      </w:r>
    </w:p>
    <w:p>
      <w:pPr>
        <w:spacing w:after="0" w:line="273" w:lineRule="exact"/>
        <w:rPr>
          <w:sz w:val="20"/>
          <w:szCs w:val="20"/>
          <w:color w:val="auto"/>
        </w:rPr>
      </w:pPr>
    </w:p>
    <w:p>
      <w:pPr>
        <w:ind w:left="360" w:right="2120"/>
        <w:spacing w:after="0" w:line="452" w:lineRule="auto"/>
        <w:rPr>
          <w:sz w:val="20"/>
          <w:szCs w:val="20"/>
          <w:color w:val="auto"/>
        </w:rPr>
      </w:pPr>
      <w:r>
        <w:rPr>
          <w:rFonts w:ascii="Arial" w:cs="Arial" w:eastAsia="Arial" w:hAnsi="Arial"/>
          <w:sz w:val="27"/>
          <w:szCs w:val="27"/>
          <w:color w:val="auto"/>
        </w:rPr>
        <w:t xml:space="preserve">АГТ </w:t>
      </w:r>
      <w:r>
        <w:rPr>
          <w:rFonts w:ascii="Arial" w:cs="Arial" w:eastAsia="Arial" w:hAnsi="Arial"/>
          <w:sz w:val="27"/>
          <w:szCs w:val="27"/>
          <w:color w:val="auto"/>
        </w:rPr>
        <w:t>—</w:t>
      </w:r>
      <w:r>
        <w:rPr>
          <w:rFonts w:ascii="Arial" w:cs="Arial" w:eastAsia="Arial" w:hAnsi="Arial"/>
          <w:sz w:val="27"/>
          <w:szCs w:val="27"/>
          <w:color w:val="auto"/>
        </w:rPr>
        <w:t xml:space="preserve"> антигипертензивная лекарственная терапия АГЭ </w:t>
      </w:r>
      <w:r>
        <w:rPr>
          <w:rFonts w:ascii="Arial" w:cs="Arial" w:eastAsia="Arial" w:hAnsi="Arial"/>
          <w:sz w:val="27"/>
          <w:szCs w:val="27"/>
          <w:color w:val="auto"/>
        </w:rPr>
        <w:t>—</w:t>
      </w:r>
      <w:r>
        <w:rPr>
          <w:rFonts w:ascii="Arial" w:cs="Arial" w:eastAsia="Arial" w:hAnsi="Arial"/>
          <w:sz w:val="27"/>
          <w:szCs w:val="27"/>
          <w:color w:val="auto"/>
        </w:rPr>
        <w:t xml:space="preserve"> антигипертензивный эффект</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АД </w:t>
      </w:r>
      <w:r>
        <w:rPr>
          <w:rFonts w:ascii="Arial" w:cs="Arial" w:eastAsia="Arial" w:hAnsi="Arial"/>
          <w:sz w:val="27"/>
          <w:szCs w:val="27"/>
          <w:color w:val="auto"/>
        </w:rPr>
        <w:t>—</w:t>
      </w:r>
      <w:r>
        <w:rPr>
          <w:rFonts w:ascii="Arial" w:cs="Arial" w:eastAsia="Arial" w:hAnsi="Arial"/>
          <w:sz w:val="27"/>
          <w:szCs w:val="27"/>
          <w:color w:val="auto"/>
        </w:rPr>
        <w:t xml:space="preserve"> артериальное давление</w:t>
      </w:r>
    </w:p>
    <w:p>
      <w:pPr>
        <w:spacing w:after="0" w:line="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АИР </w:t>
      </w:r>
      <w:r>
        <w:rPr>
          <w:rFonts w:ascii="Arial" w:cs="Arial" w:eastAsia="Arial" w:hAnsi="Arial"/>
          <w:sz w:val="27"/>
          <w:szCs w:val="27"/>
          <w:color w:val="auto"/>
        </w:rPr>
        <w:t>—</w:t>
      </w:r>
      <w:r>
        <w:rPr>
          <w:rFonts w:ascii="Arial" w:cs="Arial" w:eastAsia="Arial" w:hAnsi="Arial"/>
          <w:sz w:val="27"/>
          <w:szCs w:val="27"/>
          <w:color w:val="auto"/>
        </w:rPr>
        <w:t xml:space="preserve"> агонисты имидазолиновых рецепторов</w:t>
      </w:r>
      <w:r>
        <w:rPr>
          <w:rFonts w:ascii="Lucida Sans Unicode" w:cs="Lucida Sans Unicode" w:eastAsia="Lucida Sans Unicode" w:hAnsi="Lucida Sans Unicode"/>
          <w:sz w:val="27"/>
          <w:szCs w:val="27"/>
          <w:color w:val="auto"/>
        </w:rPr>
        <w:t> </w:t>
      </w:r>
    </w:p>
    <w:p>
      <w:pPr>
        <w:spacing w:after="0" w:line="273"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АК </w:t>
      </w:r>
      <w:r>
        <w:rPr>
          <w:rFonts w:ascii="Arial" w:cs="Arial" w:eastAsia="Arial" w:hAnsi="Arial"/>
          <w:sz w:val="27"/>
          <w:szCs w:val="27"/>
          <w:color w:val="auto"/>
        </w:rPr>
        <w:t>—</w:t>
      </w:r>
      <w:r>
        <w:rPr>
          <w:rFonts w:ascii="Arial" w:cs="Arial" w:eastAsia="Arial" w:hAnsi="Arial"/>
          <w:sz w:val="27"/>
          <w:szCs w:val="27"/>
          <w:color w:val="auto"/>
        </w:rPr>
        <w:t xml:space="preserve"> антагонисты кальция </w:t>
      </w:r>
      <w:r>
        <w:rPr>
          <w:rFonts w:ascii="Arial" w:cs="Arial" w:eastAsia="Arial" w:hAnsi="Arial"/>
          <w:sz w:val="27"/>
          <w:szCs w:val="27"/>
          <w:color w:val="auto"/>
        </w:rPr>
        <w:t>(</w:t>
      </w:r>
      <w:r>
        <w:rPr>
          <w:rFonts w:ascii="Arial" w:cs="Arial" w:eastAsia="Arial" w:hAnsi="Arial"/>
          <w:sz w:val="27"/>
          <w:szCs w:val="27"/>
          <w:color w:val="auto"/>
        </w:rPr>
        <w:t>блокаторы кальциевых каналов</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АКС </w:t>
      </w:r>
      <w:r>
        <w:rPr>
          <w:rFonts w:ascii="Arial" w:cs="Arial" w:eastAsia="Arial" w:hAnsi="Arial"/>
          <w:sz w:val="27"/>
          <w:szCs w:val="27"/>
          <w:color w:val="auto"/>
        </w:rPr>
        <w:t>—</w:t>
      </w:r>
      <w:r>
        <w:rPr>
          <w:rFonts w:ascii="Arial" w:cs="Arial" w:eastAsia="Arial" w:hAnsi="Arial"/>
          <w:sz w:val="27"/>
          <w:szCs w:val="27"/>
          <w:color w:val="auto"/>
        </w:rPr>
        <w:t xml:space="preserve"> ассоциированное клиническое состояние</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АЛТ </w:t>
      </w:r>
      <w:r>
        <w:rPr>
          <w:rFonts w:ascii="Arial" w:cs="Arial" w:eastAsia="Arial" w:hAnsi="Arial"/>
          <w:sz w:val="27"/>
          <w:szCs w:val="27"/>
          <w:color w:val="auto"/>
        </w:rPr>
        <w:t>—</w:t>
      </w:r>
      <w:r>
        <w:rPr>
          <w:rFonts w:ascii="Arial" w:cs="Arial" w:eastAsia="Arial" w:hAnsi="Arial"/>
          <w:sz w:val="27"/>
          <w:szCs w:val="27"/>
          <w:color w:val="auto"/>
        </w:rPr>
        <w:t xml:space="preserve"> аланинаминотрансфераза</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АМКР </w:t>
      </w:r>
      <w:r>
        <w:rPr>
          <w:rFonts w:ascii="Arial" w:cs="Arial" w:eastAsia="Arial" w:hAnsi="Arial"/>
          <w:sz w:val="27"/>
          <w:szCs w:val="27"/>
          <w:color w:val="auto"/>
        </w:rPr>
        <w:t>—</w:t>
      </w:r>
      <w:r>
        <w:rPr>
          <w:rFonts w:ascii="Arial" w:cs="Arial" w:eastAsia="Arial" w:hAnsi="Arial"/>
          <w:sz w:val="27"/>
          <w:szCs w:val="27"/>
          <w:color w:val="auto"/>
        </w:rPr>
        <w:t xml:space="preserve"> антагонисты минералокортикоидных рецепторов</w:t>
      </w:r>
    </w:p>
    <w:p>
      <w:pPr>
        <w:spacing w:after="0" w:line="322" w:lineRule="exact"/>
        <w:rPr>
          <w:sz w:val="20"/>
          <w:szCs w:val="20"/>
          <w:color w:val="auto"/>
        </w:rPr>
      </w:pPr>
    </w:p>
    <w:p>
      <w:pPr>
        <w:ind w:left="360" w:right="2720"/>
        <w:spacing w:after="0" w:line="407" w:lineRule="auto"/>
        <w:rPr>
          <w:sz w:val="20"/>
          <w:szCs w:val="20"/>
          <w:color w:val="auto"/>
        </w:rPr>
      </w:pPr>
      <w:r>
        <w:rPr>
          <w:rFonts w:ascii="Arial" w:cs="Arial" w:eastAsia="Arial" w:hAnsi="Arial"/>
          <w:sz w:val="27"/>
          <w:szCs w:val="27"/>
          <w:color w:val="auto"/>
        </w:rPr>
        <w:t xml:space="preserve">АПФ </w:t>
      </w:r>
      <w:r>
        <w:rPr>
          <w:rFonts w:ascii="Arial" w:cs="Arial" w:eastAsia="Arial" w:hAnsi="Arial"/>
          <w:sz w:val="27"/>
          <w:szCs w:val="27"/>
          <w:color w:val="auto"/>
        </w:rPr>
        <w:t>—</w:t>
      </w:r>
      <w:r>
        <w:rPr>
          <w:rFonts w:ascii="Arial" w:cs="Arial" w:eastAsia="Arial" w:hAnsi="Arial"/>
          <w:sz w:val="27"/>
          <w:szCs w:val="27"/>
          <w:color w:val="auto"/>
        </w:rPr>
        <w:t xml:space="preserve"> ангиотензинпревращающий фермент</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АСТ </w:t>
      </w:r>
      <w:r>
        <w:rPr>
          <w:rFonts w:ascii="Arial" w:cs="Arial" w:eastAsia="Arial" w:hAnsi="Arial"/>
          <w:sz w:val="27"/>
          <w:szCs w:val="27"/>
          <w:color w:val="auto"/>
        </w:rPr>
        <w:t>—</w:t>
      </w:r>
      <w:r>
        <w:rPr>
          <w:rFonts w:ascii="Arial" w:cs="Arial" w:eastAsia="Arial" w:hAnsi="Arial"/>
          <w:sz w:val="27"/>
          <w:szCs w:val="27"/>
          <w:color w:val="auto"/>
        </w:rPr>
        <w:t xml:space="preserve"> аспартатаминотрансфераза</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БА </w:t>
      </w:r>
      <w:r>
        <w:rPr>
          <w:rFonts w:ascii="Arial" w:cs="Arial" w:eastAsia="Arial" w:hAnsi="Arial"/>
          <w:sz w:val="27"/>
          <w:szCs w:val="27"/>
          <w:color w:val="auto"/>
        </w:rPr>
        <w:t>—</w:t>
      </w:r>
      <w:r>
        <w:rPr>
          <w:rFonts w:ascii="Arial" w:cs="Arial" w:eastAsia="Arial" w:hAnsi="Arial"/>
          <w:sz w:val="27"/>
          <w:szCs w:val="27"/>
          <w:color w:val="auto"/>
        </w:rPr>
        <w:t xml:space="preserve"> бронхиальная астма</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ББ </w:t>
      </w:r>
      <w:r>
        <w:rPr>
          <w:rFonts w:ascii="Arial" w:cs="Arial" w:eastAsia="Arial" w:hAnsi="Arial"/>
          <w:sz w:val="27"/>
          <w:szCs w:val="27"/>
          <w:color w:val="auto"/>
        </w:rPr>
        <w:t>—</w:t>
      </w:r>
      <w:r>
        <w:rPr>
          <w:rFonts w:ascii="Arial" w:cs="Arial" w:eastAsia="Arial" w:hAnsi="Arial"/>
          <w:sz w:val="27"/>
          <w:szCs w:val="27"/>
          <w:color w:val="auto"/>
        </w:rPr>
        <w:t xml:space="preserve"> бета</w:t>
      </w:r>
      <w:r>
        <w:rPr>
          <w:rFonts w:ascii="Arial" w:cs="Arial" w:eastAsia="Arial" w:hAnsi="Arial"/>
          <w:sz w:val="27"/>
          <w:szCs w:val="27"/>
          <w:color w:val="auto"/>
        </w:rPr>
        <w:t>-</w:t>
      </w:r>
      <w:r>
        <w:rPr>
          <w:rFonts w:ascii="Arial" w:cs="Arial" w:eastAsia="Arial" w:hAnsi="Arial"/>
          <w:sz w:val="27"/>
          <w:szCs w:val="27"/>
          <w:color w:val="auto"/>
        </w:rPr>
        <w:t>адреноблокатор</w:t>
      </w:r>
    </w:p>
    <w:p>
      <w:pPr>
        <w:spacing w:after="0" w:line="4" w:lineRule="exact"/>
        <w:rPr>
          <w:sz w:val="20"/>
          <w:szCs w:val="20"/>
          <w:color w:val="auto"/>
        </w:rPr>
      </w:pPr>
    </w:p>
    <w:p>
      <w:pPr>
        <w:ind w:left="360" w:right="3120"/>
        <w:spacing w:after="0" w:line="381" w:lineRule="auto"/>
        <w:rPr>
          <w:sz w:val="20"/>
          <w:szCs w:val="20"/>
          <w:color w:val="auto"/>
        </w:rPr>
      </w:pPr>
      <w:r>
        <w:rPr>
          <w:rFonts w:ascii="Arial" w:cs="Arial" w:eastAsia="Arial" w:hAnsi="Arial"/>
          <w:sz w:val="27"/>
          <w:szCs w:val="27"/>
          <w:color w:val="auto"/>
        </w:rPr>
        <w:t xml:space="preserve">БРА </w:t>
      </w:r>
      <w:r>
        <w:rPr>
          <w:rFonts w:ascii="Arial" w:cs="Arial" w:eastAsia="Arial" w:hAnsi="Arial"/>
          <w:sz w:val="27"/>
          <w:szCs w:val="27"/>
          <w:color w:val="auto"/>
        </w:rPr>
        <w:t>—</w:t>
      </w:r>
      <w:r>
        <w:rPr>
          <w:rFonts w:ascii="Arial" w:cs="Arial" w:eastAsia="Arial" w:hAnsi="Arial"/>
          <w:sz w:val="27"/>
          <w:szCs w:val="27"/>
          <w:color w:val="auto"/>
        </w:rPr>
        <w:t xml:space="preserve"> блокатор рецепторов ангиотензина</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БСК </w:t>
      </w:r>
      <w:r>
        <w:rPr>
          <w:rFonts w:ascii="Arial" w:cs="Arial" w:eastAsia="Arial" w:hAnsi="Arial"/>
          <w:sz w:val="27"/>
          <w:szCs w:val="27"/>
          <w:color w:val="auto"/>
        </w:rPr>
        <w:t>—</w:t>
      </w:r>
      <w:r>
        <w:rPr>
          <w:rFonts w:ascii="Arial" w:cs="Arial" w:eastAsia="Arial" w:hAnsi="Arial"/>
          <w:sz w:val="27"/>
          <w:szCs w:val="27"/>
          <w:color w:val="auto"/>
        </w:rPr>
        <w:t xml:space="preserve"> болезни системы кровообращения</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ГБ </w:t>
      </w:r>
      <w:r>
        <w:rPr>
          <w:rFonts w:ascii="Arial" w:cs="Arial" w:eastAsia="Arial" w:hAnsi="Arial"/>
          <w:sz w:val="27"/>
          <w:szCs w:val="27"/>
          <w:color w:val="auto"/>
        </w:rPr>
        <w:t>—</w:t>
      </w:r>
      <w:r>
        <w:rPr>
          <w:rFonts w:ascii="Arial" w:cs="Arial" w:eastAsia="Arial" w:hAnsi="Arial"/>
          <w:sz w:val="27"/>
          <w:szCs w:val="27"/>
          <w:color w:val="auto"/>
        </w:rPr>
        <w:t xml:space="preserve"> гипертоническая болезнь</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ГК </w:t>
      </w:r>
      <w:r>
        <w:rPr>
          <w:rFonts w:ascii="Arial" w:cs="Arial" w:eastAsia="Arial" w:hAnsi="Arial"/>
          <w:sz w:val="27"/>
          <w:szCs w:val="27"/>
          <w:color w:val="auto"/>
        </w:rPr>
        <w:t>—</w:t>
      </w:r>
      <w:r>
        <w:rPr>
          <w:rFonts w:ascii="Arial" w:cs="Arial" w:eastAsia="Arial" w:hAnsi="Arial"/>
          <w:sz w:val="27"/>
          <w:szCs w:val="27"/>
          <w:color w:val="auto"/>
        </w:rPr>
        <w:t xml:space="preserve"> гипертонический криз</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ГКС </w:t>
      </w:r>
      <w:r>
        <w:rPr>
          <w:rFonts w:ascii="Arial" w:cs="Arial" w:eastAsia="Arial" w:hAnsi="Arial"/>
          <w:sz w:val="27"/>
          <w:szCs w:val="27"/>
          <w:color w:val="auto"/>
        </w:rPr>
        <w:t>—</w:t>
      </w:r>
      <w:r>
        <w:rPr>
          <w:rFonts w:ascii="Arial" w:cs="Arial" w:eastAsia="Arial" w:hAnsi="Arial"/>
          <w:sz w:val="27"/>
          <w:szCs w:val="27"/>
          <w:color w:val="auto"/>
        </w:rPr>
        <w:t xml:space="preserve"> глюкокортикостероиды</w:t>
      </w:r>
      <w:r>
        <w:rPr>
          <w:rFonts w:ascii="Lucida Sans Unicode" w:cs="Lucida Sans Unicode" w:eastAsia="Lucida Sans Unicode" w:hAnsi="Lucida Sans Unicode"/>
          <w:sz w:val="27"/>
          <w:szCs w:val="27"/>
          <w:color w:val="auto"/>
        </w:rPr>
        <w:t> </w:t>
      </w:r>
    </w:p>
    <w:p>
      <w:pPr>
        <w:spacing w:after="0" w:line="8"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ГЛЖ </w:t>
      </w:r>
      <w:r>
        <w:rPr>
          <w:rFonts w:ascii="Arial" w:cs="Arial" w:eastAsia="Arial" w:hAnsi="Arial"/>
          <w:sz w:val="27"/>
          <w:szCs w:val="27"/>
          <w:color w:val="auto"/>
        </w:rPr>
        <w:t>—</w:t>
      </w:r>
      <w:r>
        <w:rPr>
          <w:rFonts w:ascii="Arial" w:cs="Arial" w:eastAsia="Arial" w:hAnsi="Arial"/>
          <w:sz w:val="27"/>
          <w:szCs w:val="27"/>
          <w:color w:val="auto"/>
        </w:rPr>
        <w:t xml:space="preserve"> гипертрофия левого желудочка</w:t>
      </w:r>
      <w:r>
        <w:rPr>
          <w:rFonts w:ascii="Lucida Sans Unicode" w:cs="Lucida Sans Unicode" w:eastAsia="Lucida Sans Unicode" w:hAnsi="Lucida Sans Unicode"/>
          <w:sz w:val="27"/>
          <w:szCs w:val="27"/>
          <w:color w:val="auto"/>
        </w:rPr>
        <w:t> </w:t>
      </w:r>
    </w:p>
    <w:p>
      <w:pPr>
        <w:spacing w:after="0" w:line="273"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ДАД </w:t>
      </w:r>
      <w:r>
        <w:rPr>
          <w:rFonts w:ascii="Arial" w:cs="Arial" w:eastAsia="Arial" w:hAnsi="Arial"/>
          <w:sz w:val="27"/>
          <w:szCs w:val="27"/>
          <w:color w:val="auto"/>
        </w:rPr>
        <w:t>—</w:t>
      </w:r>
      <w:r>
        <w:rPr>
          <w:rFonts w:ascii="Arial" w:cs="Arial" w:eastAsia="Arial" w:hAnsi="Arial"/>
          <w:sz w:val="27"/>
          <w:szCs w:val="27"/>
          <w:color w:val="auto"/>
        </w:rPr>
        <w:t xml:space="preserve"> диастолическое артериальное давление</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6"/>
          <w:szCs w:val="26"/>
          <w:color w:val="auto"/>
        </w:rPr>
        <w:t xml:space="preserve">ДМАД </w:t>
      </w:r>
      <w:r>
        <w:rPr>
          <w:rFonts w:ascii="Arial" w:cs="Arial" w:eastAsia="Arial" w:hAnsi="Arial"/>
          <w:sz w:val="26"/>
          <w:szCs w:val="26"/>
          <w:color w:val="auto"/>
        </w:rPr>
        <w:t>—</w:t>
      </w:r>
      <w:r>
        <w:rPr>
          <w:rFonts w:ascii="Arial" w:cs="Arial" w:eastAsia="Arial" w:hAnsi="Arial"/>
          <w:sz w:val="26"/>
          <w:szCs w:val="26"/>
          <w:color w:val="auto"/>
        </w:rPr>
        <w:t xml:space="preserve"> домашнее мониторирование артериального давления</w:t>
      </w:r>
    </w:p>
    <w:p>
      <w:pPr>
        <w:sectPr>
          <w:pgSz w:w="11900" w:h="16840" w:orient="portrait"/>
          <w:cols w:equalWidth="0" w:num="1">
            <w:col w:w="9020"/>
          </w:cols>
          <w:pgMar w:left="1440" w:top="671" w:right="1440" w:bottom="411" w:gutter="0" w:footer="0" w:header="0"/>
        </w:sectPr>
      </w:pPr>
    </w:p>
    <w:bookmarkStart w:id="5" w:name="page6"/>
    <w:bookmarkEnd w:id="5"/>
    <w:p>
      <w:pPr>
        <w:spacing w:after="0" w:line="15"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ЕОК</w:t>
      </w:r>
      <w:r>
        <w:rPr>
          <w:rFonts w:ascii="Arial" w:cs="Arial" w:eastAsia="Arial" w:hAnsi="Arial"/>
          <w:sz w:val="27"/>
          <w:szCs w:val="27"/>
          <w:color w:val="auto"/>
        </w:rPr>
        <w:t>/</w:t>
      </w:r>
      <w:r>
        <w:rPr>
          <w:rFonts w:ascii="Arial" w:cs="Arial" w:eastAsia="Arial" w:hAnsi="Arial"/>
          <w:sz w:val="27"/>
          <w:szCs w:val="27"/>
          <w:color w:val="auto"/>
        </w:rPr>
        <w:t xml:space="preserve">ЕОАГ </w:t>
      </w:r>
      <w:r>
        <w:rPr>
          <w:rFonts w:ascii="Arial" w:cs="Arial" w:eastAsia="Arial" w:hAnsi="Arial"/>
          <w:sz w:val="27"/>
          <w:szCs w:val="27"/>
          <w:color w:val="auto"/>
        </w:rPr>
        <w:t>—</w:t>
      </w:r>
      <w:r>
        <w:rPr>
          <w:rFonts w:ascii="Arial" w:cs="Arial" w:eastAsia="Arial" w:hAnsi="Arial"/>
          <w:sz w:val="27"/>
          <w:szCs w:val="27"/>
          <w:color w:val="auto"/>
        </w:rPr>
        <w:t xml:space="preserve"> Европейское общество кардиологов</w:t>
      </w:r>
      <w:r>
        <w:rPr>
          <w:rFonts w:ascii="Arial" w:cs="Arial" w:eastAsia="Arial" w:hAnsi="Arial"/>
          <w:sz w:val="27"/>
          <w:szCs w:val="27"/>
          <w:color w:val="auto"/>
        </w:rPr>
        <w:t>/</w:t>
      </w:r>
      <w:r>
        <w:rPr>
          <w:rFonts w:ascii="Arial" w:cs="Arial" w:eastAsia="Arial" w:hAnsi="Arial"/>
          <w:sz w:val="27"/>
          <w:szCs w:val="27"/>
          <w:color w:val="auto"/>
        </w:rPr>
        <w:t>Европейское общество артериальной гипертонии</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ИААГ </w:t>
      </w:r>
      <w:r>
        <w:rPr>
          <w:rFonts w:ascii="Arial" w:cs="Arial" w:eastAsia="Arial" w:hAnsi="Arial"/>
          <w:sz w:val="27"/>
          <w:szCs w:val="27"/>
          <w:color w:val="auto"/>
        </w:rPr>
        <w:t>—</w:t>
      </w:r>
      <w:r>
        <w:rPr>
          <w:rFonts w:ascii="Arial" w:cs="Arial" w:eastAsia="Arial" w:hAnsi="Arial"/>
          <w:sz w:val="27"/>
          <w:szCs w:val="27"/>
          <w:color w:val="auto"/>
        </w:rPr>
        <w:t xml:space="preserve"> изолированная амбулаторная артериальная гипертензия</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ИАПФ </w:t>
      </w:r>
      <w:r>
        <w:rPr>
          <w:rFonts w:ascii="Arial" w:cs="Arial" w:eastAsia="Arial" w:hAnsi="Arial"/>
          <w:sz w:val="27"/>
          <w:szCs w:val="27"/>
          <w:color w:val="auto"/>
        </w:rPr>
        <w:t>—</w:t>
      </w:r>
      <w:r>
        <w:rPr>
          <w:rFonts w:ascii="Arial" w:cs="Arial" w:eastAsia="Arial" w:hAnsi="Arial"/>
          <w:sz w:val="27"/>
          <w:szCs w:val="27"/>
          <w:color w:val="auto"/>
        </w:rPr>
        <w:t xml:space="preserve"> ингибитор ангиотензинпревращающего фермента</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ИБС </w:t>
      </w:r>
      <w:r>
        <w:rPr>
          <w:rFonts w:ascii="Arial" w:cs="Arial" w:eastAsia="Arial" w:hAnsi="Arial"/>
          <w:sz w:val="27"/>
          <w:szCs w:val="27"/>
          <w:color w:val="auto"/>
        </w:rPr>
        <w:t>—</w:t>
      </w:r>
      <w:r>
        <w:rPr>
          <w:rFonts w:ascii="Arial" w:cs="Arial" w:eastAsia="Arial" w:hAnsi="Arial"/>
          <w:sz w:val="27"/>
          <w:szCs w:val="27"/>
          <w:color w:val="auto"/>
        </w:rPr>
        <w:t xml:space="preserve"> ишемическая болезнь сердца</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ИММЛЖ </w:t>
      </w:r>
      <w:r>
        <w:rPr>
          <w:rFonts w:ascii="Arial" w:cs="Arial" w:eastAsia="Arial" w:hAnsi="Arial"/>
          <w:sz w:val="27"/>
          <w:szCs w:val="27"/>
          <w:color w:val="auto"/>
        </w:rPr>
        <w:t>—</w:t>
      </w:r>
      <w:r>
        <w:rPr>
          <w:rFonts w:ascii="Arial" w:cs="Arial" w:eastAsia="Arial" w:hAnsi="Arial"/>
          <w:sz w:val="27"/>
          <w:szCs w:val="27"/>
          <w:color w:val="auto"/>
        </w:rPr>
        <w:t xml:space="preserve"> индекс массы миокарда левого желудочка</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ИМТ </w:t>
      </w:r>
      <w:r>
        <w:rPr>
          <w:rFonts w:ascii="Arial" w:cs="Arial" w:eastAsia="Arial" w:hAnsi="Arial"/>
          <w:sz w:val="27"/>
          <w:szCs w:val="27"/>
          <w:color w:val="auto"/>
        </w:rPr>
        <w:t>—</w:t>
      </w:r>
      <w:r>
        <w:rPr>
          <w:rFonts w:ascii="Arial" w:cs="Arial" w:eastAsia="Arial" w:hAnsi="Arial"/>
          <w:sz w:val="27"/>
          <w:szCs w:val="27"/>
          <w:color w:val="auto"/>
        </w:rPr>
        <w:t xml:space="preserve"> индекс массы тела</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ИСАГ </w:t>
      </w:r>
      <w:r>
        <w:rPr>
          <w:rFonts w:ascii="Arial" w:cs="Arial" w:eastAsia="Arial" w:hAnsi="Arial"/>
          <w:sz w:val="27"/>
          <w:szCs w:val="27"/>
          <w:color w:val="auto"/>
        </w:rPr>
        <w:t>—</w:t>
      </w:r>
      <w:r>
        <w:rPr>
          <w:rFonts w:ascii="Arial" w:cs="Arial" w:eastAsia="Arial" w:hAnsi="Arial"/>
          <w:sz w:val="27"/>
          <w:szCs w:val="27"/>
          <w:color w:val="auto"/>
        </w:rPr>
        <w:t xml:space="preserve"> изолированная систолическая артериальная гипертензия</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КТ </w:t>
      </w:r>
      <w:r>
        <w:rPr>
          <w:rFonts w:ascii="Arial" w:cs="Arial" w:eastAsia="Arial" w:hAnsi="Arial"/>
          <w:sz w:val="27"/>
          <w:szCs w:val="27"/>
          <w:color w:val="auto"/>
        </w:rPr>
        <w:t>—</w:t>
      </w:r>
      <w:r>
        <w:rPr>
          <w:rFonts w:ascii="Arial" w:cs="Arial" w:eastAsia="Arial" w:hAnsi="Arial"/>
          <w:sz w:val="27"/>
          <w:szCs w:val="27"/>
          <w:color w:val="auto"/>
        </w:rPr>
        <w:t xml:space="preserve"> компьютерная томография</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ЛЖ </w:t>
      </w:r>
      <w:r>
        <w:rPr>
          <w:rFonts w:ascii="Arial" w:cs="Arial" w:eastAsia="Arial" w:hAnsi="Arial"/>
          <w:sz w:val="27"/>
          <w:szCs w:val="27"/>
          <w:color w:val="auto"/>
        </w:rPr>
        <w:t>—</w:t>
      </w:r>
      <w:r>
        <w:rPr>
          <w:rFonts w:ascii="Arial" w:cs="Arial" w:eastAsia="Arial" w:hAnsi="Arial"/>
          <w:sz w:val="27"/>
          <w:szCs w:val="27"/>
          <w:color w:val="auto"/>
        </w:rPr>
        <w:t xml:space="preserve"> левый желудочек</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ЛП </w:t>
      </w:r>
      <w:r>
        <w:rPr>
          <w:rFonts w:ascii="Arial" w:cs="Arial" w:eastAsia="Arial" w:hAnsi="Arial"/>
          <w:sz w:val="27"/>
          <w:szCs w:val="27"/>
          <w:color w:val="auto"/>
        </w:rPr>
        <w:t>—</w:t>
      </w:r>
      <w:r>
        <w:rPr>
          <w:rFonts w:ascii="Arial" w:cs="Arial" w:eastAsia="Arial" w:hAnsi="Arial"/>
          <w:sz w:val="27"/>
          <w:szCs w:val="27"/>
          <w:color w:val="auto"/>
        </w:rPr>
        <w:t xml:space="preserve"> левое предсердие</w:t>
      </w:r>
      <w:r>
        <w:rPr>
          <w:rFonts w:ascii="Lucida Sans Unicode" w:cs="Lucida Sans Unicode" w:eastAsia="Lucida Sans Unicode" w:hAnsi="Lucida Sans Unicode"/>
          <w:sz w:val="27"/>
          <w:szCs w:val="27"/>
          <w:color w:val="auto"/>
        </w:rPr>
        <w:t> </w:t>
      </w:r>
    </w:p>
    <w:p>
      <w:pPr>
        <w:spacing w:after="0" w:line="2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ЛПИ </w:t>
      </w:r>
      <w:r>
        <w:rPr>
          <w:rFonts w:ascii="Arial" w:cs="Arial" w:eastAsia="Arial" w:hAnsi="Arial"/>
          <w:sz w:val="27"/>
          <w:szCs w:val="27"/>
          <w:color w:val="auto"/>
        </w:rPr>
        <w:t>—</w:t>
      </w:r>
      <w:r>
        <w:rPr>
          <w:rFonts w:ascii="Arial" w:cs="Arial" w:eastAsia="Arial" w:hAnsi="Arial"/>
          <w:sz w:val="27"/>
          <w:szCs w:val="27"/>
          <w:color w:val="auto"/>
        </w:rPr>
        <w:t xml:space="preserve"> лодыжечно</w:t>
      </w:r>
      <w:r>
        <w:rPr>
          <w:rFonts w:ascii="Arial" w:cs="Arial" w:eastAsia="Arial" w:hAnsi="Arial"/>
          <w:sz w:val="27"/>
          <w:szCs w:val="27"/>
          <w:color w:val="auto"/>
        </w:rPr>
        <w:t>-</w:t>
      </w:r>
      <w:r>
        <w:rPr>
          <w:rFonts w:ascii="Arial" w:cs="Arial" w:eastAsia="Arial" w:hAnsi="Arial"/>
          <w:sz w:val="27"/>
          <w:szCs w:val="27"/>
          <w:color w:val="auto"/>
        </w:rPr>
        <w:t>плечевой индекс</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МРТ </w:t>
      </w:r>
      <w:r>
        <w:rPr>
          <w:rFonts w:ascii="Arial" w:cs="Arial" w:eastAsia="Arial" w:hAnsi="Arial"/>
          <w:sz w:val="27"/>
          <w:szCs w:val="27"/>
          <w:color w:val="auto"/>
        </w:rPr>
        <w:t>—</w:t>
      </w:r>
      <w:r>
        <w:rPr>
          <w:rFonts w:ascii="Arial" w:cs="Arial" w:eastAsia="Arial" w:hAnsi="Arial"/>
          <w:sz w:val="27"/>
          <w:szCs w:val="27"/>
          <w:color w:val="auto"/>
        </w:rPr>
        <w:t xml:space="preserve"> магнитно</w:t>
      </w:r>
      <w:r>
        <w:rPr>
          <w:rFonts w:ascii="Arial" w:cs="Arial" w:eastAsia="Arial" w:hAnsi="Arial"/>
          <w:sz w:val="27"/>
          <w:szCs w:val="27"/>
          <w:color w:val="auto"/>
        </w:rPr>
        <w:t>-</w:t>
      </w:r>
      <w:r>
        <w:rPr>
          <w:rFonts w:ascii="Arial" w:cs="Arial" w:eastAsia="Arial" w:hAnsi="Arial"/>
          <w:sz w:val="27"/>
          <w:szCs w:val="27"/>
          <w:color w:val="auto"/>
        </w:rPr>
        <w:t>резонансная томография</w:t>
      </w:r>
      <w:r>
        <w:rPr>
          <w:rFonts w:ascii="Lucida Sans Unicode" w:cs="Lucida Sans Unicode" w:eastAsia="Lucida Sans Unicode" w:hAnsi="Lucida Sans Unicode"/>
          <w:sz w:val="27"/>
          <w:szCs w:val="27"/>
          <w:color w:val="auto"/>
        </w:rPr>
        <w:t> </w:t>
      </w:r>
    </w:p>
    <w:p>
      <w:pPr>
        <w:spacing w:after="0" w:line="257"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МС </w:t>
      </w:r>
      <w:r>
        <w:rPr>
          <w:rFonts w:ascii="Arial" w:cs="Arial" w:eastAsia="Arial" w:hAnsi="Arial"/>
          <w:sz w:val="27"/>
          <w:szCs w:val="27"/>
          <w:color w:val="auto"/>
        </w:rPr>
        <w:t>—</w:t>
      </w:r>
      <w:r>
        <w:rPr>
          <w:rFonts w:ascii="Arial" w:cs="Arial" w:eastAsia="Arial" w:hAnsi="Arial"/>
          <w:sz w:val="27"/>
          <w:szCs w:val="27"/>
          <w:color w:val="auto"/>
        </w:rPr>
        <w:t xml:space="preserve"> метаболический синдром</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НТГ </w:t>
      </w:r>
      <w:r>
        <w:rPr>
          <w:rFonts w:ascii="Arial" w:cs="Arial" w:eastAsia="Arial" w:hAnsi="Arial"/>
          <w:sz w:val="27"/>
          <w:szCs w:val="27"/>
          <w:color w:val="auto"/>
        </w:rPr>
        <w:t>—</w:t>
      </w:r>
      <w:r>
        <w:rPr>
          <w:rFonts w:ascii="Arial" w:cs="Arial" w:eastAsia="Arial" w:hAnsi="Arial"/>
          <w:sz w:val="27"/>
          <w:szCs w:val="27"/>
          <w:color w:val="auto"/>
        </w:rPr>
        <w:t xml:space="preserve"> нарушенная толерантность к глюкозе</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ОК </w:t>
      </w:r>
      <w:r>
        <w:rPr>
          <w:rFonts w:ascii="Arial" w:cs="Arial" w:eastAsia="Arial" w:hAnsi="Arial"/>
          <w:sz w:val="27"/>
          <w:szCs w:val="27"/>
          <w:color w:val="auto"/>
        </w:rPr>
        <w:t>—</w:t>
      </w:r>
      <w:r>
        <w:rPr>
          <w:rFonts w:ascii="Arial" w:cs="Arial" w:eastAsia="Arial" w:hAnsi="Arial"/>
          <w:sz w:val="27"/>
          <w:szCs w:val="27"/>
          <w:color w:val="auto"/>
        </w:rPr>
        <w:t xml:space="preserve"> оральные контрацептивы</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ОКС </w:t>
      </w:r>
      <w:r>
        <w:rPr>
          <w:rFonts w:ascii="Arial" w:cs="Arial" w:eastAsia="Arial" w:hAnsi="Arial"/>
          <w:sz w:val="27"/>
          <w:szCs w:val="27"/>
          <w:color w:val="auto"/>
        </w:rPr>
        <w:t>—</w:t>
      </w:r>
      <w:r>
        <w:rPr>
          <w:rFonts w:ascii="Arial" w:cs="Arial" w:eastAsia="Arial" w:hAnsi="Arial"/>
          <w:sz w:val="27"/>
          <w:szCs w:val="27"/>
          <w:color w:val="auto"/>
        </w:rPr>
        <w:t xml:space="preserve"> острый коронарный синдром</w:t>
      </w:r>
    </w:p>
    <w:p>
      <w:pPr>
        <w:spacing w:after="0" w:line="32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ОПСС </w:t>
      </w:r>
      <w:r>
        <w:rPr>
          <w:rFonts w:ascii="Arial" w:cs="Arial" w:eastAsia="Arial" w:hAnsi="Arial"/>
          <w:sz w:val="27"/>
          <w:szCs w:val="27"/>
          <w:color w:val="auto"/>
        </w:rPr>
        <w:t>—</w:t>
      </w:r>
      <w:r>
        <w:rPr>
          <w:rFonts w:ascii="Arial" w:cs="Arial" w:eastAsia="Arial" w:hAnsi="Arial"/>
          <w:sz w:val="27"/>
          <w:szCs w:val="27"/>
          <w:color w:val="auto"/>
        </w:rPr>
        <w:t xml:space="preserve"> общее периферическое сосудистое сопротивление </w:t>
      </w:r>
      <w:r>
        <w:rPr>
          <w:rFonts w:ascii="Lucida Sans Unicode" w:cs="Lucida Sans Unicode" w:eastAsia="Lucida Sans Unicode" w:hAnsi="Lucida Sans Unicode"/>
          <w:sz w:val="27"/>
          <w:szCs w:val="27"/>
          <w:color w:val="auto"/>
        </w:rPr>
        <w:t> </w:t>
      </w:r>
    </w:p>
    <w:p>
      <w:pPr>
        <w:spacing w:after="0" w:line="273"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ОХС </w:t>
      </w:r>
      <w:r>
        <w:rPr>
          <w:rFonts w:ascii="Arial" w:cs="Arial" w:eastAsia="Arial" w:hAnsi="Arial"/>
          <w:sz w:val="27"/>
          <w:szCs w:val="27"/>
          <w:color w:val="auto"/>
        </w:rPr>
        <w:t>—</w:t>
      </w:r>
      <w:r>
        <w:rPr>
          <w:rFonts w:ascii="Arial" w:cs="Arial" w:eastAsia="Arial" w:hAnsi="Arial"/>
          <w:sz w:val="27"/>
          <w:szCs w:val="27"/>
          <w:color w:val="auto"/>
        </w:rPr>
        <w:t xml:space="preserve"> общий холестерин</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ОЦК </w:t>
      </w:r>
      <w:r>
        <w:rPr>
          <w:rFonts w:ascii="Arial" w:cs="Arial" w:eastAsia="Arial" w:hAnsi="Arial"/>
          <w:sz w:val="27"/>
          <w:szCs w:val="27"/>
          <w:color w:val="auto"/>
        </w:rPr>
        <w:t>—</w:t>
      </w:r>
      <w:r>
        <w:rPr>
          <w:rFonts w:ascii="Arial" w:cs="Arial" w:eastAsia="Arial" w:hAnsi="Arial"/>
          <w:sz w:val="27"/>
          <w:szCs w:val="27"/>
          <w:color w:val="auto"/>
        </w:rPr>
        <w:t xml:space="preserve"> объем циркулирующей крови</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ПД </w:t>
      </w:r>
      <w:r>
        <w:rPr>
          <w:rFonts w:ascii="Arial" w:cs="Arial" w:eastAsia="Arial" w:hAnsi="Arial"/>
          <w:sz w:val="27"/>
          <w:szCs w:val="27"/>
          <w:color w:val="auto"/>
        </w:rPr>
        <w:t>—</w:t>
      </w:r>
      <w:r>
        <w:rPr>
          <w:rFonts w:ascii="Arial" w:cs="Arial" w:eastAsia="Arial" w:hAnsi="Arial"/>
          <w:sz w:val="27"/>
          <w:szCs w:val="27"/>
          <w:color w:val="auto"/>
        </w:rPr>
        <w:t xml:space="preserve"> пульсовое давление</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ПОМ </w:t>
      </w:r>
      <w:r>
        <w:rPr>
          <w:rFonts w:ascii="Arial" w:cs="Arial" w:eastAsia="Arial" w:hAnsi="Arial"/>
          <w:sz w:val="27"/>
          <w:szCs w:val="27"/>
          <w:color w:val="auto"/>
        </w:rPr>
        <w:t>—</w:t>
      </w:r>
      <w:r>
        <w:rPr>
          <w:rFonts w:ascii="Arial" w:cs="Arial" w:eastAsia="Arial" w:hAnsi="Arial"/>
          <w:sz w:val="27"/>
          <w:szCs w:val="27"/>
          <w:color w:val="auto"/>
        </w:rPr>
        <w:t xml:space="preserve"> поражение органов</w:t>
      </w:r>
      <w:r>
        <w:rPr>
          <w:rFonts w:ascii="Arial" w:cs="Arial" w:eastAsia="Arial" w:hAnsi="Arial"/>
          <w:sz w:val="27"/>
          <w:szCs w:val="27"/>
          <w:color w:val="auto"/>
        </w:rPr>
        <w:t>-</w:t>
      </w:r>
      <w:r>
        <w:rPr>
          <w:rFonts w:ascii="Arial" w:cs="Arial" w:eastAsia="Arial" w:hAnsi="Arial"/>
          <w:sz w:val="27"/>
          <w:szCs w:val="27"/>
          <w:color w:val="auto"/>
        </w:rPr>
        <w:t>мишеней</w:t>
      </w:r>
    </w:p>
    <w:p>
      <w:pPr>
        <w:spacing w:after="0" w:line="32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РААС </w:t>
      </w:r>
      <w:r>
        <w:rPr>
          <w:rFonts w:ascii="Arial" w:cs="Arial" w:eastAsia="Arial" w:hAnsi="Arial"/>
          <w:sz w:val="27"/>
          <w:szCs w:val="27"/>
          <w:color w:val="auto"/>
        </w:rPr>
        <w:t>—</w:t>
      </w:r>
      <w:r>
        <w:rPr>
          <w:rFonts w:ascii="Arial" w:cs="Arial" w:eastAsia="Arial" w:hAnsi="Arial"/>
          <w:sz w:val="27"/>
          <w:szCs w:val="27"/>
          <w:color w:val="auto"/>
        </w:rPr>
        <w:t xml:space="preserve"> ренин</w:t>
      </w:r>
      <w:r>
        <w:rPr>
          <w:rFonts w:ascii="Arial" w:cs="Arial" w:eastAsia="Arial" w:hAnsi="Arial"/>
          <w:sz w:val="27"/>
          <w:szCs w:val="27"/>
          <w:color w:val="auto"/>
        </w:rPr>
        <w:t>-</w:t>
      </w:r>
      <w:r>
        <w:rPr>
          <w:rFonts w:ascii="Arial" w:cs="Arial" w:eastAsia="Arial" w:hAnsi="Arial"/>
          <w:sz w:val="27"/>
          <w:szCs w:val="27"/>
          <w:color w:val="auto"/>
        </w:rPr>
        <w:t>ангиотензин</w:t>
      </w:r>
      <w:r>
        <w:rPr>
          <w:rFonts w:ascii="Arial" w:cs="Arial" w:eastAsia="Arial" w:hAnsi="Arial"/>
          <w:sz w:val="27"/>
          <w:szCs w:val="27"/>
          <w:color w:val="auto"/>
        </w:rPr>
        <w:t>-</w:t>
      </w:r>
      <w:r>
        <w:rPr>
          <w:rFonts w:ascii="Arial" w:cs="Arial" w:eastAsia="Arial" w:hAnsi="Arial"/>
          <w:sz w:val="27"/>
          <w:szCs w:val="27"/>
          <w:color w:val="auto"/>
        </w:rPr>
        <w:t>альдостероновая система</w:t>
      </w:r>
      <w:r>
        <w:rPr>
          <w:rFonts w:ascii="Lucida Sans Unicode" w:cs="Lucida Sans Unicode" w:eastAsia="Lucida Sans Unicode" w:hAnsi="Lucida Sans Unicode"/>
          <w:sz w:val="27"/>
          <w:szCs w:val="27"/>
          <w:color w:val="auto"/>
        </w:rPr>
        <w:t> </w:t>
      </w:r>
    </w:p>
    <w:p>
      <w:pPr>
        <w:spacing w:after="0" w:line="257"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РКИ </w:t>
      </w:r>
      <w:r>
        <w:rPr>
          <w:rFonts w:ascii="Arial" w:cs="Arial" w:eastAsia="Arial" w:hAnsi="Arial"/>
          <w:sz w:val="27"/>
          <w:szCs w:val="27"/>
          <w:color w:val="auto"/>
        </w:rPr>
        <w:t>—</w:t>
      </w:r>
      <w:r>
        <w:rPr>
          <w:rFonts w:ascii="Arial" w:cs="Arial" w:eastAsia="Arial" w:hAnsi="Arial"/>
          <w:sz w:val="27"/>
          <w:szCs w:val="27"/>
          <w:color w:val="auto"/>
        </w:rPr>
        <w:t xml:space="preserve"> рандомизированные клинические исследования</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РФ </w:t>
      </w:r>
      <w:r>
        <w:rPr>
          <w:rFonts w:ascii="Arial" w:cs="Arial" w:eastAsia="Arial" w:hAnsi="Arial"/>
          <w:sz w:val="27"/>
          <w:szCs w:val="27"/>
          <w:color w:val="auto"/>
        </w:rPr>
        <w:t>—</w:t>
      </w:r>
      <w:r>
        <w:rPr>
          <w:rFonts w:ascii="Arial" w:cs="Arial" w:eastAsia="Arial" w:hAnsi="Arial"/>
          <w:sz w:val="27"/>
          <w:szCs w:val="27"/>
          <w:color w:val="auto"/>
        </w:rPr>
        <w:t xml:space="preserve"> Российская Федерация</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САД </w:t>
      </w:r>
      <w:r>
        <w:rPr>
          <w:rFonts w:ascii="Arial" w:cs="Arial" w:eastAsia="Arial" w:hAnsi="Arial"/>
          <w:sz w:val="27"/>
          <w:szCs w:val="27"/>
          <w:color w:val="auto"/>
        </w:rPr>
        <w:t>—</w:t>
      </w:r>
      <w:r>
        <w:rPr>
          <w:rFonts w:ascii="Arial" w:cs="Arial" w:eastAsia="Arial" w:hAnsi="Arial"/>
          <w:sz w:val="27"/>
          <w:szCs w:val="27"/>
          <w:color w:val="auto"/>
        </w:rPr>
        <w:t xml:space="preserve"> систолическое артериальное давление</w:t>
      </w:r>
      <w:r>
        <w:rPr>
          <w:rFonts w:ascii="Lucida Sans Unicode" w:cs="Lucida Sans Unicode" w:eastAsia="Lucida Sans Unicode" w:hAnsi="Lucida Sans Unicode"/>
          <w:sz w:val="27"/>
          <w:szCs w:val="27"/>
          <w:color w:val="auto"/>
        </w:rPr>
        <w:t> </w:t>
      </w:r>
    </w:p>
    <w:p>
      <w:pPr>
        <w:sectPr>
          <w:pgSz w:w="11900" w:h="16855" w:orient="portrait"/>
          <w:cols w:equalWidth="0" w:num="1">
            <w:col w:w="9020"/>
          </w:cols>
          <w:pgMar w:left="1440" w:top="19" w:right="1440" w:bottom="0" w:gutter="0" w:footer="0" w:header="0"/>
        </w:sectPr>
      </w:pPr>
    </w:p>
    <w:bookmarkStart w:id="6" w:name="page7"/>
    <w:bookmarkEnd w:id="6"/>
    <w:p>
      <w:pPr>
        <w:ind w:left="360"/>
        <w:spacing w:after="0"/>
        <w:rPr>
          <w:sz w:val="20"/>
          <w:szCs w:val="20"/>
          <w:color w:val="auto"/>
        </w:rPr>
      </w:pPr>
      <w:r>
        <w:rPr>
          <w:rFonts w:ascii="Arial" w:cs="Arial" w:eastAsia="Arial" w:hAnsi="Arial"/>
          <w:sz w:val="27"/>
          <w:szCs w:val="27"/>
          <w:color w:val="auto"/>
        </w:rPr>
        <w:t xml:space="preserve">САС </w:t>
      </w:r>
      <w:r>
        <w:rPr>
          <w:rFonts w:ascii="Arial" w:cs="Arial" w:eastAsia="Arial" w:hAnsi="Arial"/>
          <w:sz w:val="27"/>
          <w:szCs w:val="27"/>
          <w:color w:val="auto"/>
        </w:rPr>
        <w:t>—</w:t>
      </w:r>
      <w:r>
        <w:rPr>
          <w:rFonts w:ascii="Arial" w:cs="Arial" w:eastAsia="Arial" w:hAnsi="Arial"/>
          <w:sz w:val="27"/>
          <w:szCs w:val="27"/>
          <w:color w:val="auto"/>
        </w:rPr>
        <w:t xml:space="preserve"> симпато</w:t>
      </w:r>
      <w:r>
        <w:rPr>
          <w:rFonts w:ascii="Arial" w:cs="Arial" w:eastAsia="Arial" w:hAnsi="Arial"/>
          <w:sz w:val="27"/>
          <w:szCs w:val="27"/>
          <w:color w:val="auto"/>
        </w:rPr>
        <w:t>-</w:t>
      </w:r>
      <w:r>
        <w:rPr>
          <w:rFonts w:ascii="Arial" w:cs="Arial" w:eastAsia="Arial" w:hAnsi="Arial"/>
          <w:sz w:val="27"/>
          <w:szCs w:val="27"/>
          <w:color w:val="auto"/>
        </w:rPr>
        <w:t>адреналовая система</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СД </w:t>
      </w:r>
      <w:r>
        <w:rPr>
          <w:rFonts w:ascii="Arial" w:cs="Arial" w:eastAsia="Arial" w:hAnsi="Arial"/>
          <w:sz w:val="27"/>
          <w:szCs w:val="27"/>
          <w:color w:val="auto"/>
        </w:rPr>
        <w:t>—</w:t>
      </w:r>
      <w:r>
        <w:rPr>
          <w:rFonts w:ascii="Arial" w:cs="Arial" w:eastAsia="Arial" w:hAnsi="Arial"/>
          <w:sz w:val="27"/>
          <w:szCs w:val="27"/>
          <w:color w:val="auto"/>
        </w:rPr>
        <w:t xml:space="preserve"> сахарный диабет</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СКФ </w:t>
      </w:r>
      <w:r>
        <w:rPr>
          <w:rFonts w:ascii="Arial" w:cs="Arial" w:eastAsia="Arial" w:hAnsi="Arial"/>
          <w:sz w:val="27"/>
          <w:szCs w:val="27"/>
          <w:color w:val="auto"/>
        </w:rPr>
        <w:t>—</w:t>
      </w:r>
      <w:r>
        <w:rPr>
          <w:rFonts w:ascii="Arial" w:cs="Arial" w:eastAsia="Arial" w:hAnsi="Arial"/>
          <w:sz w:val="27"/>
          <w:szCs w:val="27"/>
          <w:color w:val="auto"/>
        </w:rPr>
        <w:t xml:space="preserve"> скорость клубочковой фильтрации</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6"/>
          <w:szCs w:val="26"/>
          <w:color w:val="auto"/>
        </w:rPr>
        <w:t xml:space="preserve">СМАД </w:t>
      </w:r>
      <w:r>
        <w:rPr>
          <w:rFonts w:ascii="Arial" w:cs="Arial" w:eastAsia="Arial" w:hAnsi="Arial"/>
          <w:sz w:val="26"/>
          <w:szCs w:val="26"/>
          <w:color w:val="auto"/>
        </w:rPr>
        <w:t>—</w:t>
      </w:r>
      <w:r>
        <w:rPr>
          <w:rFonts w:ascii="Arial" w:cs="Arial" w:eastAsia="Arial" w:hAnsi="Arial"/>
          <w:sz w:val="26"/>
          <w:szCs w:val="26"/>
          <w:color w:val="auto"/>
        </w:rPr>
        <w:t xml:space="preserve"> суточное мониторирование артериального давления</w:t>
      </w:r>
    </w:p>
    <w:p>
      <w:pPr>
        <w:spacing w:after="0" w:line="3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СНС </w:t>
      </w:r>
      <w:r>
        <w:rPr>
          <w:rFonts w:ascii="Arial" w:cs="Arial" w:eastAsia="Arial" w:hAnsi="Arial"/>
          <w:sz w:val="27"/>
          <w:szCs w:val="27"/>
          <w:color w:val="auto"/>
        </w:rPr>
        <w:t>—</w:t>
      </w:r>
      <w:r>
        <w:rPr>
          <w:rFonts w:ascii="Arial" w:cs="Arial" w:eastAsia="Arial" w:hAnsi="Arial"/>
          <w:sz w:val="27"/>
          <w:szCs w:val="27"/>
          <w:color w:val="auto"/>
        </w:rPr>
        <w:t xml:space="preserve"> симпатическая нервная система</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СОАС </w:t>
      </w:r>
      <w:r>
        <w:rPr>
          <w:rFonts w:ascii="Arial" w:cs="Arial" w:eastAsia="Arial" w:hAnsi="Arial"/>
          <w:sz w:val="27"/>
          <w:szCs w:val="27"/>
          <w:color w:val="auto"/>
        </w:rPr>
        <w:t>—</w:t>
      </w:r>
      <w:r>
        <w:rPr>
          <w:rFonts w:ascii="Arial" w:cs="Arial" w:eastAsia="Arial" w:hAnsi="Arial"/>
          <w:sz w:val="27"/>
          <w:szCs w:val="27"/>
          <w:color w:val="auto"/>
        </w:rPr>
        <w:t xml:space="preserve"> синдром обструктивного апноэ во время сна</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СПВ </w:t>
      </w:r>
      <w:r>
        <w:rPr>
          <w:rFonts w:ascii="Arial" w:cs="Arial" w:eastAsia="Arial" w:hAnsi="Arial"/>
          <w:sz w:val="27"/>
          <w:szCs w:val="27"/>
          <w:color w:val="auto"/>
        </w:rPr>
        <w:t>—</w:t>
      </w:r>
      <w:r>
        <w:rPr>
          <w:rFonts w:ascii="Arial" w:cs="Arial" w:eastAsia="Arial" w:hAnsi="Arial"/>
          <w:sz w:val="27"/>
          <w:szCs w:val="27"/>
          <w:color w:val="auto"/>
        </w:rPr>
        <w:t xml:space="preserve"> скорость пульсовой волны</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СС </w:t>
      </w:r>
      <w:r>
        <w:rPr>
          <w:rFonts w:ascii="Arial" w:cs="Arial" w:eastAsia="Arial" w:hAnsi="Arial"/>
          <w:sz w:val="27"/>
          <w:szCs w:val="27"/>
          <w:color w:val="auto"/>
        </w:rPr>
        <w:t>—</w:t>
      </w:r>
      <w:r>
        <w:rPr>
          <w:rFonts w:ascii="Arial" w:cs="Arial" w:eastAsia="Arial" w:hAnsi="Arial"/>
          <w:sz w:val="27"/>
          <w:szCs w:val="27"/>
          <w:color w:val="auto"/>
        </w:rPr>
        <w:t xml:space="preserve"> сердечно</w:t>
      </w:r>
      <w:r>
        <w:rPr>
          <w:rFonts w:ascii="Arial" w:cs="Arial" w:eastAsia="Arial" w:hAnsi="Arial"/>
          <w:sz w:val="27"/>
          <w:szCs w:val="27"/>
          <w:color w:val="auto"/>
        </w:rPr>
        <w:t>-</w:t>
      </w:r>
      <w:r>
        <w:rPr>
          <w:rFonts w:ascii="Arial" w:cs="Arial" w:eastAsia="Arial" w:hAnsi="Arial"/>
          <w:sz w:val="27"/>
          <w:szCs w:val="27"/>
          <w:color w:val="auto"/>
        </w:rPr>
        <w:t>сосудистый</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ССЗ </w:t>
      </w:r>
      <w:r>
        <w:rPr>
          <w:rFonts w:ascii="Arial" w:cs="Arial" w:eastAsia="Arial" w:hAnsi="Arial"/>
          <w:sz w:val="27"/>
          <w:szCs w:val="27"/>
          <w:color w:val="auto"/>
        </w:rPr>
        <w:t>—</w:t>
      </w:r>
      <w:r>
        <w:rPr>
          <w:rFonts w:ascii="Arial" w:cs="Arial" w:eastAsia="Arial" w:hAnsi="Arial"/>
          <w:sz w:val="27"/>
          <w:szCs w:val="27"/>
          <w:color w:val="auto"/>
        </w:rPr>
        <w:t xml:space="preserve"> сердечно</w:t>
      </w:r>
      <w:r>
        <w:rPr>
          <w:rFonts w:ascii="Arial" w:cs="Arial" w:eastAsia="Arial" w:hAnsi="Arial"/>
          <w:sz w:val="27"/>
          <w:szCs w:val="27"/>
          <w:color w:val="auto"/>
        </w:rPr>
        <w:t>-</w:t>
      </w:r>
      <w:r>
        <w:rPr>
          <w:rFonts w:ascii="Arial" w:cs="Arial" w:eastAsia="Arial" w:hAnsi="Arial"/>
          <w:sz w:val="27"/>
          <w:szCs w:val="27"/>
          <w:color w:val="auto"/>
        </w:rPr>
        <w:t>сосудистые заболевания</w:t>
      </w:r>
    </w:p>
    <w:p>
      <w:pPr>
        <w:spacing w:after="0" w:line="32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ССО </w:t>
      </w:r>
      <w:r>
        <w:rPr>
          <w:rFonts w:ascii="Arial" w:cs="Arial" w:eastAsia="Arial" w:hAnsi="Arial"/>
          <w:sz w:val="27"/>
          <w:szCs w:val="27"/>
          <w:color w:val="auto"/>
        </w:rPr>
        <w:t>—</w:t>
      </w:r>
      <w:r>
        <w:rPr>
          <w:rFonts w:ascii="Arial" w:cs="Arial" w:eastAsia="Arial" w:hAnsi="Arial"/>
          <w:sz w:val="27"/>
          <w:szCs w:val="27"/>
          <w:color w:val="auto"/>
        </w:rPr>
        <w:t xml:space="preserve"> сердечно</w:t>
      </w:r>
      <w:r>
        <w:rPr>
          <w:rFonts w:ascii="Arial" w:cs="Arial" w:eastAsia="Arial" w:hAnsi="Arial"/>
          <w:sz w:val="27"/>
          <w:szCs w:val="27"/>
          <w:color w:val="auto"/>
        </w:rPr>
        <w:t>-</w:t>
      </w:r>
      <w:r>
        <w:rPr>
          <w:rFonts w:ascii="Arial" w:cs="Arial" w:eastAsia="Arial" w:hAnsi="Arial"/>
          <w:sz w:val="27"/>
          <w:szCs w:val="27"/>
          <w:color w:val="auto"/>
        </w:rPr>
        <w:t>сосудистые осложнения</w:t>
      </w:r>
      <w:r>
        <w:rPr>
          <w:rFonts w:ascii="Lucida Sans Unicode" w:cs="Lucida Sans Unicode" w:eastAsia="Lucida Sans Unicode" w:hAnsi="Lucida Sans Unicode"/>
          <w:sz w:val="27"/>
          <w:szCs w:val="27"/>
          <w:color w:val="auto"/>
        </w:rPr>
        <w:t> </w:t>
      </w:r>
    </w:p>
    <w:p>
      <w:pPr>
        <w:spacing w:after="0" w:line="257"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ТГ </w:t>
      </w:r>
      <w:r>
        <w:rPr>
          <w:rFonts w:ascii="Arial" w:cs="Arial" w:eastAsia="Arial" w:hAnsi="Arial"/>
          <w:sz w:val="27"/>
          <w:szCs w:val="27"/>
          <w:color w:val="auto"/>
        </w:rPr>
        <w:t>—</w:t>
      </w:r>
      <w:r>
        <w:rPr>
          <w:rFonts w:ascii="Arial" w:cs="Arial" w:eastAsia="Arial" w:hAnsi="Arial"/>
          <w:sz w:val="27"/>
          <w:szCs w:val="27"/>
          <w:color w:val="auto"/>
        </w:rPr>
        <w:t xml:space="preserve"> триглицериды</w:t>
      </w:r>
      <w:r>
        <w:rPr>
          <w:rFonts w:ascii="Lucida Sans Unicode" w:cs="Lucida Sans Unicode" w:eastAsia="Lucida Sans Unicode" w:hAnsi="Lucida Sans Unicode"/>
          <w:sz w:val="27"/>
          <w:szCs w:val="27"/>
          <w:color w:val="auto"/>
        </w:rPr>
        <w:t> </w:t>
      </w:r>
    </w:p>
    <w:p>
      <w:pPr>
        <w:spacing w:after="0" w:line="245"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ТИА </w:t>
      </w:r>
      <w:r>
        <w:rPr>
          <w:rFonts w:ascii="Arial" w:cs="Arial" w:eastAsia="Arial" w:hAnsi="Arial"/>
          <w:sz w:val="27"/>
          <w:szCs w:val="27"/>
          <w:color w:val="auto"/>
        </w:rPr>
        <w:t>—</w:t>
      </w:r>
      <w:r>
        <w:rPr>
          <w:rFonts w:ascii="Arial" w:cs="Arial" w:eastAsia="Arial" w:hAnsi="Arial"/>
          <w:sz w:val="27"/>
          <w:szCs w:val="27"/>
          <w:color w:val="auto"/>
        </w:rPr>
        <w:t xml:space="preserve"> транзиторная ишемическая атака</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УДД </w:t>
      </w:r>
      <w:r>
        <w:rPr>
          <w:rFonts w:ascii="Arial" w:cs="Arial" w:eastAsia="Arial" w:hAnsi="Arial"/>
          <w:sz w:val="27"/>
          <w:szCs w:val="27"/>
          <w:color w:val="auto"/>
        </w:rPr>
        <w:t>—</w:t>
      </w:r>
      <w:r>
        <w:rPr>
          <w:rFonts w:ascii="Arial" w:cs="Arial" w:eastAsia="Arial" w:hAnsi="Arial"/>
          <w:sz w:val="27"/>
          <w:szCs w:val="27"/>
          <w:color w:val="auto"/>
        </w:rPr>
        <w:t xml:space="preserve"> уровень достоверности доказательств</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УЗИ </w:t>
      </w:r>
      <w:r>
        <w:rPr>
          <w:rFonts w:ascii="Arial" w:cs="Arial" w:eastAsia="Arial" w:hAnsi="Arial"/>
          <w:sz w:val="27"/>
          <w:szCs w:val="27"/>
          <w:color w:val="auto"/>
        </w:rPr>
        <w:t>—</w:t>
      </w:r>
      <w:r>
        <w:rPr>
          <w:rFonts w:ascii="Arial" w:cs="Arial" w:eastAsia="Arial" w:hAnsi="Arial"/>
          <w:sz w:val="27"/>
          <w:szCs w:val="27"/>
          <w:color w:val="auto"/>
        </w:rPr>
        <w:t xml:space="preserve"> ультразвуковое исследование</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УУР </w:t>
      </w:r>
      <w:r>
        <w:rPr>
          <w:rFonts w:ascii="Arial" w:cs="Arial" w:eastAsia="Arial" w:hAnsi="Arial"/>
          <w:sz w:val="27"/>
          <w:szCs w:val="27"/>
          <w:color w:val="auto"/>
        </w:rPr>
        <w:t>—</w:t>
      </w:r>
      <w:r>
        <w:rPr>
          <w:rFonts w:ascii="Arial" w:cs="Arial" w:eastAsia="Arial" w:hAnsi="Arial"/>
          <w:sz w:val="27"/>
          <w:szCs w:val="27"/>
          <w:color w:val="auto"/>
        </w:rPr>
        <w:t xml:space="preserve"> уровень убедительности рекомендаций</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ФВ </w:t>
      </w:r>
      <w:r>
        <w:rPr>
          <w:rFonts w:ascii="Arial" w:cs="Arial" w:eastAsia="Arial" w:hAnsi="Arial"/>
          <w:sz w:val="27"/>
          <w:szCs w:val="27"/>
          <w:color w:val="auto"/>
        </w:rPr>
        <w:t>—</w:t>
      </w:r>
      <w:r>
        <w:rPr>
          <w:rFonts w:ascii="Arial" w:cs="Arial" w:eastAsia="Arial" w:hAnsi="Arial"/>
          <w:sz w:val="27"/>
          <w:szCs w:val="27"/>
          <w:color w:val="auto"/>
        </w:rPr>
        <w:t xml:space="preserve"> фракция выброса</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ФК </w:t>
      </w:r>
      <w:r>
        <w:rPr>
          <w:rFonts w:ascii="Arial" w:cs="Arial" w:eastAsia="Arial" w:hAnsi="Arial"/>
          <w:sz w:val="27"/>
          <w:szCs w:val="27"/>
          <w:color w:val="auto"/>
        </w:rPr>
        <w:t>—</w:t>
      </w:r>
      <w:r>
        <w:rPr>
          <w:rFonts w:ascii="Arial" w:cs="Arial" w:eastAsia="Arial" w:hAnsi="Arial"/>
          <w:sz w:val="27"/>
          <w:szCs w:val="27"/>
          <w:color w:val="auto"/>
        </w:rPr>
        <w:t xml:space="preserve"> функциональный класс</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ФП </w:t>
      </w:r>
      <w:r>
        <w:rPr>
          <w:rFonts w:ascii="Arial" w:cs="Arial" w:eastAsia="Arial" w:hAnsi="Arial"/>
          <w:sz w:val="27"/>
          <w:szCs w:val="27"/>
          <w:color w:val="auto"/>
        </w:rPr>
        <w:t>—</w:t>
      </w:r>
      <w:r>
        <w:rPr>
          <w:rFonts w:ascii="Arial" w:cs="Arial" w:eastAsia="Arial" w:hAnsi="Arial"/>
          <w:sz w:val="27"/>
          <w:szCs w:val="27"/>
          <w:color w:val="auto"/>
        </w:rPr>
        <w:t xml:space="preserve"> фибрилляция предсердий</w:t>
      </w:r>
    </w:p>
    <w:p>
      <w:pPr>
        <w:spacing w:after="0" w:line="33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ФР </w:t>
      </w:r>
      <w:r>
        <w:rPr>
          <w:rFonts w:ascii="Arial" w:cs="Arial" w:eastAsia="Arial" w:hAnsi="Arial"/>
          <w:sz w:val="27"/>
          <w:szCs w:val="27"/>
          <w:color w:val="auto"/>
        </w:rPr>
        <w:t>—</w:t>
      </w:r>
      <w:r>
        <w:rPr>
          <w:rFonts w:ascii="Arial" w:cs="Arial" w:eastAsia="Arial" w:hAnsi="Arial"/>
          <w:sz w:val="27"/>
          <w:szCs w:val="27"/>
          <w:color w:val="auto"/>
        </w:rPr>
        <w:t xml:space="preserve"> фактор риска</w:t>
      </w:r>
      <w:r>
        <w:rPr>
          <w:rFonts w:ascii="Lucida Sans Unicode" w:cs="Lucida Sans Unicode" w:eastAsia="Lucida Sans Unicode" w:hAnsi="Lucida Sans Unicode"/>
          <w:sz w:val="27"/>
          <w:szCs w:val="27"/>
          <w:color w:val="auto"/>
        </w:rPr>
        <w:t> </w:t>
      </w:r>
    </w:p>
    <w:p>
      <w:pPr>
        <w:spacing w:after="0" w:line="26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ХБП </w:t>
      </w:r>
      <w:r>
        <w:rPr>
          <w:rFonts w:ascii="Arial" w:cs="Arial" w:eastAsia="Arial" w:hAnsi="Arial"/>
          <w:sz w:val="27"/>
          <w:szCs w:val="27"/>
          <w:color w:val="auto"/>
        </w:rPr>
        <w:t>—</w:t>
      </w:r>
      <w:r>
        <w:rPr>
          <w:rFonts w:ascii="Arial" w:cs="Arial" w:eastAsia="Arial" w:hAnsi="Arial"/>
          <w:sz w:val="27"/>
          <w:szCs w:val="27"/>
          <w:color w:val="auto"/>
        </w:rPr>
        <w:t xml:space="preserve"> хроническая болезнь почек</w:t>
      </w:r>
    </w:p>
    <w:p>
      <w:pPr>
        <w:spacing w:after="0" w:line="322"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ХОБЛ </w:t>
      </w:r>
      <w:r>
        <w:rPr>
          <w:rFonts w:ascii="Arial" w:cs="Arial" w:eastAsia="Arial" w:hAnsi="Arial"/>
          <w:sz w:val="27"/>
          <w:szCs w:val="27"/>
          <w:color w:val="auto"/>
        </w:rPr>
        <w:t>—</w:t>
      </w:r>
      <w:r>
        <w:rPr>
          <w:rFonts w:ascii="Arial" w:cs="Arial" w:eastAsia="Arial" w:hAnsi="Arial"/>
          <w:sz w:val="27"/>
          <w:szCs w:val="27"/>
          <w:color w:val="auto"/>
        </w:rPr>
        <w:t xml:space="preserve"> хроническая обструктивная болезнь легких</w:t>
      </w:r>
      <w:r>
        <w:rPr>
          <w:rFonts w:ascii="Lucida Sans Unicode" w:cs="Lucida Sans Unicode" w:eastAsia="Lucida Sans Unicode" w:hAnsi="Lucida Sans Unicode"/>
          <w:sz w:val="27"/>
          <w:szCs w:val="27"/>
          <w:color w:val="auto"/>
        </w:rPr>
        <w:t> </w:t>
      </w:r>
    </w:p>
    <w:p>
      <w:pPr>
        <w:spacing w:after="0" w:line="257"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ХПН </w:t>
      </w:r>
      <w:r>
        <w:rPr>
          <w:rFonts w:ascii="Arial" w:cs="Arial" w:eastAsia="Arial" w:hAnsi="Arial"/>
          <w:sz w:val="27"/>
          <w:szCs w:val="27"/>
          <w:color w:val="auto"/>
        </w:rPr>
        <w:t>—</w:t>
      </w:r>
      <w:r>
        <w:rPr>
          <w:rFonts w:ascii="Arial" w:cs="Arial" w:eastAsia="Arial" w:hAnsi="Arial"/>
          <w:sz w:val="27"/>
          <w:szCs w:val="27"/>
          <w:color w:val="auto"/>
        </w:rPr>
        <w:t xml:space="preserve"> хроническая почечная недостаточность</w:t>
      </w:r>
      <w:r>
        <w:rPr>
          <w:rFonts w:ascii="Lucida Sans Unicode" w:cs="Lucida Sans Unicode" w:eastAsia="Lucida Sans Unicode" w:hAnsi="Lucida Sans Unicode"/>
          <w:sz w:val="27"/>
          <w:szCs w:val="27"/>
          <w:color w:val="auto"/>
        </w:rPr>
        <w:t> </w:t>
      </w:r>
    </w:p>
    <w:p>
      <w:pPr>
        <w:spacing w:after="0" w:line="250" w:lineRule="exact"/>
        <w:rPr>
          <w:sz w:val="20"/>
          <w:szCs w:val="20"/>
          <w:color w:val="auto"/>
        </w:rPr>
      </w:pPr>
    </w:p>
    <w:p>
      <w:pPr>
        <w:ind w:left="360" w:right="1180"/>
        <w:spacing w:after="0" w:line="420" w:lineRule="auto"/>
        <w:rPr>
          <w:sz w:val="20"/>
          <w:szCs w:val="20"/>
          <w:color w:val="auto"/>
        </w:rPr>
      </w:pPr>
      <w:r>
        <w:rPr>
          <w:rFonts w:ascii="Arial" w:cs="Arial" w:eastAsia="Arial" w:hAnsi="Arial"/>
          <w:sz w:val="27"/>
          <w:szCs w:val="27"/>
          <w:color w:val="auto"/>
        </w:rPr>
        <w:t xml:space="preserve">ХС ЛВП </w:t>
      </w:r>
      <w:r>
        <w:rPr>
          <w:rFonts w:ascii="Arial" w:cs="Arial" w:eastAsia="Arial" w:hAnsi="Arial"/>
          <w:sz w:val="27"/>
          <w:szCs w:val="27"/>
          <w:color w:val="auto"/>
        </w:rPr>
        <w:t>—</w:t>
      </w:r>
      <w:r>
        <w:rPr>
          <w:rFonts w:ascii="Arial" w:cs="Arial" w:eastAsia="Arial" w:hAnsi="Arial"/>
          <w:sz w:val="27"/>
          <w:szCs w:val="27"/>
          <w:color w:val="auto"/>
        </w:rPr>
        <w:t xml:space="preserve"> холестерин липопротеинов высокой плотности</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ХС ЛНП </w:t>
      </w:r>
      <w:r>
        <w:rPr>
          <w:rFonts w:ascii="Arial" w:cs="Arial" w:eastAsia="Arial" w:hAnsi="Arial"/>
          <w:sz w:val="27"/>
          <w:szCs w:val="27"/>
          <w:color w:val="auto"/>
        </w:rPr>
        <w:t>—</w:t>
      </w:r>
      <w:r>
        <w:rPr>
          <w:rFonts w:ascii="Arial" w:cs="Arial" w:eastAsia="Arial" w:hAnsi="Arial"/>
          <w:sz w:val="27"/>
          <w:szCs w:val="27"/>
          <w:color w:val="auto"/>
        </w:rPr>
        <w:t xml:space="preserve"> холестерин липопротеинов низкой плотности</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ХСН </w:t>
      </w:r>
      <w:r>
        <w:rPr>
          <w:rFonts w:ascii="Arial" w:cs="Arial" w:eastAsia="Arial" w:hAnsi="Arial"/>
          <w:sz w:val="27"/>
          <w:szCs w:val="27"/>
          <w:color w:val="auto"/>
        </w:rPr>
        <w:t>—</w:t>
      </w:r>
      <w:r>
        <w:rPr>
          <w:rFonts w:ascii="Arial" w:cs="Arial" w:eastAsia="Arial" w:hAnsi="Arial"/>
          <w:sz w:val="27"/>
          <w:szCs w:val="27"/>
          <w:color w:val="auto"/>
        </w:rPr>
        <w:t xml:space="preserve"> хроническая сердечная недостаточность</w:t>
      </w:r>
    </w:p>
    <w:p>
      <w:pPr>
        <w:sectPr>
          <w:pgSz w:w="11900" w:h="16840" w:orient="portrait"/>
          <w:cols w:equalWidth="0" w:num="1">
            <w:col w:w="9020"/>
          </w:cols>
          <w:pgMar w:left="1440" w:top="19" w:right="1440" w:bottom="0" w:gutter="0" w:footer="0" w:header="0"/>
        </w:sectPr>
      </w:pPr>
    </w:p>
    <w:bookmarkStart w:id="7" w:name="page8"/>
    <w:bookmarkEnd w:id="7"/>
    <w:p>
      <w:pPr>
        <w:ind w:left="360" w:right="2900"/>
        <w:spacing w:after="0" w:line="432" w:lineRule="auto"/>
        <w:rPr>
          <w:sz w:val="20"/>
          <w:szCs w:val="20"/>
          <w:color w:val="auto"/>
        </w:rPr>
      </w:pPr>
      <w:r>
        <w:rPr>
          <w:rFonts w:ascii="Arial" w:cs="Arial" w:eastAsia="Arial" w:hAnsi="Arial"/>
          <w:sz w:val="27"/>
          <w:szCs w:val="27"/>
          <w:color w:val="auto"/>
        </w:rPr>
        <w:t xml:space="preserve">ЦАД </w:t>
      </w:r>
      <w:r>
        <w:rPr>
          <w:rFonts w:ascii="Arial" w:cs="Arial" w:eastAsia="Arial" w:hAnsi="Arial"/>
          <w:sz w:val="27"/>
          <w:szCs w:val="27"/>
          <w:color w:val="auto"/>
        </w:rPr>
        <w:t>—</w:t>
      </w:r>
      <w:r>
        <w:rPr>
          <w:rFonts w:ascii="Arial" w:cs="Arial" w:eastAsia="Arial" w:hAnsi="Arial"/>
          <w:sz w:val="27"/>
          <w:szCs w:val="27"/>
          <w:color w:val="auto"/>
        </w:rPr>
        <w:t xml:space="preserve"> центральное артериальное давление</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ЦВБ </w:t>
      </w:r>
      <w:r>
        <w:rPr>
          <w:rFonts w:ascii="Arial" w:cs="Arial" w:eastAsia="Arial" w:hAnsi="Arial"/>
          <w:sz w:val="27"/>
          <w:szCs w:val="27"/>
          <w:color w:val="auto"/>
        </w:rPr>
        <w:t>—</w:t>
      </w:r>
      <w:r>
        <w:rPr>
          <w:rFonts w:ascii="Arial" w:cs="Arial" w:eastAsia="Arial" w:hAnsi="Arial"/>
          <w:sz w:val="27"/>
          <w:szCs w:val="27"/>
          <w:color w:val="auto"/>
        </w:rPr>
        <w:t xml:space="preserve"> цереброваскулярная болезнь</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ЧСС </w:t>
      </w:r>
      <w:r>
        <w:rPr>
          <w:rFonts w:ascii="Arial" w:cs="Arial" w:eastAsia="Arial" w:hAnsi="Arial"/>
          <w:sz w:val="27"/>
          <w:szCs w:val="27"/>
          <w:color w:val="auto"/>
        </w:rPr>
        <w:t>—</w:t>
      </w:r>
      <w:r>
        <w:rPr>
          <w:rFonts w:ascii="Arial" w:cs="Arial" w:eastAsia="Arial" w:hAnsi="Arial"/>
          <w:sz w:val="27"/>
          <w:szCs w:val="27"/>
          <w:color w:val="auto"/>
        </w:rPr>
        <w:t xml:space="preserve"> частота сердечных сокращений</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 xml:space="preserve"> ЭД </w:t>
      </w:r>
      <w:r>
        <w:rPr>
          <w:rFonts w:ascii="Arial" w:cs="Arial" w:eastAsia="Arial" w:hAnsi="Arial"/>
          <w:sz w:val="27"/>
          <w:szCs w:val="27"/>
          <w:color w:val="auto"/>
        </w:rPr>
        <w:t>—</w:t>
      </w:r>
      <w:r>
        <w:rPr>
          <w:rFonts w:ascii="Arial" w:cs="Arial" w:eastAsia="Arial" w:hAnsi="Arial"/>
          <w:sz w:val="27"/>
          <w:szCs w:val="27"/>
          <w:color w:val="auto"/>
        </w:rPr>
        <w:t xml:space="preserve"> эректильная дисфункция ЭКГ </w:t>
      </w:r>
      <w:r>
        <w:rPr>
          <w:rFonts w:ascii="Arial" w:cs="Arial" w:eastAsia="Arial" w:hAnsi="Arial"/>
          <w:sz w:val="27"/>
          <w:szCs w:val="27"/>
          <w:color w:val="auto"/>
        </w:rPr>
        <w:t>—</w:t>
      </w:r>
      <w:r>
        <w:rPr>
          <w:rFonts w:ascii="Arial" w:cs="Arial" w:eastAsia="Arial" w:hAnsi="Arial"/>
          <w:sz w:val="27"/>
          <w:szCs w:val="27"/>
          <w:color w:val="auto"/>
        </w:rPr>
        <w:t xml:space="preserve"> электрокардиограмма ЭхоКГ </w:t>
      </w:r>
      <w:r>
        <w:rPr>
          <w:rFonts w:ascii="Arial" w:cs="Arial" w:eastAsia="Arial" w:hAnsi="Arial"/>
          <w:sz w:val="27"/>
          <w:szCs w:val="27"/>
          <w:color w:val="auto"/>
        </w:rPr>
        <w:t>—</w:t>
      </w:r>
      <w:r>
        <w:rPr>
          <w:rFonts w:ascii="Arial" w:cs="Arial" w:eastAsia="Arial" w:hAnsi="Arial"/>
          <w:sz w:val="27"/>
          <w:szCs w:val="27"/>
          <w:color w:val="auto"/>
        </w:rPr>
        <w:t xml:space="preserve"> эхокардиография</w:t>
      </w:r>
    </w:p>
    <w:p>
      <w:pPr>
        <w:spacing w:after="0" w:line="64" w:lineRule="exact"/>
        <w:rPr>
          <w:sz w:val="20"/>
          <w:szCs w:val="20"/>
          <w:color w:val="auto"/>
        </w:rPr>
      </w:pPr>
    </w:p>
    <w:p>
      <w:pPr>
        <w:ind w:left="360"/>
        <w:spacing w:after="0"/>
        <w:rPr>
          <w:sz w:val="20"/>
          <w:szCs w:val="20"/>
          <w:color w:val="auto"/>
        </w:rPr>
      </w:pPr>
      <w:r>
        <w:rPr>
          <w:rFonts w:ascii="Arial" w:cs="Arial" w:eastAsia="Arial" w:hAnsi="Arial"/>
          <w:sz w:val="27"/>
          <w:szCs w:val="27"/>
          <w:color w:val="auto"/>
        </w:rPr>
        <w:t>CKD-EPI — ChronicKidneyDiseaseEpidemiology Collaboration</w:t>
      </w:r>
    </w:p>
    <w:p>
      <w:pPr>
        <w:spacing w:after="0" w:line="350"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ESC/ESH — European society of cardiology/European society of hypertension</w:t>
      </w:r>
    </w:p>
    <w:p>
      <w:pPr>
        <w:spacing w:after="0" w:line="186" w:lineRule="exact"/>
        <w:rPr>
          <w:sz w:val="20"/>
          <w:szCs w:val="20"/>
          <w:color w:val="auto"/>
        </w:rPr>
      </w:pPr>
    </w:p>
    <w:p>
      <w:pPr>
        <w:ind w:left="360" w:right="3060"/>
        <w:spacing w:after="0" w:line="573" w:lineRule="auto"/>
        <w:rPr>
          <w:sz w:val="20"/>
          <w:szCs w:val="20"/>
          <w:color w:val="auto"/>
        </w:rPr>
      </w:pPr>
      <w:r>
        <w:rPr>
          <w:rFonts w:ascii="Arial" w:cs="Arial" w:eastAsia="Arial" w:hAnsi="Arial"/>
          <w:sz w:val="26"/>
          <w:szCs w:val="26"/>
          <w:color w:val="auto"/>
        </w:rPr>
        <w:t>MDRD — Modification of Diet in Renal Disease SCORE — Systemic coronary risk evaluation</w:t>
      </w:r>
    </w:p>
    <w:p>
      <w:pPr>
        <w:sectPr>
          <w:pgSz w:w="11900" w:h="16840" w:orient="portrait"/>
          <w:cols w:equalWidth="0" w:num="1">
            <w:col w:w="9020"/>
          </w:cols>
          <w:pgMar w:left="1440" w:top="0" w:right="1440" w:bottom="1440" w:gutter="0" w:footer="0" w:header="0"/>
        </w:sectPr>
      </w:pPr>
    </w:p>
    <w:bookmarkStart w:id="8" w:name="page9"/>
    <w:bookmarkEnd w:id="8"/>
    <w:p>
      <w:pPr>
        <w:ind w:left="360"/>
        <w:spacing w:after="0"/>
        <w:rPr>
          <w:sz w:val="20"/>
          <w:szCs w:val="20"/>
          <w:color w:val="auto"/>
        </w:rPr>
      </w:pPr>
      <w:r>
        <w:rPr>
          <w:rFonts w:ascii="Arial" w:cs="Arial" w:eastAsia="Arial" w:hAnsi="Arial"/>
          <w:sz w:val="48"/>
          <w:szCs w:val="48"/>
          <w:b w:val="1"/>
          <w:bCs w:val="1"/>
          <w:color w:val="auto"/>
        </w:rPr>
        <w:t>Термины и определения</w:t>
      </w:r>
    </w:p>
    <w:p>
      <w:pPr>
        <w:spacing w:after="0" w:line="200" w:lineRule="exact"/>
        <w:rPr>
          <w:sz w:val="20"/>
          <w:szCs w:val="20"/>
          <w:color w:val="auto"/>
        </w:rPr>
      </w:pPr>
    </w:p>
    <w:p>
      <w:pPr>
        <w:spacing w:after="0" w:line="277"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Артериальная гипертензия </w:t>
      </w:r>
      <w:r>
        <w:rPr>
          <w:rFonts w:ascii="Arial" w:cs="Arial" w:eastAsia="Arial" w:hAnsi="Arial"/>
          <w:sz w:val="27"/>
          <w:szCs w:val="27"/>
          <w:b w:val="1"/>
          <w:bCs w:val="1"/>
          <w:color w:val="auto"/>
        </w:rPr>
        <w:t>(</w:t>
      </w:r>
      <w:r>
        <w:rPr>
          <w:rFonts w:ascii="Arial" w:cs="Arial" w:eastAsia="Arial" w:hAnsi="Arial"/>
          <w:sz w:val="27"/>
          <w:szCs w:val="27"/>
          <w:b w:val="1"/>
          <w:bCs w:val="1"/>
          <w:color w:val="auto"/>
        </w:rPr>
        <w:t>АГ</w:t>
      </w:r>
      <w:r>
        <w:rPr>
          <w:rFonts w:ascii="Arial" w:cs="Arial" w:eastAsia="Arial" w:hAnsi="Arial"/>
          <w:sz w:val="27"/>
          <w:szCs w:val="27"/>
          <w:b w:val="1"/>
          <w:bCs w:val="1"/>
          <w:color w:val="auto"/>
        </w:rPr>
        <w:t>) —</w:t>
      </w:r>
      <w:r>
        <w:rPr>
          <w:rFonts w:ascii="Arial" w:cs="Arial" w:eastAsia="Arial" w:hAnsi="Arial"/>
          <w:sz w:val="27"/>
          <w:szCs w:val="27"/>
          <w:b w:val="1"/>
          <w:bCs w:val="1"/>
          <w:color w:val="auto"/>
        </w:rPr>
        <w:t xml:space="preserve"> </w:t>
      </w:r>
      <w:r>
        <w:rPr>
          <w:rFonts w:ascii="Arial" w:cs="Arial" w:eastAsia="Arial" w:hAnsi="Arial"/>
          <w:sz w:val="27"/>
          <w:szCs w:val="27"/>
          <w:color w:val="auto"/>
        </w:rPr>
        <w:t>синдром повышения</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клинического артериального давления </w:t>
      </w:r>
      <w:r>
        <w:rPr>
          <w:rFonts w:ascii="Arial" w:cs="Arial" w:eastAsia="Arial" w:hAnsi="Arial"/>
          <w:sz w:val="27"/>
          <w:szCs w:val="27"/>
          <w:color w:val="auto"/>
        </w:rPr>
        <w:t>(</w:t>
      </w:r>
      <w:r>
        <w:rPr>
          <w:rFonts w:ascii="Arial" w:cs="Arial" w:eastAsia="Arial" w:hAnsi="Arial"/>
          <w:sz w:val="27"/>
          <w:szCs w:val="27"/>
          <w:color w:val="auto"/>
        </w:rPr>
        <w:t>АД</w:t>
      </w:r>
      <w:r>
        <w:rPr>
          <w:rFonts w:ascii="Arial" w:cs="Arial" w:eastAsia="Arial" w:hAnsi="Arial"/>
          <w:sz w:val="27"/>
          <w:szCs w:val="27"/>
          <w:color w:val="auto"/>
        </w:rPr>
        <w:t>)</w:t>
      </w:r>
      <w:r>
        <w:rPr>
          <w:rFonts w:ascii="Arial" w:cs="Arial" w:eastAsia="Arial" w:hAnsi="Arial"/>
          <w:sz w:val="27"/>
          <w:szCs w:val="27"/>
          <w:color w:val="auto"/>
        </w:rPr>
        <w:t xml:space="preserve"> при гипертонической болезни и симптоматических АГ выше пороговых значений</w:t>
      </w:r>
      <w:r>
        <w:rPr>
          <w:rFonts w:ascii="Arial" w:cs="Arial" w:eastAsia="Arial" w:hAnsi="Arial"/>
          <w:sz w:val="27"/>
          <w:szCs w:val="27"/>
          <w:color w:val="auto"/>
        </w:rPr>
        <w:t>,</w:t>
      </w:r>
      <w:r>
        <w:rPr>
          <w:rFonts w:ascii="Arial" w:cs="Arial" w:eastAsia="Arial" w:hAnsi="Arial"/>
          <w:sz w:val="27"/>
          <w:szCs w:val="27"/>
          <w:color w:val="auto"/>
        </w:rPr>
        <w:t xml:space="preserve"> определенных в результате эпидемиологических и</w:t>
      </w:r>
    </w:p>
    <w:p>
      <w:pPr>
        <w:spacing w:after="0" w:line="3"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рандомизированных контролируемых исследований</w:t>
      </w:r>
      <w:r>
        <w:rPr>
          <w:rFonts w:ascii="Arial" w:cs="Arial" w:eastAsia="Arial" w:hAnsi="Arial"/>
          <w:sz w:val="27"/>
          <w:szCs w:val="27"/>
          <w:color w:val="auto"/>
        </w:rPr>
        <w:t>,</w:t>
      </w:r>
      <w:r>
        <w:rPr>
          <w:rFonts w:ascii="Arial" w:cs="Arial" w:eastAsia="Arial" w:hAnsi="Arial"/>
          <w:sz w:val="27"/>
          <w:szCs w:val="27"/>
          <w:color w:val="auto"/>
        </w:rPr>
        <w:t xml:space="preserve"> продемонстрировавших связь с повышением сердечно</w:t>
      </w:r>
      <w:r>
        <w:rPr>
          <w:rFonts w:ascii="Arial" w:cs="Arial" w:eastAsia="Arial" w:hAnsi="Arial"/>
          <w:sz w:val="27"/>
          <w:szCs w:val="27"/>
          <w:color w:val="auto"/>
        </w:rPr>
        <w:t>-</w:t>
      </w:r>
      <w:r>
        <w:rPr>
          <w:rFonts w:ascii="Arial" w:cs="Arial" w:eastAsia="Arial" w:hAnsi="Arial"/>
          <w:sz w:val="27"/>
          <w:szCs w:val="27"/>
          <w:color w:val="auto"/>
        </w:rPr>
        <w:t>сосудистого риска и целесообразность и пользу лечения</w:t>
      </w:r>
      <w:r>
        <w:rPr>
          <w:rFonts w:ascii="Arial" w:cs="Arial" w:eastAsia="Arial" w:hAnsi="Arial"/>
          <w:sz w:val="27"/>
          <w:szCs w:val="27"/>
          <w:color w:val="auto"/>
        </w:rPr>
        <w:t>,</w:t>
      </w:r>
      <w:r>
        <w:rPr>
          <w:rFonts w:ascii="Arial" w:cs="Arial" w:eastAsia="Arial" w:hAnsi="Arial"/>
          <w:sz w:val="27"/>
          <w:szCs w:val="27"/>
          <w:color w:val="auto"/>
        </w:rPr>
        <w:t xml:space="preserve"> направленного на снижение АД ниже этих уровней АД</w:t>
      </w:r>
      <w:r>
        <w:rPr>
          <w:rFonts w:ascii="Arial" w:cs="Arial" w:eastAsia="Arial" w:hAnsi="Arial"/>
          <w:sz w:val="27"/>
          <w:szCs w:val="27"/>
          <w:color w:val="auto"/>
        </w:rPr>
        <w:t>.</w:t>
      </w:r>
    </w:p>
    <w:p>
      <w:pPr>
        <w:spacing w:after="0" w:line="21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АГ у молодых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повышение АД выше пороговых значений у лиц</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моложе </w:t>
      </w:r>
      <w:r>
        <w:rPr>
          <w:rFonts w:ascii="Arial" w:cs="Arial" w:eastAsia="Arial" w:hAnsi="Arial"/>
          <w:sz w:val="27"/>
          <w:szCs w:val="27"/>
          <w:color w:val="auto"/>
        </w:rPr>
        <w:t>50</w:t>
      </w:r>
      <w:r>
        <w:rPr>
          <w:rFonts w:ascii="Arial" w:cs="Arial" w:eastAsia="Arial" w:hAnsi="Arial"/>
          <w:sz w:val="27"/>
          <w:szCs w:val="27"/>
          <w:color w:val="auto"/>
        </w:rPr>
        <w:t xml:space="preserve"> лет</w:t>
      </w:r>
    </w:p>
    <w:p>
      <w:pPr>
        <w:spacing w:after="0" w:line="18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Высокое нормальное АД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давление в диапазоне</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систолического АД </w:t>
      </w:r>
      <w:r>
        <w:rPr>
          <w:rFonts w:ascii="Arial" w:cs="Arial" w:eastAsia="Arial" w:hAnsi="Arial"/>
          <w:sz w:val="27"/>
          <w:szCs w:val="27"/>
          <w:color w:val="auto"/>
        </w:rPr>
        <w:t>(</w:t>
      </w:r>
      <w:r>
        <w:rPr>
          <w:rFonts w:ascii="Arial" w:cs="Arial" w:eastAsia="Arial" w:hAnsi="Arial"/>
          <w:sz w:val="27"/>
          <w:szCs w:val="27"/>
          <w:color w:val="auto"/>
        </w:rPr>
        <w:t>САД</w:t>
      </w:r>
      <w:r>
        <w:rPr>
          <w:rFonts w:ascii="Arial" w:cs="Arial" w:eastAsia="Arial" w:hAnsi="Arial"/>
          <w:sz w:val="27"/>
          <w:szCs w:val="27"/>
          <w:color w:val="auto"/>
        </w:rPr>
        <w:t>)</w:t>
      </w:r>
      <w:r>
        <w:rPr>
          <w:rFonts w:ascii="Arial" w:cs="Arial" w:eastAsia="Arial" w:hAnsi="Arial"/>
          <w:sz w:val="27"/>
          <w:szCs w:val="27"/>
          <w:color w:val="auto"/>
        </w:rPr>
        <w:t xml:space="preserve"> от </w:t>
      </w:r>
      <w:r>
        <w:rPr>
          <w:rFonts w:ascii="Arial" w:cs="Arial" w:eastAsia="Arial" w:hAnsi="Arial"/>
          <w:sz w:val="27"/>
          <w:szCs w:val="27"/>
          <w:color w:val="auto"/>
        </w:rPr>
        <w:t>130</w:t>
      </w:r>
      <w:r>
        <w:rPr>
          <w:rFonts w:ascii="Arial" w:cs="Arial" w:eastAsia="Arial" w:hAnsi="Arial"/>
          <w:sz w:val="27"/>
          <w:szCs w:val="27"/>
          <w:color w:val="auto"/>
        </w:rPr>
        <w:t xml:space="preserve"> до </w:t>
      </w:r>
      <w:r>
        <w:rPr>
          <w:rFonts w:ascii="Arial" w:cs="Arial" w:eastAsia="Arial" w:hAnsi="Arial"/>
          <w:sz w:val="27"/>
          <w:szCs w:val="27"/>
          <w:color w:val="auto"/>
        </w:rPr>
        <w:t>139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диастолического АД </w:t>
      </w:r>
      <w:r>
        <w:rPr>
          <w:rFonts w:ascii="Arial" w:cs="Arial" w:eastAsia="Arial" w:hAnsi="Arial"/>
          <w:sz w:val="27"/>
          <w:szCs w:val="27"/>
          <w:color w:val="auto"/>
        </w:rPr>
        <w:t>(</w:t>
      </w:r>
      <w:r>
        <w:rPr>
          <w:rFonts w:ascii="Arial" w:cs="Arial" w:eastAsia="Arial" w:hAnsi="Arial"/>
          <w:sz w:val="27"/>
          <w:szCs w:val="27"/>
          <w:color w:val="auto"/>
        </w:rPr>
        <w:t>ДАД</w:t>
      </w:r>
      <w:r>
        <w:rPr>
          <w:rFonts w:ascii="Arial" w:cs="Arial" w:eastAsia="Arial" w:hAnsi="Arial"/>
          <w:sz w:val="27"/>
          <w:szCs w:val="27"/>
          <w:color w:val="auto"/>
        </w:rPr>
        <w:t>)</w:t>
      </w:r>
      <w:r>
        <w:rPr>
          <w:rFonts w:ascii="Arial" w:cs="Arial" w:eastAsia="Arial" w:hAnsi="Arial"/>
          <w:sz w:val="27"/>
          <w:szCs w:val="27"/>
          <w:color w:val="auto"/>
        </w:rPr>
        <w:t xml:space="preserve"> от </w:t>
      </w:r>
      <w:r>
        <w:rPr>
          <w:rFonts w:ascii="Arial" w:cs="Arial" w:eastAsia="Arial" w:hAnsi="Arial"/>
          <w:sz w:val="27"/>
          <w:szCs w:val="27"/>
          <w:color w:val="auto"/>
        </w:rPr>
        <w:t>85</w:t>
      </w:r>
      <w:r>
        <w:rPr>
          <w:rFonts w:ascii="Arial" w:cs="Arial" w:eastAsia="Arial" w:hAnsi="Arial"/>
          <w:sz w:val="27"/>
          <w:szCs w:val="27"/>
          <w:color w:val="auto"/>
        </w:rPr>
        <w:t xml:space="preserve"> до </w:t>
      </w:r>
      <w:r>
        <w:rPr>
          <w:rFonts w:ascii="Arial" w:cs="Arial" w:eastAsia="Arial" w:hAnsi="Arial"/>
          <w:sz w:val="27"/>
          <w:szCs w:val="27"/>
          <w:color w:val="auto"/>
        </w:rPr>
        <w:t>89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Гипертония белого халата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форма АГ</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при которой</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повышение 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140</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w:t>
      </w:r>
      <w:r>
        <w:rPr>
          <w:rFonts w:ascii="Times New Roman" w:cs="Times New Roman" w:eastAsia="Times New Roman" w:hAnsi="Times New Roman"/>
          <w:sz w:val="27"/>
          <w:szCs w:val="27"/>
          <w:color w:val="auto"/>
        </w:rPr>
        <w:t>≥</w:t>
      </w:r>
      <w:r>
        <w:rPr>
          <w:rFonts w:ascii="Arial" w:cs="Arial" w:eastAsia="Arial" w:hAnsi="Arial"/>
          <w:sz w:val="27"/>
          <w:szCs w:val="27"/>
          <w:color w:val="auto"/>
        </w:rPr>
        <w: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отмечается только на приеме у врача</w:t>
      </w:r>
      <w:r>
        <w:rPr>
          <w:rFonts w:ascii="Arial" w:cs="Arial" w:eastAsia="Arial" w:hAnsi="Arial"/>
          <w:sz w:val="27"/>
          <w:szCs w:val="27"/>
          <w:color w:val="auto"/>
        </w:rPr>
        <w:t>,</w:t>
      </w:r>
      <w:r>
        <w:rPr>
          <w:rFonts w:ascii="Arial" w:cs="Arial" w:eastAsia="Arial" w:hAnsi="Arial"/>
          <w:sz w:val="27"/>
          <w:szCs w:val="27"/>
          <w:color w:val="auto"/>
        </w:rPr>
        <w:t xml:space="preserve"> а при измерении АД методом домашнего мониторирования АД </w:t>
      </w:r>
      <w:r>
        <w:rPr>
          <w:rFonts w:ascii="Arial" w:cs="Arial" w:eastAsia="Arial" w:hAnsi="Arial"/>
          <w:sz w:val="27"/>
          <w:szCs w:val="27"/>
          <w:color w:val="auto"/>
        </w:rPr>
        <w:t>(</w:t>
      </w:r>
      <w:r>
        <w:rPr>
          <w:rFonts w:ascii="Arial" w:cs="Arial" w:eastAsia="Arial" w:hAnsi="Arial"/>
          <w:sz w:val="27"/>
          <w:szCs w:val="27"/>
          <w:color w:val="auto"/>
        </w:rPr>
        <w:t>ДМАД</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суточного мониторирования АД </w:t>
      </w:r>
      <w:r>
        <w:rPr>
          <w:rFonts w:ascii="Arial" w:cs="Arial" w:eastAsia="Arial" w:hAnsi="Arial"/>
          <w:sz w:val="27"/>
          <w:szCs w:val="27"/>
          <w:color w:val="auto"/>
        </w:rPr>
        <w:t>(</w:t>
      </w:r>
      <w:r>
        <w:rPr>
          <w:rFonts w:ascii="Arial" w:cs="Arial" w:eastAsia="Arial" w:hAnsi="Arial"/>
          <w:sz w:val="27"/>
          <w:szCs w:val="27"/>
          <w:color w:val="auto"/>
        </w:rPr>
        <w:t>СМАД</w:t>
      </w:r>
      <w:r>
        <w:rPr>
          <w:rFonts w:ascii="Arial" w:cs="Arial" w:eastAsia="Arial" w:hAnsi="Arial"/>
          <w:sz w:val="27"/>
          <w:szCs w:val="27"/>
          <w:color w:val="auto"/>
        </w:rPr>
        <w:t>)</w:t>
      </w:r>
      <w:r>
        <w:rPr>
          <w:rFonts w:ascii="Arial" w:cs="Arial" w:eastAsia="Arial" w:hAnsi="Arial"/>
          <w:sz w:val="27"/>
          <w:szCs w:val="27"/>
          <w:color w:val="auto"/>
        </w:rPr>
        <w:t xml:space="preserve"> показатели АД </w:t>
      </w:r>
      <w:r>
        <w:rPr>
          <w:rFonts w:ascii="Arial" w:cs="Arial" w:eastAsia="Arial" w:hAnsi="Arial"/>
          <w:sz w:val="27"/>
          <w:szCs w:val="27"/>
          <w:color w:val="auto"/>
        </w:rPr>
        <w:t>—</w:t>
      </w:r>
      <w:r>
        <w:rPr>
          <w:rFonts w:ascii="Arial" w:cs="Arial" w:eastAsia="Arial" w:hAnsi="Arial"/>
          <w:sz w:val="27"/>
          <w:szCs w:val="27"/>
          <w:color w:val="auto"/>
        </w:rPr>
        <w:t xml:space="preserve"> в пределах нормальных значений</w:t>
      </w:r>
      <w:r>
        <w:rPr>
          <w:rFonts w:ascii="Arial" w:cs="Arial" w:eastAsia="Arial" w:hAnsi="Arial"/>
          <w:sz w:val="27"/>
          <w:szCs w:val="27"/>
          <w:color w:val="auto"/>
        </w:rPr>
        <w:t>.</w:t>
      </w:r>
    </w:p>
    <w:p>
      <w:pPr>
        <w:spacing w:after="0" w:line="221" w:lineRule="exact"/>
        <w:rPr>
          <w:sz w:val="20"/>
          <w:szCs w:val="20"/>
          <w:color w:val="auto"/>
        </w:rPr>
      </w:pPr>
    </w:p>
    <w:p>
      <w:pPr>
        <w:jc w:val="both"/>
        <w:ind w:left="360" w:right="220"/>
        <w:spacing w:after="0" w:line="308" w:lineRule="auto"/>
        <w:rPr>
          <w:sz w:val="20"/>
          <w:szCs w:val="20"/>
          <w:color w:val="auto"/>
        </w:rPr>
      </w:pPr>
      <w:r>
        <w:rPr>
          <w:rFonts w:ascii="Arial" w:cs="Arial" w:eastAsia="Arial" w:hAnsi="Arial"/>
          <w:sz w:val="27"/>
          <w:szCs w:val="27"/>
          <w:b w:val="1"/>
          <w:bCs w:val="1"/>
          <w:color w:val="auto"/>
        </w:rPr>
        <w:t xml:space="preserve">Доказательная медицина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надлежащее</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последовательное и</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осмысленное использование современных наилучших доказательств </w:t>
      </w:r>
      <w:r>
        <w:rPr>
          <w:rFonts w:ascii="Arial" w:cs="Arial" w:eastAsia="Arial" w:hAnsi="Arial"/>
          <w:sz w:val="27"/>
          <w:szCs w:val="27"/>
          <w:color w:val="auto"/>
        </w:rPr>
        <w:t>(</w:t>
      </w:r>
      <w:r>
        <w:rPr>
          <w:rFonts w:ascii="Arial" w:cs="Arial" w:eastAsia="Arial" w:hAnsi="Arial"/>
          <w:sz w:val="27"/>
          <w:szCs w:val="27"/>
          <w:color w:val="auto"/>
        </w:rPr>
        <w:t>результатов клинических исследований</w:t>
      </w:r>
      <w:r>
        <w:rPr>
          <w:rFonts w:ascii="Arial" w:cs="Arial" w:eastAsia="Arial" w:hAnsi="Arial"/>
          <w:sz w:val="27"/>
          <w:szCs w:val="27"/>
          <w:color w:val="auto"/>
        </w:rPr>
        <w:t>)</w:t>
      </w:r>
      <w:r>
        <w:rPr>
          <w:rFonts w:ascii="Arial" w:cs="Arial" w:eastAsia="Arial" w:hAnsi="Arial"/>
          <w:sz w:val="27"/>
          <w:szCs w:val="27"/>
          <w:color w:val="auto"/>
        </w:rPr>
        <w:t xml:space="preserve"> в сочетании с индивидуальным клиническим опытом и </w:t>
      </w:r>
      <w:r>
        <w:rPr>
          <w:rFonts w:ascii="Arial" w:cs="Arial" w:eastAsia="Arial" w:hAnsi="Arial"/>
          <w:sz w:val="27"/>
          <w:szCs w:val="27"/>
          <w:color w:val="auto"/>
        </w:rPr>
        <w:t>c</w:t>
      </w:r>
      <w:r>
        <w:rPr>
          <w:rFonts w:ascii="Arial" w:cs="Arial" w:eastAsia="Arial" w:hAnsi="Arial"/>
          <w:sz w:val="27"/>
          <w:szCs w:val="27"/>
          <w:color w:val="auto"/>
        </w:rPr>
        <w:t xml:space="preserve"> учетом ценностей и предпочтений пациента в процессе принятия решений о состоянии здоровья и лечении пациента </w:t>
      </w:r>
      <w:r>
        <w:rPr>
          <w:rFonts w:ascii="Arial" w:cs="Arial" w:eastAsia="Arial" w:hAnsi="Arial"/>
          <w:sz w:val="27"/>
          <w:szCs w:val="27"/>
          <w:color w:val="auto"/>
        </w:rPr>
        <w:t>[1].</w:t>
      </w:r>
    </w:p>
    <w:p>
      <w:pPr>
        <w:spacing w:after="0" w:line="220"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Заболевание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состояние</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возникающее в связи с воздействием</w:t>
      </w:r>
      <w:r>
        <w:rPr>
          <w:rFonts w:ascii="Arial" w:cs="Arial" w:eastAsia="Arial" w:hAnsi="Arial"/>
          <w:sz w:val="27"/>
          <w:szCs w:val="27"/>
          <w:b w:val="1"/>
          <w:bCs w:val="1"/>
          <w:color w:val="auto"/>
        </w:rPr>
        <w:t xml:space="preserve"> </w:t>
      </w:r>
      <w:r>
        <w:rPr>
          <w:rFonts w:ascii="Arial" w:cs="Arial" w:eastAsia="Arial" w:hAnsi="Arial"/>
          <w:sz w:val="27"/>
          <w:szCs w:val="27"/>
          <w:color w:val="auto"/>
        </w:rPr>
        <w:t>патогенных факторов</w:t>
      </w:r>
      <w:r>
        <w:rPr>
          <w:rFonts w:ascii="Arial" w:cs="Arial" w:eastAsia="Arial" w:hAnsi="Arial"/>
          <w:sz w:val="27"/>
          <w:szCs w:val="27"/>
          <w:color w:val="auto"/>
        </w:rPr>
        <w:t>,</w:t>
      </w:r>
      <w:r>
        <w:rPr>
          <w:rFonts w:ascii="Arial" w:cs="Arial" w:eastAsia="Arial" w:hAnsi="Arial"/>
          <w:sz w:val="27"/>
          <w:szCs w:val="27"/>
          <w:color w:val="auto"/>
        </w:rPr>
        <w:t xml:space="preserve"> нарушение деятельности организма</w:t>
      </w:r>
      <w:r>
        <w:rPr>
          <w:rFonts w:ascii="Arial" w:cs="Arial" w:eastAsia="Arial" w:hAnsi="Arial"/>
          <w:sz w:val="27"/>
          <w:szCs w:val="27"/>
          <w:color w:val="auto"/>
        </w:rPr>
        <w:t>,</w:t>
      </w:r>
    </w:p>
    <w:p>
      <w:pPr>
        <w:spacing w:after="0" w:line="2" w:lineRule="exact"/>
        <w:rPr>
          <w:sz w:val="20"/>
          <w:szCs w:val="20"/>
          <w:color w:val="auto"/>
        </w:rPr>
      </w:pPr>
    </w:p>
    <w:p>
      <w:pPr>
        <w:jc w:val="both"/>
        <w:ind w:left="360" w:right="220"/>
        <w:spacing w:after="0" w:line="314" w:lineRule="auto"/>
        <w:rPr>
          <w:sz w:val="20"/>
          <w:szCs w:val="20"/>
          <w:color w:val="auto"/>
        </w:rPr>
      </w:pPr>
      <w:r>
        <w:rPr>
          <w:rFonts w:ascii="Arial" w:cs="Arial" w:eastAsia="Arial" w:hAnsi="Arial"/>
          <w:sz w:val="27"/>
          <w:szCs w:val="27"/>
          <w:color w:val="auto"/>
        </w:rPr>
        <w:t>работоспособности</w:t>
      </w:r>
      <w:r>
        <w:rPr>
          <w:rFonts w:ascii="Arial" w:cs="Arial" w:eastAsia="Arial" w:hAnsi="Arial"/>
          <w:sz w:val="27"/>
          <w:szCs w:val="27"/>
          <w:color w:val="auto"/>
        </w:rPr>
        <w:t>,</w:t>
      </w:r>
      <w:r>
        <w:rPr>
          <w:rFonts w:ascii="Arial" w:cs="Arial" w:eastAsia="Arial" w:hAnsi="Arial"/>
          <w:sz w:val="27"/>
          <w:szCs w:val="27"/>
          <w:color w:val="auto"/>
        </w:rPr>
        <w:t xml:space="preserve"> способности адаптироваться к изменяющимся условиям внешней и внутренней среды при одновременном изменении защитно</w:t>
      </w:r>
      <w:r>
        <w:rPr>
          <w:rFonts w:ascii="Arial" w:cs="Arial" w:eastAsia="Arial" w:hAnsi="Arial"/>
          <w:sz w:val="27"/>
          <w:szCs w:val="27"/>
          <w:color w:val="auto"/>
        </w:rPr>
        <w:t>-</w:t>
      </w:r>
      <w:r>
        <w:rPr>
          <w:rFonts w:ascii="Arial" w:cs="Arial" w:eastAsia="Arial" w:hAnsi="Arial"/>
          <w:sz w:val="27"/>
          <w:szCs w:val="27"/>
          <w:color w:val="auto"/>
        </w:rPr>
        <w:t>компенсаторных и защитно</w:t>
      </w:r>
      <w:r>
        <w:rPr>
          <w:rFonts w:ascii="Arial" w:cs="Arial" w:eastAsia="Arial" w:hAnsi="Arial"/>
          <w:sz w:val="27"/>
          <w:szCs w:val="27"/>
          <w:color w:val="auto"/>
        </w:rPr>
        <w:t>-</w:t>
      </w:r>
      <w:r>
        <w:rPr>
          <w:rFonts w:ascii="Arial" w:cs="Arial" w:eastAsia="Arial" w:hAnsi="Arial"/>
          <w:sz w:val="27"/>
          <w:szCs w:val="27"/>
          <w:color w:val="auto"/>
        </w:rPr>
        <w:t xml:space="preserve">приспособительных реакций и механизмов организма </w:t>
      </w:r>
      <w:r>
        <w:rPr>
          <w:rFonts w:ascii="Arial" w:cs="Arial" w:eastAsia="Arial" w:hAnsi="Arial"/>
          <w:sz w:val="27"/>
          <w:szCs w:val="27"/>
          <w:color w:val="auto"/>
        </w:rPr>
        <w:t>[2].</w:t>
      </w:r>
    </w:p>
    <w:p>
      <w:pPr>
        <w:spacing w:after="0" w:line="200" w:lineRule="exact"/>
        <w:rPr>
          <w:sz w:val="20"/>
          <w:szCs w:val="20"/>
          <w:color w:val="auto"/>
        </w:rPr>
      </w:pPr>
    </w:p>
    <w:p>
      <w:pPr>
        <w:spacing w:after="0" w:line="39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Изолированная систолическая АГ</w:t>
      </w:r>
      <w:r>
        <w:rPr>
          <w:rFonts w:ascii="Arial" w:cs="Arial" w:eastAsia="Arial" w:hAnsi="Arial"/>
          <w:sz w:val="27"/>
          <w:szCs w:val="27"/>
          <w:color w:val="auto"/>
        </w:rPr>
        <w:t>–</w:t>
      </w:r>
      <w:r>
        <w:rPr>
          <w:rFonts w:ascii="Arial" w:cs="Arial" w:eastAsia="Arial" w:hAnsi="Arial"/>
          <w:sz w:val="27"/>
          <w:szCs w:val="27"/>
          <w:color w:val="auto"/>
        </w:rPr>
        <w:t>повышение САД</w:t>
      </w:r>
      <w:r>
        <w:rPr>
          <w:rFonts w:ascii="Arial" w:cs="Arial" w:eastAsia="Arial" w:hAnsi="Arial"/>
          <w:sz w:val="27"/>
          <w:szCs w:val="27"/>
          <w:b w:val="1"/>
          <w:bCs w:val="1"/>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140</w:t>
      </w:r>
      <w:r>
        <w:rPr>
          <w:rFonts w:ascii="Arial" w:cs="Arial" w:eastAsia="Arial" w:hAnsi="Arial"/>
          <w:sz w:val="27"/>
          <w:szCs w:val="27"/>
          <w:b w:val="1"/>
          <w:bCs w:val="1"/>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p>
    <w:p>
      <w:pPr>
        <w:spacing w:after="0" w:line="79" w:lineRule="exact"/>
        <w:rPr>
          <w:sz w:val="20"/>
          <w:szCs w:val="20"/>
          <w:color w:val="auto"/>
        </w:rPr>
      </w:pPr>
    </w:p>
    <w:p>
      <w:pPr>
        <w:ind w:left="360"/>
        <w:spacing w:after="0"/>
        <w:rPr>
          <w:sz w:val="20"/>
          <w:szCs w:val="20"/>
          <w:color w:val="auto"/>
        </w:rPr>
      </w:pPr>
      <w:r>
        <w:rPr>
          <w:rFonts w:ascii="Arial" w:cs="Arial" w:eastAsia="Arial" w:hAnsi="Arial"/>
          <w:sz w:val="27"/>
          <w:szCs w:val="27"/>
          <w:color w:val="auto"/>
        </w:rPr>
        <w:t>ст</w:t>
      </w:r>
      <w:r>
        <w:rPr>
          <w:rFonts w:ascii="Arial" w:cs="Arial" w:eastAsia="Arial" w:hAnsi="Arial"/>
          <w:sz w:val="27"/>
          <w:szCs w:val="27"/>
          <w:color w:val="auto"/>
        </w:rPr>
        <w:t>.</w:t>
      </w:r>
      <w:r>
        <w:rPr>
          <w:rFonts w:ascii="Arial" w:cs="Arial" w:eastAsia="Arial" w:hAnsi="Arial"/>
          <w:sz w:val="27"/>
          <w:szCs w:val="27"/>
          <w:color w:val="auto"/>
        </w:rPr>
        <w:t xml:space="preserve"> при уровне ДАД </w:t>
      </w:r>
      <w:r>
        <w:rPr>
          <w:rFonts w:ascii="Arial" w:cs="Arial" w:eastAsia="Arial" w:hAnsi="Arial"/>
          <w:sz w:val="27"/>
          <w:szCs w:val="27"/>
          <w:color w:val="auto"/>
        </w:rPr>
        <w:t>&lt;90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p>
    <w:p>
      <w:pPr>
        <w:sectPr>
          <w:pgSz w:w="11900" w:h="16840" w:orient="portrait"/>
          <w:cols w:equalWidth="0" w:num="1">
            <w:col w:w="9020"/>
          </w:cols>
          <w:pgMar w:left="1440" w:top="671" w:right="1440" w:bottom="159" w:gutter="0" w:footer="0" w:header="0"/>
        </w:sectPr>
      </w:pPr>
    </w:p>
    <w:bookmarkStart w:id="9" w:name="page10"/>
    <w:bookmarkEnd w:id="9"/>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Исход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любой возможный результат</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возникающий от</w:t>
      </w:r>
      <w:r>
        <w:rPr>
          <w:rFonts w:ascii="Arial" w:cs="Arial" w:eastAsia="Arial" w:hAnsi="Arial"/>
          <w:sz w:val="27"/>
          <w:szCs w:val="27"/>
          <w:b w:val="1"/>
          <w:bCs w:val="1"/>
          <w:color w:val="auto"/>
        </w:rPr>
        <w:t xml:space="preserve"> </w:t>
      </w:r>
      <w:r>
        <w:rPr>
          <w:rFonts w:ascii="Arial" w:cs="Arial" w:eastAsia="Arial" w:hAnsi="Arial"/>
          <w:sz w:val="27"/>
          <w:szCs w:val="27"/>
          <w:color w:val="auto"/>
        </w:rPr>
        <w:t>воздействия причинного фактора</w:t>
      </w:r>
      <w:r>
        <w:rPr>
          <w:rFonts w:ascii="Arial" w:cs="Arial" w:eastAsia="Arial" w:hAnsi="Arial"/>
          <w:sz w:val="27"/>
          <w:szCs w:val="27"/>
          <w:color w:val="auto"/>
        </w:rPr>
        <w:t>,</w:t>
      </w:r>
      <w:r>
        <w:rPr>
          <w:rFonts w:ascii="Arial" w:cs="Arial" w:eastAsia="Arial" w:hAnsi="Arial"/>
          <w:sz w:val="27"/>
          <w:szCs w:val="27"/>
          <w:color w:val="auto"/>
        </w:rPr>
        <w:t xml:space="preserve"> профилактического или терапевтического вмешательства</w:t>
      </w:r>
      <w:r>
        <w:rPr>
          <w:rFonts w:ascii="Arial" w:cs="Arial" w:eastAsia="Arial" w:hAnsi="Arial"/>
          <w:sz w:val="27"/>
          <w:szCs w:val="27"/>
          <w:color w:val="auto"/>
        </w:rPr>
        <w:t>,</w:t>
      </w:r>
      <w:r>
        <w:rPr>
          <w:rFonts w:ascii="Arial" w:cs="Arial" w:eastAsia="Arial" w:hAnsi="Arial"/>
          <w:sz w:val="27"/>
          <w:szCs w:val="27"/>
          <w:color w:val="auto"/>
        </w:rPr>
        <w:t xml:space="preserve"> все установленные изменения состояния здоровья</w:t>
      </w:r>
      <w:r>
        <w:rPr>
          <w:rFonts w:ascii="Arial" w:cs="Arial" w:eastAsia="Arial" w:hAnsi="Arial"/>
          <w:sz w:val="27"/>
          <w:szCs w:val="27"/>
          <w:color w:val="auto"/>
        </w:rPr>
        <w:t>,</w:t>
      </w:r>
      <w:r>
        <w:rPr>
          <w:rFonts w:ascii="Arial" w:cs="Arial" w:eastAsia="Arial" w:hAnsi="Arial"/>
          <w:sz w:val="27"/>
          <w:szCs w:val="27"/>
          <w:color w:val="auto"/>
        </w:rPr>
        <w:t xml:space="preserve"> возникающие как следствие вмешательства </w:t>
      </w:r>
      <w:r>
        <w:rPr>
          <w:rFonts w:ascii="Arial" w:cs="Arial" w:eastAsia="Arial" w:hAnsi="Arial"/>
          <w:sz w:val="27"/>
          <w:szCs w:val="27"/>
          <w:color w:val="auto"/>
        </w:rPr>
        <w:t>[3].</w:t>
      </w:r>
    </w:p>
    <w:p>
      <w:pPr>
        <w:spacing w:after="0" w:line="222" w:lineRule="exact"/>
        <w:rPr>
          <w:sz w:val="20"/>
          <w:szCs w:val="20"/>
          <w:color w:val="auto"/>
        </w:rPr>
      </w:pPr>
    </w:p>
    <w:p>
      <w:pPr>
        <w:ind w:left="360"/>
        <w:spacing w:after="0"/>
        <w:rPr>
          <w:sz w:val="20"/>
          <w:szCs w:val="20"/>
          <w:color w:val="auto"/>
        </w:rPr>
      </w:pPr>
      <w:r>
        <w:rPr>
          <w:rFonts w:ascii="Arial" w:cs="Arial" w:eastAsia="Arial" w:hAnsi="Arial"/>
          <w:sz w:val="26"/>
          <w:szCs w:val="26"/>
          <w:b w:val="1"/>
          <w:bCs w:val="1"/>
          <w:color w:val="auto"/>
        </w:rPr>
        <w:t xml:space="preserve">Клиническое исследование </w:t>
      </w:r>
      <w:r>
        <w:rPr>
          <w:rFonts w:ascii="Arial" w:cs="Arial" w:eastAsia="Arial" w:hAnsi="Arial"/>
          <w:sz w:val="26"/>
          <w:szCs w:val="26"/>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любое исследование</w:t>
      </w:r>
      <w:r>
        <w:rPr>
          <w:rFonts w:ascii="Arial" w:cs="Arial" w:eastAsia="Arial" w:hAnsi="Arial"/>
          <w:sz w:val="26"/>
          <w:szCs w:val="26"/>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проводимое</w:t>
      </w:r>
    </w:p>
    <w:p>
      <w:pPr>
        <w:spacing w:after="0" w:line="91" w:lineRule="exact"/>
        <w:rPr>
          <w:sz w:val="20"/>
          <w:szCs w:val="20"/>
          <w:color w:val="auto"/>
        </w:rPr>
      </w:pPr>
    </w:p>
    <w:p>
      <w:pPr>
        <w:jc w:val="both"/>
        <w:ind w:left="360" w:right="220" w:firstLine="1"/>
        <w:spacing w:after="0" w:line="308" w:lineRule="auto"/>
        <w:tabs>
          <w:tab w:leader="none" w:pos="653" w:val="left"/>
        </w:tabs>
        <w:numPr>
          <w:ilvl w:val="0"/>
          <w:numId w:val="1"/>
        </w:numPr>
        <w:rPr>
          <w:rFonts w:ascii="Arial" w:cs="Arial" w:eastAsia="Arial" w:hAnsi="Arial"/>
          <w:sz w:val="27"/>
          <w:szCs w:val="27"/>
          <w:color w:val="auto"/>
        </w:rPr>
      </w:pPr>
      <w:r>
        <w:rPr>
          <w:rFonts w:ascii="Arial" w:cs="Arial" w:eastAsia="Arial" w:hAnsi="Arial"/>
          <w:sz w:val="27"/>
          <w:szCs w:val="27"/>
          <w:color w:val="auto"/>
        </w:rPr>
        <w:t>участием человека в качестве субъекта для выявления или подтверждения клинических и</w:t>
      </w:r>
      <w:r>
        <w:rPr>
          <w:rFonts w:ascii="Arial" w:cs="Arial" w:eastAsia="Arial" w:hAnsi="Arial"/>
          <w:sz w:val="27"/>
          <w:szCs w:val="27"/>
          <w:color w:val="auto"/>
        </w:rPr>
        <w:t>/</w:t>
      </w:r>
      <w:r>
        <w:rPr>
          <w:rFonts w:ascii="Arial" w:cs="Arial" w:eastAsia="Arial" w:hAnsi="Arial"/>
          <w:sz w:val="27"/>
          <w:szCs w:val="27"/>
          <w:color w:val="auto"/>
        </w:rPr>
        <w:t>или фармакологических эффектов исследуемых продуктов и</w:t>
      </w:r>
      <w:r>
        <w:rPr>
          <w:rFonts w:ascii="Arial" w:cs="Arial" w:eastAsia="Arial" w:hAnsi="Arial"/>
          <w:sz w:val="27"/>
          <w:szCs w:val="27"/>
          <w:color w:val="auto"/>
        </w:rPr>
        <w:t>/</w:t>
      </w:r>
      <w:r>
        <w:rPr>
          <w:rFonts w:ascii="Arial" w:cs="Arial" w:eastAsia="Arial" w:hAnsi="Arial"/>
          <w:sz w:val="27"/>
          <w:szCs w:val="27"/>
          <w:color w:val="auto"/>
        </w:rPr>
        <w:t>или выявления нежелательных реакций на исследуемые продукты</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или изучения их всасывания</w:t>
      </w:r>
      <w:r>
        <w:rPr>
          <w:rFonts w:ascii="Arial" w:cs="Arial" w:eastAsia="Arial" w:hAnsi="Arial"/>
          <w:sz w:val="27"/>
          <w:szCs w:val="27"/>
          <w:color w:val="auto"/>
        </w:rPr>
        <w:t>,</w:t>
      </w:r>
      <w:r>
        <w:rPr>
          <w:rFonts w:ascii="Arial" w:cs="Arial" w:eastAsia="Arial" w:hAnsi="Arial"/>
          <w:sz w:val="27"/>
          <w:szCs w:val="27"/>
          <w:color w:val="auto"/>
        </w:rPr>
        <w:t xml:space="preserve"> распределения</w:t>
      </w:r>
      <w:r>
        <w:rPr>
          <w:rFonts w:ascii="Arial" w:cs="Arial" w:eastAsia="Arial" w:hAnsi="Arial"/>
          <w:sz w:val="27"/>
          <w:szCs w:val="27"/>
          <w:color w:val="auto"/>
        </w:rPr>
        <w:t>,</w:t>
      </w:r>
      <w:r>
        <w:rPr>
          <w:rFonts w:ascii="Arial" w:cs="Arial" w:eastAsia="Arial" w:hAnsi="Arial"/>
          <w:sz w:val="27"/>
          <w:szCs w:val="27"/>
          <w:color w:val="auto"/>
        </w:rPr>
        <w:t xml:space="preserve"> метаболизма и выведения с целью оценить их безопасность и</w:t>
      </w:r>
      <w:r>
        <w:rPr>
          <w:rFonts w:ascii="Arial" w:cs="Arial" w:eastAsia="Arial" w:hAnsi="Arial"/>
          <w:sz w:val="27"/>
          <w:szCs w:val="27"/>
          <w:color w:val="auto"/>
        </w:rPr>
        <w:t>/</w:t>
      </w:r>
      <w:r>
        <w:rPr>
          <w:rFonts w:ascii="Arial" w:cs="Arial" w:eastAsia="Arial" w:hAnsi="Arial"/>
          <w:sz w:val="27"/>
          <w:szCs w:val="27"/>
          <w:color w:val="auto"/>
        </w:rPr>
        <w:t xml:space="preserve">или эффективность </w:t>
      </w:r>
      <w:r>
        <w:rPr>
          <w:rFonts w:ascii="Arial" w:cs="Arial" w:eastAsia="Arial" w:hAnsi="Arial"/>
          <w:sz w:val="27"/>
          <w:szCs w:val="27"/>
          <w:color w:val="auto"/>
        </w:rPr>
        <w:t>[4].</w:t>
      </w:r>
    </w:p>
    <w:p>
      <w:pPr>
        <w:spacing w:after="0" w:line="220"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Конфликт интересов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ситуация</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при которой у медицинского</w:t>
      </w:r>
      <w:r>
        <w:rPr>
          <w:rFonts w:ascii="Arial" w:cs="Arial" w:eastAsia="Arial" w:hAnsi="Arial"/>
          <w:sz w:val="27"/>
          <w:szCs w:val="27"/>
          <w:b w:val="1"/>
          <w:bCs w:val="1"/>
          <w:color w:val="auto"/>
        </w:rPr>
        <w:t xml:space="preserve"> </w:t>
      </w:r>
      <w:r>
        <w:rPr>
          <w:rFonts w:ascii="Arial" w:cs="Arial" w:eastAsia="Arial" w:hAnsi="Arial"/>
          <w:sz w:val="27"/>
          <w:szCs w:val="27"/>
          <w:color w:val="auto"/>
        </w:rPr>
        <w:t>или фармацевтического работника при осуществлении ими</w:t>
      </w:r>
    </w:p>
    <w:p>
      <w:pPr>
        <w:spacing w:after="0" w:line="2" w:lineRule="exact"/>
        <w:rPr>
          <w:sz w:val="20"/>
          <w:szCs w:val="20"/>
          <w:color w:val="auto"/>
        </w:rPr>
      </w:pPr>
    </w:p>
    <w:p>
      <w:pPr>
        <w:jc w:val="both"/>
        <w:ind w:left="360" w:right="220"/>
        <w:spacing w:after="0" w:line="320" w:lineRule="auto"/>
        <w:rPr>
          <w:sz w:val="20"/>
          <w:szCs w:val="20"/>
          <w:color w:val="auto"/>
        </w:rPr>
      </w:pPr>
      <w:r>
        <w:rPr>
          <w:rFonts w:ascii="Arial" w:cs="Arial" w:eastAsia="Arial" w:hAnsi="Arial"/>
          <w:sz w:val="26"/>
          <w:szCs w:val="26"/>
          <w:color w:val="auto"/>
        </w:rPr>
        <w:t>профессиональной деятельности возникает личная заинтересованность в получении лично либо через представителя компании материальной выгоды или иного преимущества</w:t>
      </w:r>
      <w:r>
        <w:rPr>
          <w:rFonts w:ascii="Arial" w:cs="Arial" w:eastAsia="Arial" w:hAnsi="Arial"/>
          <w:sz w:val="26"/>
          <w:szCs w:val="26"/>
          <w:color w:val="auto"/>
        </w:rPr>
        <w:t>,</w:t>
      </w:r>
      <w:r>
        <w:rPr>
          <w:rFonts w:ascii="Arial" w:cs="Arial" w:eastAsia="Arial" w:hAnsi="Arial"/>
          <w:sz w:val="26"/>
          <w:szCs w:val="26"/>
          <w:color w:val="auto"/>
        </w:rPr>
        <w:t xml:space="preserve"> которое влияет или может повлиять на надлежащее исполнение ими профессиональных обязанностей вследствие противоречия между личной заинтересованностью медицинского работника или фармацевтического работника и интересами пациента </w:t>
      </w:r>
      <w:r>
        <w:rPr>
          <w:rFonts w:ascii="Arial" w:cs="Arial" w:eastAsia="Arial" w:hAnsi="Arial"/>
          <w:sz w:val="26"/>
          <w:szCs w:val="26"/>
          <w:color w:val="auto"/>
        </w:rPr>
        <w:t>[2].</w:t>
      </w:r>
    </w:p>
    <w:p>
      <w:pPr>
        <w:spacing w:after="0" w:line="211"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Лекарственные препараты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лекарственные средства в виде</w:t>
      </w:r>
      <w:r>
        <w:rPr>
          <w:rFonts w:ascii="Arial" w:cs="Arial" w:eastAsia="Arial" w:hAnsi="Arial"/>
          <w:sz w:val="27"/>
          <w:szCs w:val="27"/>
          <w:b w:val="1"/>
          <w:bCs w:val="1"/>
          <w:color w:val="auto"/>
        </w:rPr>
        <w:t xml:space="preserve"> </w:t>
      </w:r>
      <w:r>
        <w:rPr>
          <w:rFonts w:ascii="Arial" w:cs="Arial" w:eastAsia="Arial" w:hAnsi="Arial"/>
          <w:sz w:val="27"/>
          <w:szCs w:val="27"/>
          <w:color w:val="auto"/>
        </w:rPr>
        <w:t>лекарственных форм</w:t>
      </w:r>
      <w:r>
        <w:rPr>
          <w:rFonts w:ascii="Arial" w:cs="Arial" w:eastAsia="Arial" w:hAnsi="Arial"/>
          <w:sz w:val="27"/>
          <w:szCs w:val="27"/>
          <w:color w:val="auto"/>
        </w:rPr>
        <w:t>,</w:t>
      </w:r>
      <w:r>
        <w:rPr>
          <w:rFonts w:ascii="Arial" w:cs="Arial" w:eastAsia="Arial" w:hAnsi="Arial"/>
          <w:sz w:val="27"/>
          <w:szCs w:val="27"/>
          <w:color w:val="auto"/>
        </w:rPr>
        <w:t xml:space="preserve"> применяемые для профилактики</w:t>
      </w:r>
      <w:r>
        <w:rPr>
          <w:rFonts w:ascii="Arial" w:cs="Arial" w:eastAsia="Arial" w:hAnsi="Arial"/>
          <w:sz w:val="27"/>
          <w:szCs w:val="27"/>
          <w:color w:val="auto"/>
        </w:rPr>
        <w:t>,</w:t>
      </w:r>
      <w:r>
        <w:rPr>
          <w:rFonts w:ascii="Arial" w:cs="Arial" w:eastAsia="Arial" w:hAnsi="Arial"/>
          <w:sz w:val="27"/>
          <w:szCs w:val="27"/>
          <w:color w:val="auto"/>
        </w:rPr>
        <w:t xml:space="preserve"> диагностики</w:t>
      </w:r>
      <w:r>
        <w:rPr>
          <w:rFonts w:ascii="Arial" w:cs="Arial" w:eastAsia="Arial" w:hAnsi="Arial"/>
          <w:sz w:val="27"/>
          <w:szCs w:val="27"/>
          <w:color w:val="auto"/>
        </w:rPr>
        <w:t>,</w:t>
      </w:r>
      <w:r>
        <w:rPr>
          <w:rFonts w:ascii="Arial" w:cs="Arial" w:eastAsia="Arial" w:hAnsi="Arial"/>
          <w:sz w:val="27"/>
          <w:szCs w:val="27"/>
          <w:color w:val="auto"/>
        </w:rPr>
        <w:t xml:space="preserve"> лечения заболевания</w:t>
      </w:r>
      <w:r>
        <w:rPr>
          <w:rFonts w:ascii="Arial" w:cs="Arial" w:eastAsia="Arial" w:hAnsi="Arial"/>
          <w:sz w:val="27"/>
          <w:szCs w:val="27"/>
          <w:color w:val="auto"/>
        </w:rPr>
        <w:t>,</w:t>
      </w:r>
      <w:r>
        <w:rPr>
          <w:rFonts w:ascii="Arial" w:cs="Arial" w:eastAsia="Arial" w:hAnsi="Arial"/>
          <w:sz w:val="27"/>
          <w:szCs w:val="27"/>
          <w:color w:val="auto"/>
        </w:rPr>
        <w:t xml:space="preserve"> реабилитации</w:t>
      </w:r>
      <w:r>
        <w:rPr>
          <w:rFonts w:ascii="Arial" w:cs="Arial" w:eastAsia="Arial" w:hAnsi="Arial"/>
          <w:sz w:val="27"/>
          <w:szCs w:val="27"/>
          <w:color w:val="auto"/>
        </w:rPr>
        <w:t>,</w:t>
      </w:r>
      <w:r>
        <w:rPr>
          <w:rFonts w:ascii="Arial" w:cs="Arial" w:eastAsia="Arial" w:hAnsi="Arial"/>
          <w:sz w:val="27"/>
          <w:szCs w:val="27"/>
          <w:color w:val="auto"/>
        </w:rPr>
        <w:t xml:space="preserve"> для сохранения</w:t>
      </w:r>
      <w:r>
        <w:rPr>
          <w:rFonts w:ascii="Arial" w:cs="Arial" w:eastAsia="Arial" w:hAnsi="Arial"/>
          <w:sz w:val="27"/>
          <w:szCs w:val="27"/>
          <w:color w:val="auto"/>
        </w:rPr>
        <w:t>,</w:t>
      </w:r>
      <w:r>
        <w:rPr>
          <w:rFonts w:ascii="Arial" w:cs="Arial" w:eastAsia="Arial" w:hAnsi="Arial"/>
          <w:sz w:val="27"/>
          <w:szCs w:val="27"/>
          <w:color w:val="auto"/>
        </w:rPr>
        <w:t xml:space="preserve"> предотвращения или прерывания беременности </w:t>
      </w:r>
      <w:r>
        <w:rPr>
          <w:rFonts w:ascii="Arial" w:cs="Arial" w:eastAsia="Arial" w:hAnsi="Arial"/>
          <w:sz w:val="27"/>
          <w:szCs w:val="27"/>
          <w:color w:val="auto"/>
        </w:rPr>
        <w:t>[5].</w:t>
      </w:r>
    </w:p>
    <w:p>
      <w:pPr>
        <w:spacing w:after="0" w:line="216"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Маскированная </w:t>
      </w:r>
      <w:r>
        <w:rPr>
          <w:rFonts w:ascii="Arial" w:cs="Arial" w:eastAsia="Arial" w:hAnsi="Arial"/>
          <w:sz w:val="27"/>
          <w:szCs w:val="27"/>
          <w:b w:val="1"/>
          <w:bCs w:val="1"/>
          <w:color w:val="auto"/>
        </w:rPr>
        <w:t>(</w:t>
      </w:r>
      <w:r>
        <w:rPr>
          <w:rFonts w:ascii="Arial" w:cs="Arial" w:eastAsia="Arial" w:hAnsi="Arial"/>
          <w:sz w:val="27"/>
          <w:szCs w:val="27"/>
          <w:b w:val="1"/>
          <w:bCs w:val="1"/>
          <w:color w:val="auto"/>
        </w:rPr>
        <w:t>скрытая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АГ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форма гипертонии</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особенностью которой являются нормальные показатели клинического АД </w:t>
      </w:r>
      <w:r>
        <w:rPr>
          <w:rFonts w:ascii="Arial" w:cs="Arial" w:eastAsia="Arial" w:hAnsi="Arial"/>
          <w:sz w:val="27"/>
          <w:szCs w:val="27"/>
          <w:color w:val="auto"/>
        </w:rPr>
        <w:t>(&lt;140/90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 повышенные </w:t>
      </w:r>
      <w:r>
        <w:rPr>
          <w:rFonts w:ascii="Arial" w:cs="Arial" w:eastAsia="Arial" w:hAnsi="Arial"/>
          <w:sz w:val="27"/>
          <w:szCs w:val="27"/>
          <w:color w:val="auto"/>
        </w:rPr>
        <w:t>—</w:t>
      </w:r>
      <w:r>
        <w:rPr>
          <w:rFonts w:ascii="Arial" w:cs="Arial" w:eastAsia="Arial" w:hAnsi="Arial"/>
          <w:sz w:val="27"/>
          <w:szCs w:val="27"/>
          <w:color w:val="auto"/>
        </w:rPr>
        <w:t xml:space="preserve"> по данным СМАД и</w:t>
      </w:r>
      <w:r>
        <w:rPr>
          <w:rFonts w:ascii="Arial" w:cs="Arial" w:eastAsia="Arial" w:hAnsi="Arial"/>
          <w:sz w:val="27"/>
          <w:szCs w:val="27"/>
          <w:color w:val="auto"/>
        </w:rPr>
        <w:t>/</w:t>
      </w:r>
      <w:r>
        <w:rPr>
          <w:rFonts w:ascii="Arial" w:cs="Arial" w:eastAsia="Arial" w:hAnsi="Arial"/>
          <w:sz w:val="27"/>
          <w:szCs w:val="27"/>
          <w:color w:val="auto"/>
        </w:rPr>
        <w:t>или ДМАД</w:t>
      </w:r>
      <w:r>
        <w:rPr>
          <w:rFonts w:ascii="Arial" w:cs="Arial" w:eastAsia="Arial" w:hAnsi="Arial"/>
          <w:sz w:val="27"/>
          <w:szCs w:val="27"/>
          <w:color w:val="auto"/>
        </w:rPr>
        <w:t>.</w:t>
      </w:r>
    </w:p>
    <w:p>
      <w:pPr>
        <w:spacing w:after="0" w:line="216"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Медицинское вмешательство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выполняемые медицинским</w:t>
      </w:r>
      <w:r>
        <w:rPr>
          <w:rFonts w:ascii="Arial" w:cs="Arial" w:eastAsia="Arial" w:hAnsi="Arial"/>
          <w:sz w:val="27"/>
          <w:szCs w:val="27"/>
          <w:b w:val="1"/>
          <w:bCs w:val="1"/>
          <w:color w:val="auto"/>
        </w:rPr>
        <w:t xml:space="preserve"> </w:t>
      </w:r>
      <w:r>
        <w:rPr>
          <w:rFonts w:ascii="Arial" w:cs="Arial" w:eastAsia="Arial" w:hAnsi="Arial"/>
          <w:sz w:val="27"/>
          <w:szCs w:val="27"/>
          <w:color w:val="auto"/>
        </w:rPr>
        <w:t>работником и иным работником</w:t>
      </w:r>
      <w:r>
        <w:rPr>
          <w:rFonts w:ascii="Arial" w:cs="Arial" w:eastAsia="Arial" w:hAnsi="Arial"/>
          <w:sz w:val="27"/>
          <w:szCs w:val="27"/>
          <w:color w:val="auto"/>
        </w:rPr>
        <w:t>,</w:t>
      </w:r>
      <w:r>
        <w:rPr>
          <w:rFonts w:ascii="Arial" w:cs="Arial" w:eastAsia="Arial" w:hAnsi="Arial"/>
          <w:sz w:val="27"/>
          <w:szCs w:val="27"/>
          <w:color w:val="auto"/>
        </w:rPr>
        <w:t xml:space="preserve"> имеющим право на осуществление медицинской деятельности</w:t>
      </w:r>
      <w:r>
        <w:rPr>
          <w:rFonts w:ascii="Arial" w:cs="Arial" w:eastAsia="Arial" w:hAnsi="Arial"/>
          <w:sz w:val="27"/>
          <w:szCs w:val="27"/>
          <w:color w:val="auto"/>
        </w:rPr>
        <w:t>,</w:t>
      </w:r>
      <w:r>
        <w:rPr>
          <w:rFonts w:ascii="Arial" w:cs="Arial" w:eastAsia="Arial" w:hAnsi="Arial"/>
          <w:sz w:val="27"/>
          <w:szCs w:val="27"/>
          <w:color w:val="auto"/>
        </w:rPr>
        <w:t xml:space="preserve"> по отношению к пациенту</w:t>
      </w:r>
      <w:r>
        <w:rPr>
          <w:rFonts w:ascii="Arial" w:cs="Arial" w:eastAsia="Arial" w:hAnsi="Arial"/>
          <w:sz w:val="27"/>
          <w:szCs w:val="27"/>
          <w:color w:val="auto"/>
        </w:rPr>
        <w:t>,</w:t>
      </w:r>
      <w:r>
        <w:rPr>
          <w:rFonts w:ascii="Arial" w:cs="Arial" w:eastAsia="Arial" w:hAnsi="Arial"/>
          <w:sz w:val="27"/>
          <w:szCs w:val="27"/>
          <w:color w:val="auto"/>
        </w:rPr>
        <w:t xml:space="preserve"> затрагивающие физическое или психическое состояние человека и имеющие профилактическую</w:t>
      </w:r>
      <w:r>
        <w:rPr>
          <w:rFonts w:ascii="Arial" w:cs="Arial" w:eastAsia="Arial" w:hAnsi="Arial"/>
          <w:sz w:val="27"/>
          <w:szCs w:val="27"/>
          <w:color w:val="auto"/>
        </w:rPr>
        <w:t>,</w:t>
      </w:r>
    </w:p>
    <w:p>
      <w:pPr>
        <w:spacing w:after="0" w:line="4"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диагностическую</w:t>
      </w:r>
      <w:r>
        <w:rPr>
          <w:rFonts w:ascii="Arial" w:cs="Arial" w:eastAsia="Arial" w:hAnsi="Arial"/>
          <w:sz w:val="27"/>
          <w:szCs w:val="27"/>
          <w:color w:val="auto"/>
        </w:rPr>
        <w:t>,</w:t>
      </w:r>
      <w:r>
        <w:rPr>
          <w:rFonts w:ascii="Arial" w:cs="Arial" w:eastAsia="Arial" w:hAnsi="Arial"/>
          <w:sz w:val="27"/>
          <w:szCs w:val="27"/>
          <w:color w:val="auto"/>
        </w:rPr>
        <w:t xml:space="preserve"> лечебную</w:t>
      </w:r>
      <w:r>
        <w:rPr>
          <w:rFonts w:ascii="Arial" w:cs="Arial" w:eastAsia="Arial" w:hAnsi="Arial"/>
          <w:sz w:val="27"/>
          <w:szCs w:val="27"/>
          <w:color w:val="auto"/>
        </w:rPr>
        <w:t>,</w:t>
      </w:r>
      <w:r>
        <w:rPr>
          <w:rFonts w:ascii="Arial" w:cs="Arial" w:eastAsia="Arial" w:hAnsi="Arial"/>
          <w:sz w:val="27"/>
          <w:szCs w:val="27"/>
          <w:color w:val="auto"/>
        </w:rPr>
        <w:t xml:space="preserve"> реабилитационную или исследовательскую направленность виды медицинских обследований и </w:t>
      </w:r>
      <w:r>
        <w:rPr>
          <w:rFonts w:ascii="Arial" w:cs="Arial" w:eastAsia="Arial" w:hAnsi="Arial"/>
          <w:sz w:val="27"/>
          <w:szCs w:val="27"/>
          <w:color w:val="auto"/>
        </w:rPr>
        <w:t>(</w:t>
      </w:r>
      <w:r>
        <w:rPr>
          <w:rFonts w:ascii="Arial" w:cs="Arial" w:eastAsia="Arial" w:hAnsi="Arial"/>
          <w:sz w:val="27"/>
          <w:szCs w:val="27"/>
          <w:color w:val="auto"/>
        </w:rPr>
        <w:t>или</w:t>
      </w:r>
      <w:r>
        <w:rPr>
          <w:rFonts w:ascii="Arial" w:cs="Arial" w:eastAsia="Arial" w:hAnsi="Arial"/>
          <w:sz w:val="27"/>
          <w:szCs w:val="27"/>
          <w:color w:val="auto"/>
        </w:rPr>
        <w:t>)</w:t>
      </w:r>
      <w:r>
        <w:rPr>
          <w:rFonts w:ascii="Arial" w:cs="Arial" w:eastAsia="Arial" w:hAnsi="Arial"/>
          <w:sz w:val="27"/>
          <w:szCs w:val="27"/>
          <w:color w:val="auto"/>
        </w:rPr>
        <w:t xml:space="preserve"> медицинских манипуляций</w:t>
      </w:r>
      <w:r>
        <w:rPr>
          <w:rFonts w:ascii="Arial" w:cs="Arial" w:eastAsia="Arial" w:hAnsi="Arial"/>
          <w:sz w:val="27"/>
          <w:szCs w:val="27"/>
          <w:color w:val="auto"/>
        </w:rPr>
        <w:t>,</w:t>
      </w:r>
      <w:r>
        <w:rPr>
          <w:rFonts w:ascii="Arial" w:cs="Arial" w:eastAsia="Arial" w:hAnsi="Arial"/>
          <w:sz w:val="27"/>
          <w:szCs w:val="27"/>
          <w:color w:val="auto"/>
        </w:rPr>
        <w:t xml:space="preserve"> а также искусственное прерывание беременности </w:t>
      </w:r>
      <w:r>
        <w:rPr>
          <w:rFonts w:ascii="Arial" w:cs="Arial" w:eastAsia="Arial" w:hAnsi="Arial"/>
          <w:sz w:val="27"/>
          <w:szCs w:val="27"/>
          <w:color w:val="auto"/>
        </w:rPr>
        <w:t>[2].</w:t>
      </w:r>
    </w:p>
    <w:p>
      <w:pPr>
        <w:sectPr>
          <w:pgSz w:w="11900" w:h="16840" w:orient="portrait"/>
          <w:cols w:equalWidth="0" w:num="1">
            <w:col w:w="9020"/>
          </w:cols>
          <w:pgMar w:left="1440" w:top="19" w:right="1440" w:bottom="25" w:gutter="0" w:footer="0" w:header="0"/>
        </w:sectPr>
      </w:pPr>
    </w:p>
    <w:bookmarkStart w:id="10" w:name="page11"/>
    <w:bookmarkEnd w:id="10"/>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Изменение образа жизни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мероприятия</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направленные на</w:t>
      </w:r>
      <w:r>
        <w:rPr>
          <w:rFonts w:ascii="Arial" w:cs="Arial" w:eastAsia="Arial" w:hAnsi="Arial"/>
          <w:sz w:val="27"/>
          <w:szCs w:val="27"/>
          <w:b w:val="1"/>
          <w:bCs w:val="1"/>
          <w:color w:val="auto"/>
        </w:rPr>
        <w:t xml:space="preserve"> </w:t>
      </w:r>
      <w:r>
        <w:rPr>
          <w:rFonts w:ascii="Arial" w:cs="Arial" w:eastAsia="Arial" w:hAnsi="Arial"/>
          <w:sz w:val="27"/>
          <w:szCs w:val="27"/>
          <w:color w:val="auto"/>
        </w:rPr>
        <w:t>нормализацию веса и характера питания</w:t>
      </w:r>
      <w:r>
        <w:rPr>
          <w:rFonts w:ascii="Arial" w:cs="Arial" w:eastAsia="Arial" w:hAnsi="Arial"/>
          <w:sz w:val="27"/>
          <w:szCs w:val="27"/>
          <w:color w:val="auto"/>
        </w:rPr>
        <w:t>,</w:t>
      </w:r>
      <w:r>
        <w:rPr>
          <w:rFonts w:ascii="Arial" w:cs="Arial" w:eastAsia="Arial" w:hAnsi="Arial"/>
          <w:sz w:val="27"/>
          <w:szCs w:val="27"/>
          <w:color w:val="auto"/>
        </w:rPr>
        <w:t xml:space="preserve"> двигательной активности</w:t>
      </w:r>
      <w:r>
        <w:rPr>
          <w:rFonts w:ascii="Arial" w:cs="Arial" w:eastAsia="Arial" w:hAnsi="Arial"/>
          <w:sz w:val="27"/>
          <w:szCs w:val="27"/>
          <w:color w:val="auto"/>
        </w:rPr>
        <w:t>,</w:t>
      </w:r>
      <w:r>
        <w:rPr>
          <w:rFonts w:ascii="Arial" w:cs="Arial" w:eastAsia="Arial" w:hAnsi="Arial"/>
          <w:sz w:val="27"/>
          <w:szCs w:val="27"/>
          <w:color w:val="auto"/>
        </w:rPr>
        <w:t xml:space="preserve"> целью которых является снижение сердечно</w:t>
      </w:r>
      <w:r>
        <w:rPr>
          <w:rFonts w:ascii="Arial" w:cs="Arial" w:eastAsia="Arial" w:hAnsi="Arial"/>
          <w:sz w:val="27"/>
          <w:szCs w:val="27"/>
          <w:color w:val="auto"/>
        </w:rPr>
        <w:t>-</w:t>
      </w:r>
      <w:r>
        <w:rPr>
          <w:rFonts w:ascii="Arial" w:cs="Arial" w:eastAsia="Arial" w:hAnsi="Arial"/>
          <w:sz w:val="27"/>
          <w:szCs w:val="27"/>
          <w:color w:val="auto"/>
        </w:rPr>
        <w:t>сосудистого риска</w:t>
      </w:r>
      <w:r>
        <w:rPr>
          <w:rFonts w:ascii="Arial" w:cs="Arial" w:eastAsia="Arial" w:hAnsi="Arial"/>
          <w:sz w:val="27"/>
          <w:szCs w:val="27"/>
          <w:color w:val="auto"/>
        </w:rPr>
        <w:t>.</w:t>
      </w:r>
    </w:p>
    <w:p>
      <w:pPr>
        <w:spacing w:after="0" w:line="21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Оптимальное АД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САД менее</w:t>
      </w:r>
      <w:r>
        <w:rPr>
          <w:rFonts w:ascii="Arial" w:cs="Arial" w:eastAsia="Arial" w:hAnsi="Arial"/>
          <w:sz w:val="27"/>
          <w:szCs w:val="27"/>
          <w:b w:val="1"/>
          <w:bCs w:val="1"/>
          <w:color w:val="auto"/>
        </w:rPr>
        <w:t xml:space="preserve"> </w:t>
      </w:r>
      <w:r>
        <w:rPr>
          <w:rFonts w:ascii="Arial" w:cs="Arial" w:eastAsia="Arial" w:hAnsi="Arial"/>
          <w:sz w:val="27"/>
          <w:szCs w:val="27"/>
          <w:color w:val="auto"/>
        </w:rPr>
        <w:t>120</w:t>
      </w:r>
      <w:r>
        <w:rPr>
          <w:rFonts w:ascii="Arial" w:cs="Arial" w:eastAsia="Arial" w:hAnsi="Arial"/>
          <w:sz w:val="27"/>
          <w:szCs w:val="27"/>
          <w:b w:val="1"/>
          <w:bCs w:val="1"/>
          <w:color w:val="auto"/>
        </w:rPr>
        <w:t xml:space="preserve"> </w:t>
      </w:r>
      <w:r>
        <w:rPr>
          <w:rFonts w:ascii="Arial" w:cs="Arial" w:eastAsia="Arial" w:hAnsi="Arial"/>
          <w:sz w:val="27"/>
          <w:szCs w:val="27"/>
          <w:color w:val="auto"/>
        </w:rPr>
        <w:t>ммрт</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и</w:t>
      </w:r>
      <w:r>
        <w:rPr>
          <w:rFonts w:ascii="Arial" w:cs="Arial" w:eastAsia="Arial" w:hAnsi="Arial"/>
          <w:sz w:val="27"/>
          <w:szCs w:val="27"/>
          <w:color w:val="auto"/>
        </w:rPr>
        <w:t>/</w:t>
      </w:r>
      <w:r>
        <w:rPr>
          <w:rFonts w:ascii="Arial" w:cs="Arial" w:eastAsia="Arial" w:hAnsi="Arial"/>
          <w:sz w:val="27"/>
          <w:szCs w:val="27"/>
          <w:color w:val="auto"/>
        </w:rPr>
        <w:t>или ДАД менее</w:t>
      </w:r>
      <w:r>
        <w:rPr>
          <w:rFonts w:ascii="Arial" w:cs="Arial" w:eastAsia="Arial" w:hAnsi="Arial"/>
          <w:sz w:val="27"/>
          <w:szCs w:val="27"/>
          <w:b w:val="1"/>
          <w:bCs w:val="1"/>
          <w:color w:val="auto"/>
        </w:rPr>
        <w:t xml:space="preserve"> </w:t>
      </w:r>
      <w:r>
        <w:rPr>
          <w:rFonts w:ascii="Arial" w:cs="Arial" w:eastAsia="Arial" w:hAnsi="Arial"/>
          <w:sz w:val="27"/>
          <w:szCs w:val="27"/>
          <w:color w:val="auto"/>
        </w:rPr>
        <w:t>80</w:t>
      </w:r>
      <w:r>
        <w:rPr>
          <w:rFonts w:ascii="Arial" w:cs="Arial" w:eastAsia="Arial" w:hAnsi="Arial"/>
          <w:sz w:val="27"/>
          <w:szCs w:val="27"/>
          <w:b w:val="1"/>
          <w:bCs w:val="1"/>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Очень пожилые пациенты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пациенты в возрасте</w:t>
      </w:r>
      <w:r>
        <w:rPr>
          <w:rFonts w:ascii="Arial" w:cs="Arial" w:eastAsia="Arial" w:hAnsi="Arial"/>
          <w:sz w:val="27"/>
          <w:szCs w:val="27"/>
          <w:b w:val="1"/>
          <w:bCs w:val="1"/>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80</w:t>
      </w:r>
      <w:r>
        <w:rPr>
          <w:rFonts w:ascii="Arial" w:cs="Arial" w:eastAsia="Arial" w:hAnsi="Arial"/>
          <w:sz w:val="27"/>
          <w:szCs w:val="27"/>
          <w:b w:val="1"/>
          <w:bCs w:val="1"/>
          <w:color w:val="auto"/>
        </w:rPr>
        <w:t xml:space="preserve"> </w:t>
      </w:r>
      <w:r>
        <w:rPr>
          <w:rFonts w:ascii="Arial" w:cs="Arial" w:eastAsia="Arial" w:hAnsi="Arial"/>
          <w:sz w:val="27"/>
          <w:szCs w:val="27"/>
          <w:color w:val="auto"/>
        </w:rPr>
        <w:t>лет</w:t>
      </w:r>
      <w:r>
        <w:rPr>
          <w:rFonts w:ascii="Arial" w:cs="Arial" w:eastAsia="Arial" w:hAnsi="Arial"/>
          <w:sz w:val="27"/>
          <w:szCs w:val="27"/>
          <w:color w:val="auto"/>
        </w:rPr>
        <w:t>.</w:t>
      </w:r>
    </w:p>
    <w:p>
      <w:pPr>
        <w:spacing w:after="0" w:line="349"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Пациент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физическое лицо</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которому оказывается</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медицинская помощь или которое обратилось за оказанием медицинской помощи независимо от наличия у него заболевания и от его состояния </w:t>
      </w:r>
      <w:r>
        <w:rPr>
          <w:rFonts w:ascii="Arial" w:cs="Arial" w:eastAsia="Arial" w:hAnsi="Arial"/>
          <w:sz w:val="27"/>
          <w:szCs w:val="27"/>
          <w:color w:val="auto"/>
        </w:rPr>
        <w:t>[2].</w:t>
      </w:r>
    </w:p>
    <w:p>
      <w:pPr>
        <w:spacing w:after="0" w:line="216" w:lineRule="exact"/>
        <w:rPr>
          <w:sz w:val="20"/>
          <w:szCs w:val="20"/>
          <w:color w:val="auto"/>
        </w:rPr>
      </w:pPr>
    </w:p>
    <w:p>
      <w:pPr>
        <w:ind w:left="360"/>
        <w:spacing w:after="0"/>
        <w:rPr>
          <w:sz w:val="20"/>
          <w:szCs w:val="20"/>
          <w:color w:val="auto"/>
        </w:rPr>
      </w:pPr>
      <w:r>
        <w:rPr>
          <w:rFonts w:ascii="Arial" w:cs="Arial" w:eastAsia="Arial" w:hAnsi="Arial"/>
          <w:sz w:val="26"/>
          <w:szCs w:val="26"/>
          <w:b w:val="1"/>
          <w:bCs w:val="1"/>
          <w:color w:val="auto"/>
        </w:rPr>
        <w:t xml:space="preserve">Нормальное АД </w:t>
      </w:r>
      <w:r>
        <w:rPr>
          <w:rFonts w:ascii="Arial" w:cs="Arial" w:eastAsia="Arial" w:hAnsi="Arial"/>
          <w:sz w:val="26"/>
          <w:szCs w:val="26"/>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давление в диапазоне САД</w:t>
      </w:r>
      <w:r>
        <w:rPr>
          <w:rFonts w:ascii="Arial" w:cs="Arial" w:eastAsia="Arial" w:hAnsi="Arial"/>
          <w:sz w:val="26"/>
          <w:szCs w:val="26"/>
          <w:b w:val="1"/>
          <w:bCs w:val="1"/>
          <w:color w:val="auto"/>
        </w:rPr>
        <w:t xml:space="preserve"> </w:t>
      </w:r>
      <w:r>
        <w:rPr>
          <w:rFonts w:ascii="Arial" w:cs="Arial" w:eastAsia="Arial" w:hAnsi="Arial"/>
          <w:sz w:val="26"/>
          <w:szCs w:val="26"/>
          <w:color w:val="auto"/>
        </w:rPr>
        <w:t>120–129</w:t>
      </w:r>
      <w:r>
        <w:rPr>
          <w:rFonts w:ascii="Arial" w:cs="Arial" w:eastAsia="Arial" w:hAnsi="Arial"/>
          <w:sz w:val="26"/>
          <w:szCs w:val="26"/>
          <w:b w:val="1"/>
          <w:bCs w:val="1"/>
          <w:color w:val="auto"/>
        </w:rPr>
        <w:t xml:space="preserve"> </w:t>
      </w:r>
      <w:r>
        <w:rPr>
          <w:rFonts w:ascii="Arial" w:cs="Arial" w:eastAsia="Arial" w:hAnsi="Arial"/>
          <w:sz w:val="26"/>
          <w:szCs w:val="26"/>
          <w:color w:val="auto"/>
        </w:rPr>
        <w:t>мм рт</w:t>
      </w:r>
      <w:r>
        <w:rPr>
          <w:rFonts w:ascii="Arial" w:cs="Arial" w:eastAsia="Arial" w:hAnsi="Arial"/>
          <w:sz w:val="26"/>
          <w:szCs w:val="26"/>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ст</w:t>
      </w:r>
      <w:r>
        <w:rPr>
          <w:rFonts w:ascii="Arial" w:cs="Arial" w:eastAsia="Arial" w:hAnsi="Arial"/>
          <w:sz w:val="26"/>
          <w:szCs w:val="26"/>
          <w:color w:val="auto"/>
        </w:rPr>
        <w:t>.</w:t>
      </w:r>
    </w:p>
    <w:p>
      <w:pPr>
        <w:spacing w:after="0" w:line="91"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и</w:t>
      </w:r>
      <w:r>
        <w:rPr>
          <w:rFonts w:ascii="Arial" w:cs="Arial" w:eastAsia="Arial" w:hAnsi="Arial"/>
          <w:sz w:val="27"/>
          <w:szCs w:val="27"/>
          <w:color w:val="auto"/>
        </w:rPr>
        <w:t>/</w:t>
      </w:r>
      <w:r>
        <w:rPr>
          <w:rFonts w:ascii="Arial" w:cs="Arial" w:eastAsia="Arial" w:hAnsi="Arial"/>
          <w:sz w:val="27"/>
          <w:szCs w:val="27"/>
          <w:color w:val="auto"/>
        </w:rPr>
        <w:t xml:space="preserve">или ДАД </w:t>
      </w:r>
      <w:r>
        <w:rPr>
          <w:rFonts w:ascii="Arial" w:cs="Arial" w:eastAsia="Arial" w:hAnsi="Arial"/>
          <w:sz w:val="27"/>
          <w:szCs w:val="27"/>
          <w:color w:val="auto"/>
        </w:rPr>
        <w:t>80–84</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Пожилые пациенты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пациенты</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которым от</w:t>
      </w:r>
      <w:r>
        <w:rPr>
          <w:rFonts w:ascii="Arial" w:cs="Arial" w:eastAsia="Arial" w:hAnsi="Arial"/>
          <w:sz w:val="27"/>
          <w:szCs w:val="27"/>
          <w:b w:val="1"/>
          <w:bCs w:val="1"/>
          <w:color w:val="auto"/>
        </w:rPr>
        <w:t xml:space="preserve"> </w:t>
      </w:r>
      <w:r>
        <w:rPr>
          <w:rFonts w:ascii="Arial" w:cs="Arial" w:eastAsia="Arial" w:hAnsi="Arial"/>
          <w:sz w:val="27"/>
          <w:szCs w:val="27"/>
          <w:color w:val="auto"/>
        </w:rPr>
        <w:t>65</w:t>
      </w:r>
      <w:r>
        <w:rPr>
          <w:rFonts w:ascii="Arial" w:cs="Arial" w:eastAsia="Arial" w:hAnsi="Arial"/>
          <w:sz w:val="27"/>
          <w:szCs w:val="27"/>
          <w:b w:val="1"/>
          <w:bCs w:val="1"/>
          <w:color w:val="auto"/>
        </w:rPr>
        <w:t xml:space="preserve"> </w:t>
      </w:r>
      <w:r>
        <w:rPr>
          <w:rFonts w:ascii="Arial" w:cs="Arial" w:eastAsia="Arial" w:hAnsi="Arial"/>
          <w:sz w:val="27"/>
          <w:szCs w:val="27"/>
          <w:color w:val="auto"/>
        </w:rPr>
        <w:t>лет до</w:t>
      </w:r>
      <w:r>
        <w:rPr>
          <w:rFonts w:ascii="Arial" w:cs="Arial" w:eastAsia="Arial" w:hAnsi="Arial"/>
          <w:sz w:val="27"/>
          <w:szCs w:val="27"/>
          <w:b w:val="1"/>
          <w:bCs w:val="1"/>
          <w:color w:val="auto"/>
        </w:rPr>
        <w:t xml:space="preserve"> </w:t>
      </w:r>
      <w:r>
        <w:rPr>
          <w:rFonts w:ascii="Arial" w:cs="Arial" w:eastAsia="Arial" w:hAnsi="Arial"/>
          <w:sz w:val="27"/>
          <w:szCs w:val="27"/>
          <w:color w:val="auto"/>
        </w:rPr>
        <w:t>79</w:t>
      </w:r>
      <w:r>
        <w:rPr>
          <w:rFonts w:ascii="Arial" w:cs="Arial" w:eastAsia="Arial" w:hAnsi="Arial"/>
          <w:sz w:val="27"/>
          <w:szCs w:val="27"/>
          <w:b w:val="1"/>
          <w:bCs w:val="1"/>
          <w:color w:val="auto"/>
        </w:rPr>
        <w:t xml:space="preserve"> </w:t>
      </w:r>
      <w:r>
        <w:rPr>
          <w:rFonts w:ascii="Arial" w:cs="Arial" w:eastAsia="Arial" w:hAnsi="Arial"/>
          <w:sz w:val="27"/>
          <w:szCs w:val="27"/>
          <w:color w:val="auto"/>
        </w:rPr>
        <w:t>лет</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Постпрандиальная гипотензия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снижение систолического АД</w:t>
      </w:r>
      <w:r>
        <w:rPr>
          <w:rFonts w:ascii="Arial" w:cs="Arial" w:eastAsia="Arial" w:hAnsi="Arial"/>
          <w:sz w:val="27"/>
          <w:szCs w:val="27"/>
          <w:b w:val="1"/>
          <w:bCs w:val="1"/>
          <w:color w:val="auto"/>
        </w:rPr>
        <w:t xml:space="preserve"> </w:t>
      </w:r>
      <w:r>
        <w:rPr>
          <w:rFonts w:ascii="Arial" w:cs="Arial" w:eastAsia="Arial" w:hAnsi="Arial"/>
          <w:sz w:val="27"/>
          <w:szCs w:val="27"/>
          <w:color w:val="auto"/>
        </w:rPr>
        <w:t>более</w:t>
      </w:r>
      <w:r>
        <w:rPr>
          <w:rFonts w:ascii="Arial" w:cs="Arial" w:eastAsia="Arial" w:hAnsi="Arial"/>
          <w:sz w:val="27"/>
          <w:szCs w:val="27"/>
          <w:color w:val="auto"/>
        </w:rPr>
        <w:t>,</w:t>
      </w:r>
      <w:r>
        <w:rPr>
          <w:rFonts w:ascii="Arial" w:cs="Arial" w:eastAsia="Arial" w:hAnsi="Arial"/>
          <w:sz w:val="27"/>
          <w:szCs w:val="27"/>
          <w:color w:val="auto"/>
        </w:rPr>
        <w:t xml:space="preserve"> чем на </w:t>
      </w:r>
      <w:r>
        <w:rPr>
          <w:rFonts w:ascii="Arial" w:cs="Arial" w:eastAsia="Arial" w:hAnsi="Arial"/>
          <w:sz w:val="27"/>
          <w:szCs w:val="27"/>
          <w:color w:val="auto"/>
        </w:rPr>
        <w:t>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течение двух часов после приема пищи при нахождении в положении лежа или сидя </w:t>
      </w:r>
      <w:r>
        <w:rPr>
          <w:rFonts w:ascii="Arial" w:cs="Arial" w:eastAsia="Arial" w:hAnsi="Arial"/>
          <w:sz w:val="27"/>
          <w:szCs w:val="27"/>
          <w:color w:val="auto"/>
        </w:rPr>
        <w:t>[6].</w:t>
      </w:r>
    </w:p>
    <w:p>
      <w:pPr>
        <w:spacing w:after="0" w:line="21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Постуральная гипотензия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снижение САД на</w:t>
      </w:r>
      <w:r>
        <w:rPr>
          <w:rFonts w:ascii="Arial" w:cs="Arial" w:eastAsia="Arial" w:hAnsi="Arial"/>
          <w:sz w:val="27"/>
          <w:szCs w:val="27"/>
          <w:b w:val="1"/>
          <w:bCs w:val="1"/>
          <w:color w:val="auto"/>
        </w:rPr>
        <w:t xml:space="preserve"> </w:t>
      </w:r>
      <w:r>
        <w:rPr>
          <w:rFonts w:ascii="Arial" w:cs="Arial" w:eastAsia="Arial" w:hAnsi="Arial"/>
          <w:sz w:val="27"/>
          <w:szCs w:val="27"/>
          <w:color w:val="auto"/>
        </w:rPr>
        <w:t>20</w:t>
      </w:r>
      <w:r>
        <w:rPr>
          <w:rFonts w:ascii="Arial" w:cs="Arial" w:eastAsia="Arial" w:hAnsi="Arial"/>
          <w:sz w:val="27"/>
          <w:szCs w:val="27"/>
          <w:b w:val="1"/>
          <w:bCs w:val="1"/>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и</w:t>
      </w:r>
      <w:r>
        <w:rPr>
          <w:rFonts w:ascii="Arial" w:cs="Arial" w:eastAsia="Arial" w:hAnsi="Arial"/>
          <w:sz w:val="27"/>
          <w:szCs w:val="27"/>
          <w:b w:val="1"/>
          <w:bCs w:val="1"/>
          <w:color w:val="auto"/>
        </w:rPr>
        <w:t xml:space="preserve"> </w:t>
      </w:r>
      <w:r>
        <w:rPr>
          <w:rFonts w:ascii="Arial" w:cs="Arial" w:eastAsia="Arial" w:hAnsi="Arial"/>
          <w:sz w:val="27"/>
          <w:szCs w:val="27"/>
          <w:color w:val="auto"/>
        </w:rPr>
        <w:t>более и</w:t>
      </w:r>
      <w:r>
        <w:rPr>
          <w:rFonts w:ascii="Arial" w:cs="Arial" w:eastAsia="Arial" w:hAnsi="Arial"/>
          <w:sz w:val="27"/>
          <w:szCs w:val="27"/>
          <w:color w:val="auto"/>
        </w:rPr>
        <w:t>/</w:t>
      </w:r>
      <w:r>
        <w:rPr>
          <w:rFonts w:ascii="Arial" w:cs="Arial" w:eastAsia="Arial" w:hAnsi="Arial"/>
          <w:sz w:val="27"/>
          <w:szCs w:val="27"/>
          <w:color w:val="auto"/>
        </w:rPr>
        <w:t xml:space="preserve">или ДАД </w:t>
      </w:r>
      <w:r>
        <w:rPr>
          <w:rFonts w:ascii="Arial" w:cs="Arial" w:eastAsia="Arial" w:hAnsi="Arial"/>
          <w:sz w:val="27"/>
          <w:szCs w:val="27"/>
          <w:color w:val="auto"/>
        </w:rPr>
        <w:t>—</w:t>
      </w:r>
      <w:r>
        <w:rPr>
          <w:rFonts w:ascii="Arial" w:cs="Arial" w:eastAsia="Arial" w:hAnsi="Arial"/>
          <w:sz w:val="27"/>
          <w:szCs w:val="27"/>
          <w:color w:val="auto"/>
        </w:rPr>
        <w:t xml:space="preserve"> на </w:t>
      </w:r>
      <w:r>
        <w:rPr>
          <w:rFonts w:ascii="Arial" w:cs="Arial" w:eastAsia="Arial" w:hAnsi="Arial"/>
          <w:sz w:val="27"/>
          <w:szCs w:val="27"/>
          <w:color w:val="auto"/>
        </w:rPr>
        <w:t>10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 более в первые </w:t>
      </w:r>
      <w:r>
        <w:rPr>
          <w:rFonts w:ascii="Arial" w:cs="Arial" w:eastAsia="Arial" w:hAnsi="Arial"/>
          <w:sz w:val="27"/>
          <w:szCs w:val="27"/>
          <w:color w:val="auto"/>
        </w:rPr>
        <w:t>3</w:t>
      </w:r>
      <w:r>
        <w:rPr>
          <w:rFonts w:ascii="Arial" w:cs="Arial" w:eastAsia="Arial" w:hAnsi="Arial"/>
          <w:sz w:val="27"/>
          <w:szCs w:val="27"/>
          <w:color w:val="auto"/>
        </w:rPr>
        <w:t xml:space="preserve"> мин при переходе из горизонтального в вертикальное положение</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07" w:lineRule="auto"/>
        <w:rPr>
          <w:sz w:val="20"/>
          <w:szCs w:val="20"/>
          <w:color w:val="auto"/>
        </w:rPr>
      </w:pPr>
      <w:r>
        <w:rPr>
          <w:rFonts w:ascii="Arial" w:cs="Arial" w:eastAsia="Arial" w:hAnsi="Arial"/>
          <w:sz w:val="27"/>
          <w:szCs w:val="27"/>
          <w:b w:val="1"/>
          <w:bCs w:val="1"/>
          <w:color w:val="auto"/>
        </w:rPr>
        <w:t xml:space="preserve">Псевдорезистентная АГ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случаи резистентной АГ</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 которых не</w:t>
      </w:r>
      <w:r>
        <w:rPr>
          <w:rFonts w:ascii="Arial" w:cs="Arial" w:eastAsia="Arial" w:hAnsi="Arial"/>
          <w:sz w:val="27"/>
          <w:szCs w:val="27"/>
          <w:b w:val="1"/>
          <w:bCs w:val="1"/>
          <w:color w:val="auto"/>
        </w:rPr>
        <w:t xml:space="preserve"> </w:t>
      </w:r>
      <w:r>
        <w:rPr>
          <w:rFonts w:ascii="Arial" w:cs="Arial" w:eastAsia="Arial" w:hAnsi="Arial"/>
          <w:sz w:val="27"/>
          <w:szCs w:val="27"/>
          <w:color w:val="auto"/>
        </w:rPr>
        <w:t>могут быть исключены причины плохого контроля АД</w:t>
      </w:r>
      <w:r>
        <w:rPr>
          <w:rFonts w:ascii="Arial" w:cs="Arial" w:eastAsia="Arial" w:hAnsi="Arial"/>
          <w:sz w:val="27"/>
          <w:szCs w:val="27"/>
          <w:color w:val="auto"/>
        </w:rPr>
        <w:t>:</w:t>
      </w:r>
      <w:r>
        <w:rPr>
          <w:rFonts w:ascii="Arial" w:cs="Arial" w:eastAsia="Arial" w:hAnsi="Arial"/>
          <w:sz w:val="27"/>
          <w:szCs w:val="27"/>
          <w:color w:val="auto"/>
        </w:rPr>
        <w:t xml:space="preserve"> эффект </w:t>
      </w:r>
      <w:r>
        <w:rPr>
          <w:rFonts w:ascii="Arial" w:cs="Arial" w:eastAsia="Arial" w:hAnsi="Arial"/>
          <w:sz w:val="27"/>
          <w:szCs w:val="27"/>
          <w:color w:val="auto"/>
        </w:rPr>
        <w:t>«</w:t>
      </w:r>
      <w:r>
        <w:rPr>
          <w:rFonts w:ascii="Arial" w:cs="Arial" w:eastAsia="Arial" w:hAnsi="Arial"/>
          <w:sz w:val="27"/>
          <w:szCs w:val="27"/>
          <w:color w:val="auto"/>
        </w:rPr>
        <w:t>белого халата</w:t>
      </w:r>
      <w:r>
        <w:rPr>
          <w:rFonts w:ascii="Arial" w:cs="Arial" w:eastAsia="Arial" w:hAnsi="Arial"/>
          <w:sz w:val="27"/>
          <w:szCs w:val="27"/>
          <w:color w:val="auto"/>
        </w:rPr>
        <w:t xml:space="preserve">», </w:t>
      </w:r>
      <w:r>
        <w:rPr>
          <w:rFonts w:ascii="Arial" w:cs="Arial" w:eastAsia="Arial" w:hAnsi="Arial"/>
          <w:sz w:val="27"/>
          <w:szCs w:val="27"/>
          <w:color w:val="auto"/>
        </w:rPr>
        <w:t>плохая приверженность к лечению</w:t>
      </w:r>
      <w:r>
        <w:rPr>
          <w:rFonts w:ascii="Arial" w:cs="Arial" w:eastAsia="Arial" w:hAnsi="Arial"/>
          <w:sz w:val="27"/>
          <w:szCs w:val="27"/>
          <w:color w:val="auto"/>
        </w:rPr>
        <w:t xml:space="preserve">, </w:t>
      </w:r>
      <w:r>
        <w:rPr>
          <w:rFonts w:ascii="Arial" w:cs="Arial" w:eastAsia="Arial" w:hAnsi="Arial"/>
          <w:sz w:val="27"/>
          <w:szCs w:val="27"/>
          <w:color w:val="auto"/>
        </w:rPr>
        <w:t>неправильно</w:t>
      </w:r>
      <w:r>
        <w:rPr>
          <w:rFonts w:ascii="Arial" w:cs="Arial" w:eastAsia="Arial" w:hAnsi="Arial"/>
          <w:sz w:val="27"/>
          <w:szCs w:val="27"/>
          <w:color w:val="auto"/>
        </w:rPr>
        <w:t xml:space="preserve"> </w:t>
      </w:r>
      <w:r>
        <w:rPr>
          <w:rFonts w:ascii="Arial" w:cs="Arial" w:eastAsia="Arial" w:hAnsi="Arial"/>
          <w:sz w:val="27"/>
          <w:szCs w:val="27"/>
          <w:color w:val="auto"/>
        </w:rPr>
        <w:t>подобранная терапия</w:t>
      </w:r>
      <w:r>
        <w:rPr>
          <w:rFonts w:ascii="Arial" w:cs="Arial" w:eastAsia="Arial" w:hAnsi="Arial"/>
          <w:sz w:val="27"/>
          <w:szCs w:val="27"/>
          <w:color w:val="auto"/>
        </w:rPr>
        <w:t>,</w:t>
      </w:r>
      <w:r>
        <w:rPr>
          <w:rFonts w:ascii="Arial" w:cs="Arial" w:eastAsia="Arial" w:hAnsi="Arial"/>
          <w:sz w:val="27"/>
          <w:szCs w:val="27"/>
          <w:color w:val="auto"/>
        </w:rPr>
        <w:t xml:space="preserve"> неправильное измерениеАД</w:t>
      </w:r>
      <w:r>
        <w:rPr>
          <w:rFonts w:ascii="Arial" w:cs="Arial" w:eastAsia="Arial" w:hAnsi="Arial"/>
          <w:sz w:val="27"/>
          <w:szCs w:val="27"/>
          <w:color w:val="auto"/>
        </w:rPr>
        <w:t>,</w:t>
      </w:r>
      <w:r>
        <w:rPr>
          <w:rFonts w:ascii="Arial" w:cs="Arial" w:eastAsia="Arial" w:hAnsi="Arial"/>
          <w:sz w:val="27"/>
          <w:szCs w:val="27"/>
          <w:color w:val="auto"/>
        </w:rPr>
        <w:t xml:space="preserve"> выраженная кальцификация артерий</w:t>
      </w:r>
      <w:r>
        <w:rPr>
          <w:rFonts w:ascii="Arial" w:cs="Arial" w:eastAsia="Arial" w:hAnsi="Arial"/>
          <w:sz w:val="27"/>
          <w:szCs w:val="27"/>
          <w:color w:val="auto"/>
        </w:rPr>
        <w:t>,</w:t>
      </w:r>
      <w:r>
        <w:rPr>
          <w:rFonts w:ascii="Arial" w:cs="Arial" w:eastAsia="Arial" w:hAnsi="Arial"/>
          <w:sz w:val="27"/>
          <w:szCs w:val="27"/>
          <w:color w:val="auto"/>
        </w:rPr>
        <w:t xml:space="preserve"> регулярный прием препаратов</w:t>
      </w:r>
      <w:r>
        <w:rPr>
          <w:rFonts w:ascii="Arial" w:cs="Arial" w:eastAsia="Arial" w:hAnsi="Arial"/>
          <w:sz w:val="27"/>
          <w:szCs w:val="27"/>
          <w:color w:val="auto"/>
        </w:rPr>
        <w:t>,</w:t>
      </w:r>
      <w:r>
        <w:rPr>
          <w:rFonts w:ascii="Arial" w:cs="Arial" w:eastAsia="Arial" w:hAnsi="Arial"/>
          <w:sz w:val="27"/>
          <w:szCs w:val="27"/>
          <w:color w:val="auto"/>
        </w:rPr>
        <w:t xml:space="preserve"> повышающих АД</w:t>
      </w:r>
      <w:r>
        <w:rPr>
          <w:rFonts w:ascii="Arial" w:cs="Arial" w:eastAsia="Arial" w:hAnsi="Arial"/>
          <w:sz w:val="27"/>
          <w:szCs w:val="27"/>
          <w:color w:val="auto"/>
        </w:rPr>
        <w:t>,</w:t>
      </w:r>
      <w:r>
        <w:rPr>
          <w:rFonts w:ascii="Arial" w:cs="Arial" w:eastAsia="Arial" w:hAnsi="Arial"/>
          <w:sz w:val="27"/>
          <w:szCs w:val="27"/>
          <w:color w:val="auto"/>
        </w:rPr>
        <w:t xml:space="preserve"> факторы образа жизни</w:t>
      </w:r>
      <w:r>
        <w:rPr>
          <w:rFonts w:ascii="Arial" w:cs="Arial" w:eastAsia="Arial" w:hAnsi="Arial"/>
          <w:sz w:val="27"/>
          <w:szCs w:val="27"/>
          <w:color w:val="auto"/>
        </w:rPr>
        <w:t>,</w:t>
      </w:r>
      <w:r>
        <w:rPr>
          <w:rFonts w:ascii="Arial" w:cs="Arial" w:eastAsia="Arial" w:hAnsi="Arial"/>
          <w:sz w:val="27"/>
          <w:szCs w:val="27"/>
          <w:color w:val="auto"/>
        </w:rPr>
        <w:t xml:space="preserve"> наличие синдрома обструктивного апноэ во время сна</w:t>
      </w:r>
      <w:r>
        <w:rPr>
          <w:rFonts w:ascii="Arial" w:cs="Arial" w:eastAsia="Arial" w:hAnsi="Arial"/>
          <w:sz w:val="27"/>
          <w:szCs w:val="27"/>
          <w:color w:val="auto"/>
        </w:rPr>
        <w:t>.</w:t>
      </w:r>
    </w:p>
    <w:p>
      <w:pPr>
        <w:spacing w:after="0" w:line="221"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Пульсовое давление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разница между САД и ДАД</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Рабочая группа по разработке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актуализации клинических рекомендаций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коллектив специалистов</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работающих</w:t>
      </w:r>
      <w:r>
        <w:rPr>
          <w:rFonts w:ascii="Arial" w:cs="Arial" w:eastAsia="Arial" w:hAnsi="Arial"/>
          <w:sz w:val="27"/>
          <w:szCs w:val="27"/>
          <w:b w:val="1"/>
          <w:bCs w:val="1"/>
          <w:color w:val="auto"/>
        </w:rPr>
        <w:t xml:space="preserve"> </w:t>
      </w:r>
      <w:r>
        <w:rPr>
          <w:rFonts w:ascii="Arial" w:cs="Arial" w:eastAsia="Arial" w:hAnsi="Arial"/>
          <w:sz w:val="27"/>
          <w:szCs w:val="27"/>
          <w:color w:val="auto"/>
        </w:rPr>
        <w:t>совместно и согласованно в целях разработки</w:t>
      </w:r>
      <w:r>
        <w:rPr>
          <w:rFonts w:ascii="Arial" w:cs="Arial" w:eastAsia="Arial" w:hAnsi="Arial"/>
          <w:sz w:val="27"/>
          <w:szCs w:val="27"/>
          <w:color w:val="auto"/>
        </w:rPr>
        <w:t>/</w:t>
      </w:r>
      <w:r>
        <w:rPr>
          <w:rFonts w:ascii="Arial" w:cs="Arial" w:eastAsia="Arial" w:hAnsi="Arial"/>
          <w:sz w:val="27"/>
          <w:szCs w:val="27"/>
          <w:color w:val="auto"/>
        </w:rPr>
        <w:t>актуализации клинических рекомендаций и несущих общую ответственность за результаты данной работы</w:t>
      </w:r>
      <w:r>
        <w:rPr>
          <w:rFonts w:ascii="Arial" w:cs="Arial" w:eastAsia="Arial" w:hAnsi="Arial"/>
          <w:sz w:val="27"/>
          <w:szCs w:val="27"/>
          <w:color w:val="auto"/>
        </w:rPr>
        <w:t>.</w:t>
      </w:r>
    </w:p>
    <w:p>
      <w:pPr>
        <w:sectPr>
          <w:pgSz w:w="11900" w:h="16840" w:orient="portrait"/>
          <w:cols w:equalWidth="0" w:num="1">
            <w:col w:w="9020"/>
          </w:cols>
          <w:pgMar w:left="1440" w:top="19" w:right="1440" w:bottom="632" w:gutter="0" w:footer="0" w:header="0"/>
        </w:sectPr>
      </w:pPr>
    </w:p>
    <w:bookmarkStart w:id="11" w:name="page12"/>
    <w:bookmarkEnd w:id="11"/>
    <w:p>
      <w:pPr>
        <w:spacing w:after="0" w:line="30"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Резистентная АГ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диагностируется в случаях</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когда назначение</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трех антигипертензивных препаратов </w:t>
      </w:r>
      <w:r>
        <w:rPr>
          <w:rFonts w:ascii="Arial" w:cs="Arial" w:eastAsia="Arial" w:hAnsi="Arial"/>
          <w:sz w:val="27"/>
          <w:szCs w:val="27"/>
          <w:color w:val="auto"/>
        </w:rPr>
        <w:t>(</w:t>
      </w:r>
      <w:r>
        <w:rPr>
          <w:rFonts w:ascii="Arial" w:cs="Arial" w:eastAsia="Arial" w:hAnsi="Arial"/>
          <w:sz w:val="27"/>
          <w:szCs w:val="27"/>
          <w:color w:val="auto"/>
        </w:rPr>
        <w:t>включая диуретик</w:t>
      </w:r>
      <w:r>
        <w:rPr>
          <w:rFonts w:ascii="Arial" w:cs="Arial" w:eastAsia="Arial" w:hAnsi="Arial"/>
          <w:sz w:val="27"/>
          <w:szCs w:val="27"/>
          <w:color w:val="auto"/>
        </w:rPr>
        <w:t>)</w:t>
      </w:r>
      <w:r>
        <w:rPr>
          <w:rFonts w:ascii="Arial" w:cs="Arial" w:eastAsia="Arial" w:hAnsi="Arial"/>
          <w:sz w:val="27"/>
          <w:szCs w:val="27"/>
          <w:color w:val="auto"/>
        </w:rPr>
        <w:t xml:space="preserve"> в оптимальных или максимально переносимых дозах не приводит</w:t>
      </w:r>
    </w:p>
    <w:p>
      <w:pPr>
        <w:spacing w:after="0" w:line="2" w:lineRule="exact"/>
        <w:rPr>
          <w:sz w:val="20"/>
          <w:szCs w:val="20"/>
          <w:color w:val="auto"/>
        </w:rPr>
      </w:pPr>
    </w:p>
    <w:p>
      <w:pPr>
        <w:jc w:val="both"/>
        <w:ind w:left="360" w:right="220" w:firstLine="1"/>
        <w:spacing w:after="0" w:line="309" w:lineRule="auto"/>
        <w:tabs>
          <w:tab w:leader="none" w:pos="675" w:val="left"/>
        </w:tabs>
        <w:numPr>
          <w:ilvl w:val="0"/>
          <w:numId w:val="2"/>
        </w:numPr>
        <w:rPr>
          <w:rFonts w:ascii="Arial" w:cs="Arial" w:eastAsia="Arial" w:hAnsi="Arial"/>
          <w:sz w:val="27"/>
          <w:szCs w:val="27"/>
          <w:color w:val="auto"/>
        </w:rPr>
      </w:pPr>
      <w:r>
        <w:rPr>
          <w:rFonts w:ascii="Arial" w:cs="Arial" w:eastAsia="Arial" w:hAnsi="Arial"/>
          <w:sz w:val="27"/>
          <w:szCs w:val="27"/>
          <w:color w:val="auto"/>
        </w:rPr>
        <w:t xml:space="preserve">достижению целевого АД ниже </w:t>
      </w:r>
      <w:r>
        <w:rPr>
          <w:rFonts w:ascii="Arial" w:cs="Arial" w:eastAsia="Arial" w:hAnsi="Arial"/>
          <w:sz w:val="27"/>
          <w:szCs w:val="27"/>
          <w:color w:val="auto"/>
        </w:rPr>
        <w:t>140</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w:t>
      </w:r>
      <w:r>
        <w:rPr>
          <w:rFonts w:ascii="Arial" w:cs="Arial" w:eastAsia="Arial" w:hAnsi="Arial"/>
          <w:sz w:val="27"/>
          <w:szCs w:val="27"/>
          <w:color w:val="auto"/>
        </w:rPr>
        <w: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у приверженных к лечению пациентов</w:t>
      </w:r>
      <w:r>
        <w:rPr>
          <w:rFonts w:ascii="Arial" w:cs="Arial" w:eastAsia="Arial" w:hAnsi="Arial"/>
          <w:sz w:val="27"/>
          <w:szCs w:val="27"/>
          <w:color w:val="auto"/>
        </w:rPr>
        <w:t>.</w:t>
      </w:r>
      <w:r>
        <w:rPr>
          <w:rFonts w:ascii="Arial" w:cs="Arial" w:eastAsia="Arial" w:hAnsi="Arial"/>
          <w:sz w:val="27"/>
          <w:szCs w:val="27"/>
          <w:color w:val="auto"/>
        </w:rPr>
        <w:t xml:space="preserve"> При этом отсутствие контроля АД подтверждено измерением АД вне медицинского учреждения </w:t>
      </w:r>
      <w:r>
        <w:rPr>
          <w:rFonts w:ascii="Arial" w:cs="Arial" w:eastAsia="Arial" w:hAnsi="Arial"/>
          <w:sz w:val="27"/>
          <w:szCs w:val="27"/>
          <w:color w:val="auto"/>
        </w:rPr>
        <w:t>(</w:t>
      </w:r>
      <w:r>
        <w:rPr>
          <w:rFonts w:ascii="Arial" w:cs="Arial" w:eastAsia="Arial" w:hAnsi="Arial"/>
          <w:sz w:val="27"/>
          <w:szCs w:val="27"/>
          <w:color w:val="auto"/>
        </w:rPr>
        <w:t>СМАД или ДМАД</w:t>
      </w:r>
      <w:r>
        <w:rPr>
          <w:rFonts w:ascii="Arial" w:cs="Arial" w:eastAsia="Arial" w:hAnsi="Arial"/>
          <w:sz w:val="27"/>
          <w:szCs w:val="27"/>
          <w:color w:val="auto"/>
        </w:rPr>
        <w:t>),</w:t>
      </w:r>
      <w:r>
        <w:rPr>
          <w:rFonts w:ascii="Arial" w:cs="Arial" w:eastAsia="Arial" w:hAnsi="Arial"/>
          <w:sz w:val="27"/>
          <w:szCs w:val="27"/>
          <w:color w:val="auto"/>
        </w:rPr>
        <w:t xml:space="preserve"> а вторичные причины АГ исключены</w:t>
      </w:r>
      <w:r>
        <w:rPr>
          <w:rFonts w:ascii="Arial" w:cs="Arial" w:eastAsia="Arial" w:hAnsi="Arial"/>
          <w:sz w:val="27"/>
          <w:szCs w:val="27"/>
          <w:color w:val="auto"/>
        </w:rPr>
        <w:t>.</w:t>
      </w:r>
    </w:p>
    <w:p>
      <w:pPr>
        <w:spacing w:after="0" w:line="222"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Синдром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устойчивая совокупность ряда симптомов с единым</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патогенезом </w:t>
      </w:r>
      <w:r>
        <w:rPr>
          <w:rFonts w:ascii="Arial" w:cs="Arial" w:eastAsia="Arial" w:hAnsi="Arial"/>
          <w:sz w:val="27"/>
          <w:szCs w:val="27"/>
          <w:color w:val="auto"/>
        </w:rPr>
        <w:t>[7].</w:t>
      </w:r>
    </w:p>
    <w:p>
      <w:pPr>
        <w:spacing w:after="0" w:line="18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Состояние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изменения организма</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возникающие в связи с</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воздействием патогенных и </w:t>
      </w:r>
      <w:r>
        <w:rPr>
          <w:rFonts w:ascii="Arial" w:cs="Arial" w:eastAsia="Arial" w:hAnsi="Arial"/>
          <w:sz w:val="27"/>
          <w:szCs w:val="27"/>
          <w:color w:val="auto"/>
        </w:rPr>
        <w:t>(</w:t>
      </w:r>
      <w:r>
        <w:rPr>
          <w:rFonts w:ascii="Arial" w:cs="Arial" w:eastAsia="Arial" w:hAnsi="Arial"/>
          <w:sz w:val="27"/>
          <w:szCs w:val="27"/>
          <w:color w:val="auto"/>
        </w:rPr>
        <w:t>или</w:t>
      </w:r>
      <w:r>
        <w:rPr>
          <w:rFonts w:ascii="Arial" w:cs="Arial" w:eastAsia="Arial" w:hAnsi="Arial"/>
          <w:sz w:val="27"/>
          <w:szCs w:val="27"/>
          <w:color w:val="auto"/>
        </w:rPr>
        <w:t>)</w:t>
      </w:r>
      <w:r>
        <w:rPr>
          <w:rFonts w:ascii="Arial" w:cs="Arial" w:eastAsia="Arial" w:hAnsi="Arial"/>
          <w:sz w:val="27"/>
          <w:szCs w:val="27"/>
          <w:color w:val="auto"/>
        </w:rPr>
        <w:t xml:space="preserve"> физиологических факторов и требующие оказания медицинской помощи </w:t>
      </w:r>
      <w:r>
        <w:rPr>
          <w:rFonts w:ascii="Arial" w:cs="Arial" w:eastAsia="Arial" w:hAnsi="Arial"/>
          <w:sz w:val="27"/>
          <w:szCs w:val="27"/>
          <w:color w:val="auto"/>
        </w:rPr>
        <w:t>[2].</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Уровень достоверности доказательств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степень уверенности</w:t>
      </w:r>
    </w:p>
    <w:p>
      <w:pPr>
        <w:spacing w:after="0" w:line="80" w:lineRule="exact"/>
        <w:rPr>
          <w:sz w:val="20"/>
          <w:szCs w:val="20"/>
          <w:color w:val="auto"/>
        </w:rPr>
      </w:pPr>
    </w:p>
    <w:p>
      <w:pPr>
        <w:ind w:left="360" w:right="220" w:firstLine="1"/>
        <w:spacing w:after="0" w:line="334" w:lineRule="auto"/>
        <w:tabs>
          <w:tab w:leader="none" w:pos="658" w:val="left"/>
        </w:tabs>
        <w:numPr>
          <w:ilvl w:val="0"/>
          <w:numId w:val="3"/>
        </w:numPr>
        <w:rPr>
          <w:rFonts w:ascii="Arial" w:cs="Arial" w:eastAsia="Arial" w:hAnsi="Arial"/>
          <w:sz w:val="27"/>
          <w:szCs w:val="27"/>
          <w:color w:val="auto"/>
        </w:rPr>
      </w:pPr>
      <w:r>
        <w:rPr>
          <w:rFonts w:ascii="Arial" w:cs="Arial" w:eastAsia="Arial" w:hAnsi="Arial"/>
          <w:sz w:val="27"/>
          <w:szCs w:val="27"/>
          <w:color w:val="auto"/>
        </w:rPr>
        <w:t>том</w:t>
      </w:r>
      <w:r>
        <w:rPr>
          <w:rFonts w:ascii="Arial" w:cs="Arial" w:eastAsia="Arial" w:hAnsi="Arial"/>
          <w:sz w:val="27"/>
          <w:szCs w:val="27"/>
          <w:color w:val="auto"/>
        </w:rPr>
        <w:t>,</w:t>
      </w:r>
      <w:r>
        <w:rPr>
          <w:rFonts w:ascii="Arial" w:cs="Arial" w:eastAsia="Arial" w:hAnsi="Arial"/>
          <w:sz w:val="27"/>
          <w:szCs w:val="27"/>
          <w:color w:val="auto"/>
        </w:rPr>
        <w:t xml:space="preserve"> что полученный эффект от применения медицинского вмешательства является истинным </w:t>
      </w:r>
      <w:r>
        <w:rPr>
          <w:rFonts w:ascii="Arial" w:cs="Arial" w:eastAsia="Arial" w:hAnsi="Arial"/>
          <w:sz w:val="27"/>
          <w:szCs w:val="27"/>
          <w:color w:val="auto"/>
        </w:rPr>
        <w:t>[8].</w:t>
      </w:r>
    </w:p>
    <w:p>
      <w:pPr>
        <w:spacing w:after="0" w:line="186"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Уровень убедительности рекомендаций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степень</w:t>
      </w:r>
      <w:r>
        <w:rPr>
          <w:rFonts w:ascii="Arial" w:cs="Arial" w:eastAsia="Arial" w:hAnsi="Arial"/>
          <w:sz w:val="27"/>
          <w:szCs w:val="27"/>
          <w:b w:val="1"/>
          <w:bCs w:val="1"/>
          <w:color w:val="auto"/>
        </w:rPr>
        <w:t xml:space="preserve"> </w:t>
      </w:r>
      <w:r>
        <w:rPr>
          <w:rFonts w:ascii="Arial" w:cs="Arial" w:eastAsia="Arial" w:hAnsi="Arial"/>
          <w:sz w:val="27"/>
          <w:szCs w:val="27"/>
          <w:color w:val="auto"/>
        </w:rPr>
        <w:t>уверенности в достоверности эффекта вмешательства и в том</w:t>
      </w:r>
      <w:r>
        <w:rPr>
          <w:rFonts w:ascii="Arial" w:cs="Arial" w:eastAsia="Arial" w:hAnsi="Arial"/>
          <w:sz w:val="27"/>
          <w:szCs w:val="27"/>
          <w:color w:val="auto"/>
        </w:rPr>
        <w:t>,</w:t>
      </w:r>
      <w:r>
        <w:rPr>
          <w:rFonts w:ascii="Arial" w:cs="Arial" w:eastAsia="Arial" w:hAnsi="Arial"/>
          <w:sz w:val="27"/>
          <w:szCs w:val="27"/>
          <w:color w:val="auto"/>
        </w:rPr>
        <w:t xml:space="preserve"> что следование рекомендациям принесет больше пользы</w:t>
      </w:r>
      <w:r>
        <w:rPr>
          <w:rFonts w:ascii="Arial" w:cs="Arial" w:eastAsia="Arial" w:hAnsi="Arial"/>
          <w:sz w:val="27"/>
          <w:szCs w:val="27"/>
          <w:color w:val="auto"/>
        </w:rPr>
        <w:t>,</w:t>
      </w:r>
      <w:r>
        <w:rPr>
          <w:rFonts w:ascii="Arial" w:cs="Arial" w:eastAsia="Arial" w:hAnsi="Arial"/>
          <w:sz w:val="27"/>
          <w:szCs w:val="27"/>
          <w:color w:val="auto"/>
        </w:rPr>
        <w:t xml:space="preserve"> чем вреда в конкретной ситуации </w:t>
      </w:r>
      <w:r>
        <w:rPr>
          <w:rFonts w:ascii="Arial" w:cs="Arial" w:eastAsia="Arial" w:hAnsi="Arial"/>
          <w:sz w:val="27"/>
          <w:szCs w:val="27"/>
          <w:color w:val="auto"/>
        </w:rPr>
        <w:t>[8].</w:t>
      </w:r>
    </w:p>
    <w:p>
      <w:pPr>
        <w:spacing w:after="0" w:line="21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Фиксированная комбинация лекарственных препаратов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сочетание двух и более разных классов препаратов в одной таблетке</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Хроническая болезнь почек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наднозологическое понятие</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объединяющее всех пациентов с признаками повреждения почек и</w:t>
      </w:r>
      <w:r>
        <w:rPr>
          <w:rFonts w:ascii="Arial" w:cs="Arial" w:eastAsia="Arial" w:hAnsi="Arial"/>
          <w:sz w:val="27"/>
          <w:szCs w:val="27"/>
          <w:color w:val="auto"/>
        </w:rPr>
        <w:t>/</w:t>
      </w:r>
      <w:r>
        <w:rPr>
          <w:rFonts w:ascii="Arial" w:cs="Arial" w:eastAsia="Arial" w:hAnsi="Arial"/>
          <w:sz w:val="27"/>
          <w:szCs w:val="27"/>
          <w:color w:val="auto"/>
        </w:rPr>
        <w:t>или снижением функции</w:t>
      </w:r>
      <w:r>
        <w:rPr>
          <w:rFonts w:ascii="Arial" w:cs="Arial" w:eastAsia="Arial" w:hAnsi="Arial"/>
          <w:sz w:val="27"/>
          <w:szCs w:val="27"/>
          <w:color w:val="auto"/>
        </w:rPr>
        <w:t>,</w:t>
      </w:r>
      <w:r>
        <w:rPr>
          <w:rFonts w:ascii="Arial" w:cs="Arial" w:eastAsia="Arial" w:hAnsi="Arial"/>
          <w:sz w:val="27"/>
          <w:szCs w:val="27"/>
          <w:color w:val="auto"/>
        </w:rPr>
        <w:t xml:space="preserve"> оцениваемой по величине скорости клубочковой фильтрации</w:t>
      </w:r>
      <w:r>
        <w:rPr>
          <w:rFonts w:ascii="Arial" w:cs="Arial" w:eastAsia="Arial" w:hAnsi="Arial"/>
          <w:sz w:val="27"/>
          <w:szCs w:val="27"/>
          <w:color w:val="auto"/>
        </w:rPr>
        <w:t>,</w:t>
      </w:r>
      <w:r>
        <w:rPr>
          <w:rFonts w:ascii="Arial" w:cs="Arial" w:eastAsia="Arial" w:hAnsi="Arial"/>
          <w:sz w:val="27"/>
          <w:szCs w:val="27"/>
          <w:color w:val="auto"/>
        </w:rPr>
        <w:t xml:space="preserve"> которые сохраняются в течение </w:t>
      </w:r>
      <w:r>
        <w:rPr>
          <w:rFonts w:ascii="Arial" w:cs="Arial" w:eastAsia="Arial" w:hAnsi="Arial"/>
          <w:sz w:val="27"/>
          <w:szCs w:val="27"/>
          <w:color w:val="auto"/>
        </w:rPr>
        <w:t>3</w:t>
      </w:r>
      <w:r>
        <w:rPr>
          <w:rFonts w:ascii="Arial" w:cs="Arial" w:eastAsia="Arial" w:hAnsi="Arial"/>
          <w:sz w:val="27"/>
          <w:szCs w:val="27"/>
          <w:color w:val="auto"/>
        </w:rPr>
        <w:t xml:space="preserve"> и более месяцев</w:t>
      </w:r>
      <w:r>
        <w:rPr>
          <w:rFonts w:ascii="Arial" w:cs="Arial" w:eastAsia="Arial" w:hAnsi="Arial"/>
          <w:sz w:val="27"/>
          <w:szCs w:val="27"/>
          <w:color w:val="auto"/>
        </w:rPr>
        <w:t>.</w:t>
      </w:r>
    </w:p>
    <w:p>
      <w:pPr>
        <w:spacing w:after="0" w:line="222"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Хроническая алкогольная интоксикация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комплекс</w:t>
      </w:r>
      <w:r>
        <w:rPr>
          <w:rFonts w:ascii="Arial" w:cs="Arial" w:eastAsia="Arial" w:hAnsi="Arial"/>
          <w:sz w:val="27"/>
          <w:szCs w:val="27"/>
          <w:b w:val="1"/>
          <w:bCs w:val="1"/>
          <w:color w:val="auto"/>
        </w:rPr>
        <w:t xml:space="preserve"> </w:t>
      </w:r>
      <w:r>
        <w:rPr>
          <w:rFonts w:ascii="Arial" w:cs="Arial" w:eastAsia="Arial" w:hAnsi="Arial"/>
          <w:sz w:val="27"/>
          <w:szCs w:val="27"/>
          <w:color w:val="auto"/>
        </w:rPr>
        <w:t>физиологических</w:t>
      </w:r>
      <w:r>
        <w:rPr>
          <w:rFonts w:ascii="Arial" w:cs="Arial" w:eastAsia="Arial" w:hAnsi="Arial"/>
          <w:sz w:val="27"/>
          <w:szCs w:val="27"/>
          <w:color w:val="auto"/>
        </w:rPr>
        <w:t>,</w:t>
      </w:r>
      <w:r>
        <w:rPr>
          <w:rFonts w:ascii="Arial" w:cs="Arial" w:eastAsia="Arial" w:hAnsi="Arial"/>
          <w:sz w:val="27"/>
          <w:szCs w:val="27"/>
          <w:color w:val="auto"/>
        </w:rPr>
        <w:t xml:space="preserve"> поведенческих и когнитивных явлений</w:t>
      </w:r>
      <w:r>
        <w:rPr>
          <w:rFonts w:ascii="Arial" w:cs="Arial" w:eastAsia="Arial" w:hAnsi="Arial"/>
          <w:sz w:val="27"/>
          <w:szCs w:val="27"/>
          <w:color w:val="auto"/>
        </w:rPr>
        <w:t>,</w:t>
      </w:r>
      <w:r>
        <w:rPr>
          <w:rFonts w:ascii="Arial" w:cs="Arial" w:eastAsia="Arial" w:hAnsi="Arial"/>
          <w:sz w:val="27"/>
          <w:szCs w:val="27"/>
          <w:color w:val="auto"/>
        </w:rPr>
        <w:t xml:space="preserve"> при которых употребление алкогольных напитков начинает занимать более важное место в системе ценностей человека</w:t>
      </w:r>
      <w:r>
        <w:rPr>
          <w:rFonts w:ascii="Arial" w:cs="Arial" w:eastAsia="Arial" w:hAnsi="Arial"/>
          <w:sz w:val="27"/>
          <w:szCs w:val="27"/>
          <w:color w:val="auto"/>
        </w:rPr>
        <w:t>,</w:t>
      </w:r>
      <w:r>
        <w:rPr>
          <w:rFonts w:ascii="Arial" w:cs="Arial" w:eastAsia="Arial" w:hAnsi="Arial"/>
          <w:sz w:val="27"/>
          <w:szCs w:val="27"/>
          <w:color w:val="auto"/>
        </w:rPr>
        <w:t xml:space="preserve"> чем другие формы поведения</w:t>
      </w:r>
      <w:r>
        <w:rPr>
          <w:rFonts w:ascii="Arial" w:cs="Arial" w:eastAsia="Arial" w:hAnsi="Arial"/>
          <w:sz w:val="27"/>
          <w:szCs w:val="27"/>
          <w:color w:val="auto"/>
        </w:rPr>
        <w:t>,</w:t>
      </w:r>
      <w:r>
        <w:rPr>
          <w:rFonts w:ascii="Arial" w:cs="Arial" w:eastAsia="Arial" w:hAnsi="Arial"/>
          <w:sz w:val="27"/>
          <w:szCs w:val="27"/>
          <w:color w:val="auto"/>
        </w:rPr>
        <w:t xml:space="preserve"> которые ранее были более важными для него</w:t>
      </w:r>
      <w:r>
        <w:rPr>
          <w:rFonts w:ascii="Arial" w:cs="Arial" w:eastAsia="Arial" w:hAnsi="Arial"/>
          <w:sz w:val="27"/>
          <w:szCs w:val="27"/>
          <w:color w:val="auto"/>
        </w:rPr>
        <w:t>.</w:t>
      </w:r>
    </w:p>
    <w:p>
      <w:pPr>
        <w:spacing w:after="0" w:line="222"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Синдром старческой астении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гериатрическийсиндром</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характеризующийся возраст</w:t>
      </w:r>
      <w:r>
        <w:rPr>
          <w:rFonts w:ascii="Arial" w:cs="Arial" w:eastAsia="Arial" w:hAnsi="Arial"/>
          <w:sz w:val="27"/>
          <w:szCs w:val="27"/>
          <w:color w:val="auto"/>
        </w:rPr>
        <w:t>-</w:t>
      </w:r>
      <w:r>
        <w:rPr>
          <w:rFonts w:ascii="Arial" w:cs="Arial" w:eastAsia="Arial" w:hAnsi="Arial"/>
          <w:sz w:val="27"/>
          <w:szCs w:val="27"/>
          <w:color w:val="auto"/>
        </w:rPr>
        <w:t>ассоциированным снижением физиологического резерва и функций многих систем организма</w:t>
      </w:r>
      <w:r>
        <w:rPr>
          <w:rFonts w:ascii="Arial" w:cs="Arial" w:eastAsia="Arial" w:hAnsi="Arial"/>
          <w:sz w:val="27"/>
          <w:szCs w:val="27"/>
          <w:color w:val="auto"/>
        </w:rPr>
        <w:t>,</w:t>
      </w:r>
      <w:r>
        <w:rPr>
          <w:rFonts w:ascii="Arial" w:cs="Arial" w:eastAsia="Arial" w:hAnsi="Arial"/>
          <w:sz w:val="27"/>
          <w:szCs w:val="27"/>
          <w:color w:val="auto"/>
        </w:rPr>
        <w:t xml:space="preserve"> приводящий к повышенной уязвимости организма пожилого</w:t>
      </w:r>
    </w:p>
    <w:p>
      <w:pPr>
        <w:sectPr>
          <w:pgSz w:w="11900" w:h="16870" w:orient="portrait"/>
          <w:cols w:equalWidth="0" w:num="1">
            <w:col w:w="9020"/>
          </w:cols>
          <w:pgMar w:left="1440" w:top="19" w:right="1440" w:bottom="0" w:gutter="0" w:footer="0" w:header="0"/>
        </w:sectPr>
      </w:pPr>
    </w:p>
    <w:bookmarkStart w:id="12" w:name="page13"/>
    <w:bookmarkEnd w:id="12"/>
    <w:p>
      <w:pPr>
        <w:jc w:val="both"/>
        <w:ind w:left="360" w:right="220"/>
        <w:spacing w:after="0" w:line="317" w:lineRule="auto"/>
        <w:rPr>
          <w:sz w:val="20"/>
          <w:szCs w:val="20"/>
          <w:color w:val="auto"/>
        </w:rPr>
      </w:pPr>
      <w:r>
        <w:rPr>
          <w:rFonts w:ascii="Arial" w:cs="Arial" w:eastAsia="Arial" w:hAnsi="Arial"/>
          <w:sz w:val="27"/>
          <w:szCs w:val="27"/>
          <w:color w:val="auto"/>
        </w:rPr>
        <w:t>человека к воздействию эндо</w:t>
      </w:r>
      <w:r>
        <w:rPr>
          <w:rFonts w:ascii="Arial" w:cs="Arial" w:eastAsia="Arial" w:hAnsi="Arial"/>
          <w:sz w:val="27"/>
          <w:szCs w:val="27"/>
          <w:color w:val="auto"/>
        </w:rPr>
        <w:t>-</w:t>
      </w:r>
      <w:r>
        <w:rPr>
          <w:rFonts w:ascii="Arial" w:cs="Arial" w:eastAsia="Arial" w:hAnsi="Arial"/>
          <w:sz w:val="27"/>
          <w:szCs w:val="27"/>
          <w:color w:val="auto"/>
        </w:rPr>
        <w:t xml:space="preserve"> и экзогенных факторов и высокому риску развития неблагоприятных исходов для здоровья</w:t>
      </w:r>
      <w:r>
        <w:rPr>
          <w:rFonts w:ascii="Arial" w:cs="Arial" w:eastAsia="Arial" w:hAnsi="Arial"/>
          <w:sz w:val="27"/>
          <w:szCs w:val="27"/>
          <w:color w:val="auto"/>
        </w:rPr>
        <w:t>,</w:t>
      </w:r>
      <w:r>
        <w:rPr>
          <w:rFonts w:ascii="Arial" w:cs="Arial" w:eastAsia="Arial" w:hAnsi="Arial"/>
          <w:sz w:val="27"/>
          <w:szCs w:val="27"/>
          <w:color w:val="auto"/>
        </w:rPr>
        <w:t xml:space="preserve"> потери автономности и смерти </w:t>
      </w:r>
      <w:r>
        <w:rPr>
          <w:rFonts w:ascii="Arial" w:cs="Arial" w:eastAsia="Arial" w:hAnsi="Arial"/>
          <w:sz w:val="27"/>
          <w:szCs w:val="27"/>
          <w:color w:val="auto"/>
        </w:rPr>
        <w:t>[9].</w:t>
      </w:r>
    </w:p>
    <w:p>
      <w:pPr>
        <w:spacing w:after="0" w:line="21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Целевой уровень АД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уровень АД</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различный для разных</w:t>
      </w:r>
      <w:r>
        <w:rPr>
          <w:rFonts w:ascii="Arial" w:cs="Arial" w:eastAsia="Arial" w:hAnsi="Arial"/>
          <w:sz w:val="27"/>
          <w:szCs w:val="27"/>
          <w:b w:val="1"/>
          <w:bCs w:val="1"/>
          <w:color w:val="auto"/>
        </w:rPr>
        <w:t xml:space="preserve"> </w:t>
      </w:r>
      <w:r>
        <w:rPr>
          <w:rFonts w:ascii="Arial" w:cs="Arial" w:eastAsia="Arial" w:hAnsi="Arial"/>
          <w:sz w:val="27"/>
          <w:szCs w:val="27"/>
          <w:color w:val="auto"/>
        </w:rPr>
        <w:t>групп пациентов с АГ</w:t>
      </w:r>
      <w:r>
        <w:rPr>
          <w:rFonts w:ascii="Arial" w:cs="Arial" w:eastAsia="Arial" w:hAnsi="Arial"/>
          <w:sz w:val="27"/>
          <w:szCs w:val="27"/>
          <w:color w:val="auto"/>
        </w:rPr>
        <w:t>,</w:t>
      </w:r>
      <w:r>
        <w:rPr>
          <w:rFonts w:ascii="Arial" w:cs="Arial" w:eastAsia="Arial" w:hAnsi="Arial"/>
          <w:sz w:val="27"/>
          <w:szCs w:val="27"/>
          <w:color w:val="auto"/>
        </w:rPr>
        <w:t xml:space="preserve"> достижение которого в процессе лечения позволяет добиться наиболее благоприятного соотношения польза </w:t>
      </w:r>
      <w:r>
        <w:rPr>
          <w:rFonts w:ascii="Arial" w:cs="Arial" w:eastAsia="Arial" w:hAnsi="Arial"/>
          <w:sz w:val="27"/>
          <w:szCs w:val="27"/>
          <w:color w:val="auto"/>
        </w:rPr>
        <w:t>(</w:t>
      </w:r>
      <w:r>
        <w:rPr>
          <w:rFonts w:ascii="Arial" w:cs="Arial" w:eastAsia="Arial" w:hAnsi="Arial"/>
          <w:sz w:val="27"/>
          <w:szCs w:val="27"/>
          <w:color w:val="auto"/>
        </w:rPr>
        <w:t>снижение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сосудистого </w:t>
      </w:r>
      <w:r>
        <w:rPr>
          <w:rFonts w:ascii="Arial" w:cs="Arial" w:eastAsia="Arial" w:hAnsi="Arial"/>
          <w:sz w:val="27"/>
          <w:szCs w:val="27"/>
          <w:color w:val="auto"/>
        </w:rPr>
        <w:t>(</w:t>
      </w:r>
      <w:r>
        <w:rPr>
          <w:rFonts w:ascii="Arial" w:cs="Arial" w:eastAsia="Arial" w:hAnsi="Arial"/>
          <w:sz w:val="27"/>
          <w:szCs w:val="27"/>
          <w:color w:val="auto"/>
        </w:rPr>
        <w:t>СС</w:t>
      </w:r>
      <w:r>
        <w:rPr>
          <w:rFonts w:ascii="Arial" w:cs="Arial" w:eastAsia="Arial" w:hAnsi="Arial"/>
          <w:sz w:val="27"/>
          <w:szCs w:val="27"/>
          <w:color w:val="auto"/>
        </w:rPr>
        <w:t>)</w:t>
      </w:r>
      <w:r>
        <w:rPr>
          <w:rFonts w:ascii="Arial" w:cs="Arial" w:eastAsia="Arial" w:hAnsi="Arial"/>
          <w:sz w:val="27"/>
          <w:szCs w:val="27"/>
          <w:color w:val="auto"/>
        </w:rPr>
        <w:t xml:space="preserve"> риска</w:t>
      </w:r>
      <w:r>
        <w:rPr>
          <w:rFonts w:ascii="Arial" w:cs="Arial" w:eastAsia="Arial" w:hAnsi="Arial"/>
          <w:sz w:val="27"/>
          <w:szCs w:val="27"/>
          <w:color w:val="auto"/>
        </w:rPr>
        <w:t>) —</w:t>
      </w:r>
      <w:r>
        <w:rPr>
          <w:rFonts w:ascii="Arial" w:cs="Arial" w:eastAsia="Arial" w:hAnsi="Arial"/>
          <w:sz w:val="27"/>
          <w:szCs w:val="27"/>
          <w:color w:val="auto"/>
        </w:rPr>
        <w:t xml:space="preserve"> риск </w:t>
      </w:r>
      <w:r>
        <w:rPr>
          <w:rFonts w:ascii="Arial" w:cs="Arial" w:eastAsia="Arial" w:hAnsi="Arial"/>
          <w:sz w:val="27"/>
          <w:szCs w:val="27"/>
          <w:color w:val="auto"/>
        </w:rPr>
        <w:t>(</w:t>
      </w:r>
      <w:r>
        <w:rPr>
          <w:rFonts w:ascii="Arial" w:cs="Arial" w:eastAsia="Arial" w:hAnsi="Arial"/>
          <w:sz w:val="27"/>
          <w:szCs w:val="27"/>
          <w:color w:val="auto"/>
        </w:rPr>
        <w:t>неблагоприятные эффекты</w:t>
      </w:r>
      <w:r>
        <w:rPr>
          <w:rFonts w:ascii="Arial" w:cs="Arial" w:eastAsia="Arial" w:hAnsi="Arial"/>
          <w:sz w:val="27"/>
          <w:szCs w:val="27"/>
          <w:color w:val="auto"/>
        </w:rPr>
        <w:t>).</w:t>
      </w:r>
    </w:p>
    <w:p>
      <w:pPr>
        <w:sectPr>
          <w:pgSz w:w="11900" w:h="16840" w:orient="portrait"/>
          <w:cols w:equalWidth="0" w:num="1">
            <w:col w:w="9020"/>
          </w:cols>
          <w:pgMar w:left="1440" w:top="19" w:right="1440" w:bottom="1440" w:gutter="0" w:footer="0" w:header="0"/>
        </w:sectPr>
      </w:pPr>
    </w:p>
    <w:bookmarkStart w:id="13" w:name="page14"/>
    <w:bookmarkEnd w:id="13"/>
    <w:p>
      <w:pPr>
        <w:spacing w:after="0" w:line="198" w:lineRule="exact"/>
        <w:rPr>
          <w:sz w:val="20"/>
          <w:szCs w:val="20"/>
          <w:color w:val="auto"/>
        </w:rPr>
      </w:pPr>
    </w:p>
    <w:p>
      <w:pPr>
        <w:ind w:left="900" w:hanging="539"/>
        <w:spacing w:after="0"/>
        <w:tabs>
          <w:tab w:leader="none" w:pos="900" w:val="left"/>
        </w:tabs>
        <w:numPr>
          <w:ilvl w:val="0"/>
          <w:numId w:val="4"/>
        </w:numPr>
        <w:rPr>
          <w:rFonts w:ascii="Arial" w:cs="Arial" w:eastAsia="Arial" w:hAnsi="Arial"/>
          <w:sz w:val="48"/>
          <w:szCs w:val="48"/>
          <w:b w:val="1"/>
          <w:bCs w:val="1"/>
          <w:color w:val="auto"/>
        </w:rPr>
      </w:pPr>
      <w:r>
        <w:rPr>
          <w:rFonts w:ascii="Arial" w:cs="Arial" w:eastAsia="Arial" w:hAnsi="Arial"/>
          <w:sz w:val="48"/>
          <w:szCs w:val="48"/>
          <w:b w:val="1"/>
          <w:bCs w:val="1"/>
          <w:color w:val="auto"/>
        </w:rPr>
        <w:t>Краткая информация</w:t>
      </w:r>
    </w:p>
    <w:p>
      <w:pPr>
        <w:spacing w:after="0" w:line="200" w:lineRule="exact"/>
        <w:rPr>
          <w:sz w:val="20"/>
          <w:szCs w:val="20"/>
          <w:color w:val="auto"/>
        </w:rPr>
      </w:pPr>
    </w:p>
    <w:p>
      <w:pPr>
        <w:spacing w:after="0" w:line="200" w:lineRule="exact"/>
        <w:rPr>
          <w:sz w:val="20"/>
          <w:szCs w:val="20"/>
          <w:color w:val="auto"/>
        </w:rPr>
      </w:pPr>
    </w:p>
    <w:p>
      <w:pPr>
        <w:spacing w:after="0" w:line="299" w:lineRule="exact"/>
        <w:rPr>
          <w:sz w:val="20"/>
          <w:szCs w:val="20"/>
          <w:color w:val="auto"/>
        </w:rPr>
      </w:pPr>
    </w:p>
    <w:p>
      <w:pPr>
        <w:ind w:left="360" w:right="1180"/>
        <w:spacing w:after="0" w:line="245" w:lineRule="auto"/>
        <w:rPr>
          <w:sz w:val="20"/>
          <w:szCs w:val="20"/>
          <w:color w:val="auto"/>
        </w:rPr>
      </w:pPr>
      <w:r>
        <w:rPr>
          <w:rFonts w:ascii="Arial" w:cs="Arial" w:eastAsia="Arial" w:hAnsi="Arial"/>
          <w:sz w:val="33"/>
          <w:szCs w:val="33"/>
          <w:b w:val="1"/>
          <w:bCs w:val="1"/>
          <w:color w:val="auto"/>
        </w:rPr>
        <w:t xml:space="preserve">1.1 </w:t>
      </w:r>
      <w:r>
        <w:rPr>
          <w:rFonts w:ascii="Arial" w:cs="Arial" w:eastAsia="Arial" w:hAnsi="Arial"/>
          <w:sz w:val="33"/>
          <w:szCs w:val="33"/>
          <w:b w:val="1"/>
          <w:bCs w:val="1"/>
          <w:color w:val="auto"/>
        </w:rPr>
        <w:t>Определение заболевания или состояния</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группы заболеваний</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состояний</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13" w:lineRule="exact"/>
        <w:rPr>
          <w:sz w:val="20"/>
          <w:szCs w:val="20"/>
          <w:color w:val="auto"/>
        </w:rPr>
      </w:pPr>
    </w:p>
    <w:p>
      <w:pPr>
        <w:jc w:val="both"/>
        <w:ind w:left="360" w:right="220"/>
        <w:spacing w:after="0" w:line="323" w:lineRule="auto"/>
        <w:rPr>
          <w:sz w:val="20"/>
          <w:szCs w:val="20"/>
          <w:color w:val="auto"/>
        </w:rPr>
      </w:pPr>
      <w:r>
        <w:rPr>
          <w:rFonts w:ascii="Arial" w:cs="Arial" w:eastAsia="Arial" w:hAnsi="Arial"/>
          <w:sz w:val="27"/>
          <w:szCs w:val="27"/>
          <w:b w:val="1"/>
          <w:bCs w:val="1"/>
          <w:u w:val="single" w:color="auto"/>
          <w:color w:val="auto"/>
        </w:rPr>
        <w:t xml:space="preserve">Артериальная гипертензия </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АГ</w:t>
      </w:r>
      <w:r>
        <w:rPr>
          <w:rFonts w:ascii="Arial" w:cs="Arial" w:eastAsia="Arial" w:hAnsi="Arial"/>
          <w:sz w:val="27"/>
          <w:szCs w:val="27"/>
          <w:b w:val="1"/>
          <w:bCs w:val="1"/>
          <w:u w:val="single" w:color="auto"/>
          <w:color w:val="auto"/>
        </w:rPr>
        <w:t>) —</w:t>
      </w:r>
      <w:r>
        <w:rPr>
          <w:rFonts w:ascii="Arial" w:cs="Arial" w:eastAsia="Arial" w:hAnsi="Arial"/>
          <w:sz w:val="27"/>
          <w:szCs w:val="27"/>
          <w:b w:val="1"/>
          <w:bCs w:val="1"/>
          <w:u w:val="single" w:color="auto"/>
          <w:color w:val="auto"/>
        </w:rPr>
        <w:t xml:space="preserve"> синдром повышения систолического АД </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далее </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САД</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w:t>
      </w:r>
      <w:r>
        <w:rPr>
          <w:rFonts w:ascii="Times New Roman" w:cs="Times New Roman" w:eastAsia="Times New Roman" w:hAnsi="Times New Roman"/>
          <w:sz w:val="27"/>
          <w:szCs w:val="27"/>
          <w:b w:val="1"/>
          <w:bCs w:val="1"/>
          <w:u w:val="single" w:color="auto"/>
          <w:color w:val="auto"/>
        </w:rPr>
        <w:t>≥</w:t>
      </w:r>
      <w:r>
        <w:rPr>
          <w:rFonts w:ascii="Arial" w:cs="Arial" w:eastAsia="Arial" w:hAnsi="Arial"/>
          <w:sz w:val="27"/>
          <w:szCs w:val="27"/>
          <w:b w:val="1"/>
          <w:bCs w:val="1"/>
          <w:u w:val="single" w:color="auto"/>
          <w:color w:val="auto"/>
        </w:rPr>
        <w:t>140</w:t>
      </w:r>
      <w:r>
        <w:rPr>
          <w:rFonts w:ascii="Arial" w:cs="Arial" w:eastAsia="Arial" w:hAnsi="Arial"/>
          <w:sz w:val="27"/>
          <w:szCs w:val="27"/>
          <w:b w:val="1"/>
          <w:bCs w:val="1"/>
          <w:u w:val="single" w:color="auto"/>
          <w:color w:val="auto"/>
        </w:rPr>
        <w:t xml:space="preserve"> мм рт</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ст</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и</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или диастолического АД </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далее </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ДАД</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w:t>
      </w:r>
      <w:r>
        <w:rPr>
          <w:rFonts w:ascii="Times New Roman" w:cs="Times New Roman" w:eastAsia="Times New Roman" w:hAnsi="Times New Roman"/>
          <w:sz w:val="27"/>
          <w:szCs w:val="27"/>
          <w:b w:val="1"/>
          <w:bCs w:val="1"/>
          <w:u w:val="single" w:color="auto"/>
          <w:color w:val="auto"/>
        </w:rPr>
        <w:t>≥</w:t>
      </w:r>
      <w:r>
        <w:rPr>
          <w:rFonts w:ascii="Arial" w:cs="Arial" w:eastAsia="Arial" w:hAnsi="Arial"/>
          <w:sz w:val="27"/>
          <w:szCs w:val="27"/>
          <w:b w:val="1"/>
          <w:bCs w:val="1"/>
          <w:u w:val="single" w:color="auto"/>
          <w:color w:val="auto"/>
        </w:rPr>
        <w:t>90</w:t>
      </w:r>
      <w:r>
        <w:rPr>
          <w:rFonts w:ascii="Arial" w:cs="Arial" w:eastAsia="Arial" w:hAnsi="Arial"/>
          <w:sz w:val="27"/>
          <w:szCs w:val="27"/>
          <w:b w:val="1"/>
          <w:bCs w:val="1"/>
          <w:u w:val="single" w:color="auto"/>
          <w:color w:val="auto"/>
        </w:rPr>
        <w:t xml:space="preserve"> мм рт</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ст</w:t>
      </w:r>
      <w:r>
        <w:rPr>
          <w:rFonts w:ascii="Arial" w:cs="Arial" w:eastAsia="Arial" w:hAnsi="Arial"/>
          <w:sz w:val="27"/>
          <w:szCs w:val="27"/>
          <w:b w:val="1"/>
          <w:bCs w:val="1"/>
          <w:u w:val="single" w:color="auto"/>
          <w:color w:val="auto"/>
        </w:rPr>
        <w:t>.</w:t>
      </w:r>
    </w:p>
    <w:p>
      <w:pPr>
        <w:spacing w:after="0" w:line="184" w:lineRule="exact"/>
        <w:rPr>
          <w:sz w:val="20"/>
          <w:szCs w:val="20"/>
          <w:color w:val="auto"/>
        </w:rPr>
      </w:pPr>
    </w:p>
    <w:p>
      <w:pPr>
        <w:jc w:val="both"/>
        <w:ind w:left="360" w:right="220"/>
        <w:spacing w:after="0" w:line="305" w:lineRule="auto"/>
        <w:rPr>
          <w:sz w:val="20"/>
          <w:szCs w:val="20"/>
          <w:color w:val="auto"/>
        </w:rPr>
      </w:pPr>
      <w:r>
        <w:rPr>
          <w:rFonts w:ascii="Arial" w:cs="Arial" w:eastAsia="Arial" w:hAnsi="Arial"/>
          <w:sz w:val="27"/>
          <w:szCs w:val="27"/>
          <w:b w:val="1"/>
          <w:bCs w:val="1"/>
          <w:color w:val="auto"/>
        </w:rPr>
        <w:t xml:space="preserve">Гипертоническая болезнь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далее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ГБ</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хронически</w:t>
      </w:r>
      <w:r>
        <w:rPr>
          <w:rFonts w:ascii="Arial" w:cs="Arial" w:eastAsia="Arial" w:hAnsi="Arial"/>
          <w:sz w:val="27"/>
          <w:szCs w:val="27"/>
          <w:b w:val="1"/>
          <w:bCs w:val="1"/>
          <w:color w:val="auto"/>
        </w:rPr>
        <w:t xml:space="preserve"> </w:t>
      </w:r>
      <w:r>
        <w:rPr>
          <w:rFonts w:ascii="Arial" w:cs="Arial" w:eastAsia="Arial" w:hAnsi="Arial"/>
          <w:sz w:val="27"/>
          <w:szCs w:val="27"/>
          <w:color w:val="auto"/>
        </w:rPr>
        <w:t>протекающее заболевание</w:t>
      </w:r>
      <w:r>
        <w:rPr>
          <w:rFonts w:ascii="Arial" w:cs="Arial" w:eastAsia="Arial" w:hAnsi="Arial"/>
          <w:sz w:val="27"/>
          <w:szCs w:val="27"/>
          <w:color w:val="auto"/>
        </w:rPr>
        <w:t>,</w:t>
      </w:r>
      <w:r>
        <w:rPr>
          <w:rFonts w:ascii="Arial" w:cs="Arial" w:eastAsia="Arial" w:hAnsi="Arial"/>
          <w:sz w:val="27"/>
          <w:szCs w:val="27"/>
          <w:color w:val="auto"/>
        </w:rPr>
        <w:t xml:space="preserve"> основным проявлением которого является повышение АД</w:t>
      </w:r>
      <w:r>
        <w:rPr>
          <w:rFonts w:ascii="Arial" w:cs="Arial" w:eastAsia="Arial" w:hAnsi="Arial"/>
          <w:sz w:val="27"/>
          <w:szCs w:val="27"/>
          <w:color w:val="auto"/>
        </w:rPr>
        <w:t>,</w:t>
      </w:r>
      <w:r>
        <w:rPr>
          <w:rFonts w:ascii="Arial" w:cs="Arial" w:eastAsia="Arial" w:hAnsi="Arial"/>
          <w:sz w:val="27"/>
          <w:szCs w:val="27"/>
          <w:color w:val="auto"/>
        </w:rPr>
        <w:t xml:space="preserve"> не связанное с выявлением явных причин</w:t>
      </w:r>
      <w:r>
        <w:rPr>
          <w:rFonts w:ascii="Arial" w:cs="Arial" w:eastAsia="Arial" w:hAnsi="Arial"/>
          <w:sz w:val="27"/>
          <w:szCs w:val="27"/>
          <w:color w:val="auto"/>
        </w:rPr>
        <w:t>,</w:t>
      </w:r>
      <w:r>
        <w:rPr>
          <w:rFonts w:ascii="Arial" w:cs="Arial" w:eastAsia="Arial" w:hAnsi="Arial"/>
          <w:sz w:val="27"/>
          <w:szCs w:val="27"/>
          <w:color w:val="auto"/>
        </w:rPr>
        <w:t xml:space="preserve"> приводящих к развитию вторичных форм АГ </w:t>
      </w:r>
      <w:r>
        <w:rPr>
          <w:rFonts w:ascii="Arial" w:cs="Arial" w:eastAsia="Arial" w:hAnsi="Arial"/>
          <w:sz w:val="27"/>
          <w:szCs w:val="27"/>
          <w:color w:val="auto"/>
        </w:rPr>
        <w:t>(</w:t>
      </w:r>
      <w:r>
        <w:rPr>
          <w:rFonts w:ascii="Arial" w:cs="Arial" w:eastAsia="Arial" w:hAnsi="Arial"/>
          <w:sz w:val="27"/>
          <w:szCs w:val="27"/>
          <w:color w:val="auto"/>
        </w:rPr>
        <w:t>симптоматические АГ</w:t>
      </w:r>
      <w:r>
        <w:rPr>
          <w:rFonts w:ascii="Arial" w:cs="Arial" w:eastAsia="Arial" w:hAnsi="Arial"/>
          <w:sz w:val="27"/>
          <w:szCs w:val="27"/>
          <w:color w:val="auto"/>
        </w:rPr>
        <w:t xml:space="preserve">). </w:t>
      </w:r>
      <w:r>
        <w:rPr>
          <w:rFonts w:ascii="Arial" w:cs="Arial" w:eastAsia="Arial" w:hAnsi="Arial"/>
          <w:sz w:val="27"/>
          <w:szCs w:val="27"/>
          <w:color w:val="auto"/>
        </w:rPr>
        <w:t>Термин</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 болезнь</w:t>
      </w:r>
      <w:r>
        <w:rPr>
          <w:rFonts w:ascii="Arial" w:cs="Arial" w:eastAsia="Arial" w:hAnsi="Arial"/>
          <w:sz w:val="27"/>
          <w:szCs w:val="27"/>
          <w:color w:val="auto"/>
        </w:rPr>
        <w:t xml:space="preserve">», </w:t>
      </w:r>
      <w:r>
        <w:rPr>
          <w:rFonts w:ascii="Arial" w:cs="Arial" w:eastAsia="Arial" w:hAnsi="Arial"/>
          <w:sz w:val="27"/>
          <w:szCs w:val="27"/>
          <w:color w:val="auto"/>
        </w:rPr>
        <w:t>предложенный Г</w:t>
      </w:r>
      <w:r>
        <w:rPr>
          <w:rFonts w:ascii="Arial" w:cs="Arial" w:eastAsia="Arial" w:hAnsi="Arial"/>
          <w:sz w:val="27"/>
          <w:szCs w:val="27"/>
          <w:color w:val="auto"/>
        </w:rPr>
        <w:t>.</w:t>
      </w:r>
      <w:r>
        <w:rPr>
          <w:rFonts w:ascii="Arial" w:cs="Arial" w:eastAsia="Arial" w:hAnsi="Arial"/>
          <w:sz w:val="27"/>
          <w:szCs w:val="27"/>
          <w:color w:val="auto"/>
        </w:rPr>
        <w:t xml:space="preserve"> Ф</w:t>
      </w:r>
      <w:r>
        <w:rPr>
          <w:rFonts w:ascii="Arial" w:cs="Arial" w:eastAsia="Arial" w:hAnsi="Arial"/>
          <w:sz w:val="27"/>
          <w:szCs w:val="27"/>
          <w:color w:val="auto"/>
        </w:rPr>
        <w:t>.</w:t>
      </w:r>
      <w:r>
        <w:rPr>
          <w:rFonts w:ascii="Arial" w:cs="Arial" w:eastAsia="Arial" w:hAnsi="Arial"/>
          <w:sz w:val="27"/>
          <w:szCs w:val="27"/>
          <w:color w:val="auto"/>
        </w:rPr>
        <w:t xml:space="preserve"> Лангом в </w:t>
      </w:r>
      <w:r>
        <w:rPr>
          <w:rFonts w:ascii="Arial" w:cs="Arial" w:eastAsia="Arial" w:hAnsi="Arial"/>
          <w:sz w:val="27"/>
          <w:szCs w:val="27"/>
          <w:color w:val="auto"/>
        </w:rPr>
        <w:t>1948</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 xml:space="preserve"> соответствует терминам </w:t>
      </w:r>
      <w:r>
        <w:rPr>
          <w:rFonts w:ascii="Arial" w:cs="Arial" w:eastAsia="Arial" w:hAnsi="Arial"/>
          <w:sz w:val="27"/>
          <w:szCs w:val="27"/>
          <w:color w:val="auto"/>
        </w:rPr>
        <w:t>«</w:t>
      </w:r>
      <w:r>
        <w:rPr>
          <w:rFonts w:ascii="Arial" w:cs="Arial" w:eastAsia="Arial" w:hAnsi="Arial"/>
          <w:sz w:val="27"/>
          <w:szCs w:val="27"/>
          <w:color w:val="auto"/>
        </w:rPr>
        <w:t>эссенциальная гипертензия</w:t>
      </w:r>
      <w:r>
        <w:rPr>
          <w:rFonts w:ascii="Arial" w:cs="Arial" w:eastAsia="Arial" w:hAnsi="Arial"/>
          <w:sz w:val="27"/>
          <w:szCs w:val="27"/>
          <w:color w:val="auto"/>
        </w:rPr>
        <w:t xml:space="preserve">» </w:t>
      </w:r>
      <w:r>
        <w:rPr>
          <w:rFonts w:ascii="Arial" w:cs="Arial" w:eastAsia="Arial" w:hAnsi="Arial"/>
          <w:sz w:val="27"/>
          <w:szCs w:val="27"/>
          <w:color w:val="auto"/>
        </w:rPr>
        <w:t>и</w:t>
      </w:r>
      <w:r>
        <w:rPr>
          <w:rFonts w:ascii="Arial" w:cs="Arial" w:eastAsia="Arial" w:hAnsi="Arial"/>
          <w:sz w:val="27"/>
          <w:szCs w:val="27"/>
          <w:color w:val="auto"/>
        </w:rPr>
        <w:t xml:space="preserve"> «</w:t>
      </w:r>
      <w:r>
        <w:rPr>
          <w:rFonts w:ascii="Arial" w:cs="Arial" w:eastAsia="Arial" w:hAnsi="Arial"/>
          <w:sz w:val="27"/>
          <w:szCs w:val="27"/>
          <w:color w:val="auto"/>
        </w:rPr>
        <w:t>артериальная гипертензия</w:t>
      </w:r>
      <w:r>
        <w:rPr>
          <w:rFonts w:ascii="Arial" w:cs="Arial" w:eastAsia="Arial" w:hAnsi="Arial"/>
          <w:sz w:val="27"/>
          <w:szCs w:val="27"/>
          <w:color w:val="auto"/>
        </w:rPr>
        <w:t xml:space="preserve">», </w:t>
      </w:r>
      <w:r>
        <w:rPr>
          <w:rFonts w:ascii="Arial" w:cs="Arial" w:eastAsia="Arial" w:hAnsi="Arial"/>
          <w:sz w:val="27"/>
          <w:szCs w:val="27"/>
          <w:color w:val="auto"/>
        </w:rPr>
        <w:t>используемым за рубежом</w:t>
      </w:r>
      <w:r>
        <w:rPr>
          <w:rFonts w:ascii="Arial" w:cs="Arial" w:eastAsia="Arial" w:hAnsi="Arial"/>
          <w:sz w:val="27"/>
          <w:szCs w:val="27"/>
          <w:color w:val="auto"/>
        </w:rPr>
        <w:t>.</w:t>
      </w:r>
      <w:r>
        <w:rPr>
          <w:rFonts w:ascii="Arial" w:cs="Arial" w:eastAsia="Arial" w:hAnsi="Arial"/>
          <w:sz w:val="27"/>
          <w:szCs w:val="27"/>
          <w:color w:val="auto"/>
        </w:rPr>
        <w:t xml:space="preserve"> ГБ преобладает среди всех форм АГ</w:t>
      </w:r>
      <w:r>
        <w:rPr>
          <w:rFonts w:ascii="Arial" w:cs="Arial" w:eastAsia="Arial" w:hAnsi="Arial"/>
          <w:sz w:val="27"/>
          <w:szCs w:val="27"/>
          <w:color w:val="auto"/>
        </w:rPr>
        <w:t>,</w:t>
      </w:r>
      <w:r>
        <w:rPr>
          <w:rFonts w:ascii="Arial" w:cs="Arial" w:eastAsia="Arial" w:hAnsi="Arial"/>
          <w:sz w:val="27"/>
          <w:szCs w:val="27"/>
          <w:color w:val="auto"/>
        </w:rPr>
        <w:t xml:space="preserve"> ее распространенность превышает </w:t>
      </w:r>
      <w:r>
        <w:rPr>
          <w:rFonts w:ascii="Arial" w:cs="Arial" w:eastAsia="Arial" w:hAnsi="Arial"/>
          <w:sz w:val="27"/>
          <w:szCs w:val="27"/>
          <w:color w:val="auto"/>
        </w:rPr>
        <w:t>90%.</w:t>
      </w:r>
    </w:p>
    <w:p>
      <w:pPr>
        <w:spacing w:after="0" w:line="231"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 xml:space="preserve">Вторичная </w:t>
      </w:r>
      <w:r>
        <w:rPr>
          <w:rFonts w:ascii="Arial" w:cs="Arial" w:eastAsia="Arial" w:hAnsi="Arial"/>
          <w:sz w:val="27"/>
          <w:szCs w:val="27"/>
          <w:b w:val="1"/>
          <w:bCs w:val="1"/>
          <w:color w:val="auto"/>
        </w:rPr>
        <w:t>(</w:t>
      </w:r>
      <w:r>
        <w:rPr>
          <w:rFonts w:ascii="Arial" w:cs="Arial" w:eastAsia="Arial" w:hAnsi="Arial"/>
          <w:sz w:val="27"/>
          <w:szCs w:val="27"/>
          <w:b w:val="1"/>
          <w:bCs w:val="1"/>
          <w:color w:val="auto"/>
        </w:rPr>
        <w:t>симптоматическая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АГ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АГ</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обусловленная</w:t>
      </w:r>
      <w:r>
        <w:rPr>
          <w:rFonts w:ascii="Arial" w:cs="Arial" w:eastAsia="Arial" w:hAnsi="Arial"/>
          <w:sz w:val="27"/>
          <w:szCs w:val="27"/>
          <w:b w:val="1"/>
          <w:bCs w:val="1"/>
          <w:color w:val="auto"/>
        </w:rPr>
        <w:t xml:space="preserve"> </w:t>
      </w:r>
      <w:r>
        <w:rPr>
          <w:rFonts w:ascii="Arial" w:cs="Arial" w:eastAsia="Arial" w:hAnsi="Arial"/>
          <w:sz w:val="27"/>
          <w:szCs w:val="27"/>
          <w:color w:val="auto"/>
        </w:rPr>
        <w:t>известной причиной</w:t>
      </w:r>
      <w:r>
        <w:rPr>
          <w:rFonts w:ascii="Arial" w:cs="Arial" w:eastAsia="Arial" w:hAnsi="Arial"/>
          <w:sz w:val="27"/>
          <w:szCs w:val="27"/>
          <w:color w:val="auto"/>
        </w:rPr>
        <w:t>,</w:t>
      </w:r>
      <w:r>
        <w:rPr>
          <w:rFonts w:ascii="Arial" w:cs="Arial" w:eastAsia="Arial" w:hAnsi="Arial"/>
          <w:sz w:val="27"/>
          <w:szCs w:val="27"/>
          <w:color w:val="auto"/>
        </w:rPr>
        <w:t xml:space="preserve"> которую можно устранить с помощью соответствующего вмешательства</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Гипертонический криз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c</w:t>
      </w:r>
      <w:r>
        <w:rPr>
          <w:rFonts w:ascii="Arial" w:cs="Arial" w:eastAsia="Arial" w:hAnsi="Arial"/>
          <w:sz w:val="27"/>
          <w:szCs w:val="27"/>
          <w:color w:val="auto"/>
        </w:rPr>
        <w:t>остояние</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вызванное значительным</w:t>
      </w:r>
      <w:r>
        <w:rPr>
          <w:rFonts w:ascii="Arial" w:cs="Arial" w:eastAsia="Arial" w:hAnsi="Arial"/>
          <w:sz w:val="27"/>
          <w:szCs w:val="27"/>
          <w:b w:val="1"/>
          <w:bCs w:val="1"/>
          <w:color w:val="auto"/>
        </w:rPr>
        <w:t xml:space="preserve"> </w:t>
      </w:r>
      <w:r>
        <w:rPr>
          <w:rFonts w:ascii="Arial" w:cs="Arial" w:eastAsia="Arial" w:hAnsi="Arial"/>
          <w:sz w:val="27"/>
          <w:szCs w:val="27"/>
          <w:color w:val="auto"/>
        </w:rPr>
        <w:t>повышением АД</w:t>
      </w:r>
      <w:r>
        <w:rPr>
          <w:rFonts w:ascii="Arial" w:cs="Arial" w:eastAsia="Arial" w:hAnsi="Arial"/>
          <w:sz w:val="27"/>
          <w:szCs w:val="27"/>
          <w:color w:val="auto"/>
        </w:rPr>
        <w:t>,</w:t>
      </w:r>
      <w:r>
        <w:rPr>
          <w:rFonts w:ascii="Arial" w:cs="Arial" w:eastAsia="Arial" w:hAnsi="Arial"/>
          <w:sz w:val="27"/>
          <w:szCs w:val="27"/>
          <w:color w:val="auto"/>
        </w:rPr>
        <w:t xml:space="preserve"> ассоциирующееся с острым поражением 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r>
        <w:rPr>
          <w:rFonts w:ascii="Arial" w:cs="Arial" w:eastAsia="Arial" w:hAnsi="Arial"/>
          <w:sz w:val="27"/>
          <w:szCs w:val="27"/>
          <w:color w:val="auto"/>
        </w:rPr>
        <w:t xml:space="preserve"> нередко жизнеугрожающим</w:t>
      </w:r>
      <w:r>
        <w:rPr>
          <w:rFonts w:ascii="Arial" w:cs="Arial" w:eastAsia="Arial" w:hAnsi="Arial"/>
          <w:sz w:val="27"/>
          <w:szCs w:val="27"/>
          <w:color w:val="auto"/>
        </w:rPr>
        <w:t>,</w:t>
      </w:r>
      <w:r>
        <w:rPr>
          <w:rFonts w:ascii="Arial" w:cs="Arial" w:eastAsia="Arial" w:hAnsi="Arial"/>
          <w:sz w:val="27"/>
          <w:szCs w:val="27"/>
          <w:color w:val="auto"/>
        </w:rPr>
        <w:t xml:space="preserve"> требующее немедленных квалифицированных действий</w:t>
      </w:r>
      <w:r>
        <w:rPr>
          <w:rFonts w:ascii="Arial" w:cs="Arial" w:eastAsia="Arial" w:hAnsi="Arial"/>
          <w:sz w:val="27"/>
          <w:szCs w:val="27"/>
          <w:color w:val="auto"/>
        </w:rPr>
        <w:t>,</w:t>
      </w:r>
      <w:r>
        <w:rPr>
          <w:rFonts w:ascii="Arial" w:cs="Arial" w:eastAsia="Arial" w:hAnsi="Arial"/>
          <w:sz w:val="27"/>
          <w:szCs w:val="27"/>
          <w:color w:val="auto"/>
        </w:rPr>
        <w:t xml:space="preserve"> направленных на снижение АД</w:t>
      </w:r>
      <w:r>
        <w:rPr>
          <w:rFonts w:ascii="Arial" w:cs="Arial" w:eastAsia="Arial" w:hAnsi="Arial"/>
          <w:sz w:val="27"/>
          <w:szCs w:val="27"/>
          <w:color w:val="auto"/>
        </w:rPr>
        <w:t>,</w:t>
      </w:r>
      <w:r>
        <w:rPr>
          <w:rFonts w:ascii="Arial" w:cs="Arial" w:eastAsia="Arial" w:hAnsi="Arial"/>
          <w:sz w:val="27"/>
          <w:szCs w:val="27"/>
          <w:color w:val="auto"/>
        </w:rPr>
        <w:t xml:space="preserve"> обычно с помощью внутривенной терапии</w:t>
      </w:r>
    </w:p>
    <w:p>
      <w:pPr>
        <w:spacing w:after="0" w:line="200" w:lineRule="exact"/>
        <w:rPr>
          <w:sz w:val="20"/>
          <w:szCs w:val="20"/>
          <w:color w:val="auto"/>
        </w:rPr>
      </w:pPr>
    </w:p>
    <w:p>
      <w:pPr>
        <w:spacing w:after="0" w:line="200" w:lineRule="exact"/>
        <w:rPr>
          <w:sz w:val="20"/>
          <w:szCs w:val="20"/>
          <w:color w:val="auto"/>
        </w:rPr>
      </w:pPr>
    </w:p>
    <w:p>
      <w:pPr>
        <w:spacing w:after="0" w:line="225" w:lineRule="exact"/>
        <w:rPr>
          <w:sz w:val="20"/>
          <w:szCs w:val="20"/>
          <w:color w:val="auto"/>
        </w:rPr>
      </w:pPr>
    </w:p>
    <w:p>
      <w:pPr>
        <w:jc w:val="both"/>
        <w:ind w:left="360" w:right="1240"/>
        <w:spacing w:after="0" w:line="245" w:lineRule="auto"/>
        <w:rPr>
          <w:sz w:val="20"/>
          <w:szCs w:val="20"/>
          <w:color w:val="auto"/>
        </w:rPr>
      </w:pPr>
      <w:r>
        <w:rPr>
          <w:rFonts w:ascii="Arial" w:cs="Arial" w:eastAsia="Arial" w:hAnsi="Arial"/>
          <w:sz w:val="33"/>
          <w:szCs w:val="33"/>
          <w:b w:val="1"/>
          <w:bCs w:val="1"/>
          <w:color w:val="auto"/>
        </w:rPr>
        <w:t xml:space="preserve">1.2 </w:t>
      </w:r>
      <w:r>
        <w:rPr>
          <w:rFonts w:ascii="Arial" w:cs="Arial" w:eastAsia="Arial" w:hAnsi="Arial"/>
          <w:sz w:val="33"/>
          <w:szCs w:val="33"/>
          <w:b w:val="1"/>
          <w:bCs w:val="1"/>
          <w:color w:val="auto"/>
        </w:rPr>
        <w:t>Этиология и патогенез заболевания или</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 xml:space="preserve">состояния </w:t>
      </w:r>
      <w:r>
        <w:rPr>
          <w:rFonts w:ascii="Arial" w:cs="Arial" w:eastAsia="Arial" w:hAnsi="Arial"/>
          <w:sz w:val="33"/>
          <w:szCs w:val="33"/>
          <w:b w:val="1"/>
          <w:bCs w:val="1"/>
          <w:color w:val="auto"/>
        </w:rPr>
        <w:t>(</w:t>
      </w:r>
      <w:r>
        <w:rPr>
          <w:rFonts w:ascii="Arial" w:cs="Arial" w:eastAsia="Arial" w:hAnsi="Arial"/>
          <w:sz w:val="33"/>
          <w:szCs w:val="33"/>
          <w:b w:val="1"/>
          <w:bCs w:val="1"/>
          <w:color w:val="auto"/>
        </w:rPr>
        <w:t>группы заболеваний</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состояний</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13"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Предрасполагающие факторы</w:t>
      </w:r>
    </w:p>
    <w:p>
      <w:pPr>
        <w:spacing w:after="0" w:line="350"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Этиология АГ остается не до конца выясненной</w:t>
      </w:r>
      <w:r>
        <w:rPr>
          <w:rFonts w:ascii="Arial" w:cs="Arial" w:eastAsia="Arial" w:hAnsi="Arial"/>
          <w:sz w:val="27"/>
          <w:szCs w:val="27"/>
          <w:color w:val="auto"/>
        </w:rPr>
        <w:t>,</w:t>
      </w:r>
      <w:r>
        <w:rPr>
          <w:rFonts w:ascii="Arial" w:cs="Arial" w:eastAsia="Arial" w:hAnsi="Arial"/>
          <w:sz w:val="27"/>
          <w:szCs w:val="27"/>
          <w:color w:val="auto"/>
        </w:rPr>
        <w:t xml:space="preserve"> но выявлен ряд факторов</w:t>
      </w:r>
      <w:r>
        <w:rPr>
          <w:rFonts w:ascii="Arial" w:cs="Arial" w:eastAsia="Arial" w:hAnsi="Arial"/>
          <w:sz w:val="27"/>
          <w:szCs w:val="27"/>
          <w:color w:val="auto"/>
        </w:rPr>
        <w:t>,</w:t>
      </w:r>
      <w:r>
        <w:rPr>
          <w:rFonts w:ascii="Arial" w:cs="Arial" w:eastAsia="Arial" w:hAnsi="Arial"/>
          <w:sz w:val="27"/>
          <w:szCs w:val="27"/>
          <w:color w:val="auto"/>
        </w:rPr>
        <w:t xml:space="preserve"> тесно и независимо связанных с повышением АД</w:t>
      </w:r>
      <w:r>
        <w:rPr>
          <w:rFonts w:ascii="Arial" w:cs="Arial" w:eastAsia="Arial" w:hAnsi="Arial"/>
          <w:sz w:val="27"/>
          <w:szCs w:val="27"/>
          <w:color w:val="auto"/>
        </w:rPr>
        <w:t>:</w:t>
      </w:r>
    </w:p>
    <w:p>
      <w:pPr>
        <w:spacing w:after="0" w:line="186" w:lineRule="exact"/>
        <w:rPr>
          <w:sz w:val="20"/>
          <w:szCs w:val="20"/>
          <w:color w:val="auto"/>
        </w:rPr>
      </w:pPr>
    </w:p>
    <w:p>
      <w:pPr>
        <w:ind w:left="680" w:right="220"/>
        <w:spacing w:after="0" w:line="298" w:lineRule="auto"/>
        <w:rPr>
          <w:sz w:val="20"/>
          <w:szCs w:val="20"/>
          <w:color w:val="auto"/>
        </w:rPr>
      </w:pPr>
      <w:r>
        <w:rPr>
          <w:rFonts w:ascii="Arial" w:cs="Arial" w:eastAsia="Arial" w:hAnsi="Arial"/>
          <w:sz w:val="27"/>
          <w:szCs w:val="27"/>
          <w:color w:val="auto"/>
        </w:rPr>
        <w:t xml:space="preserve">возраст </w:t>
      </w:r>
      <w:r>
        <w:rPr>
          <w:rFonts w:ascii="Arial" w:cs="Arial" w:eastAsia="Arial" w:hAnsi="Arial"/>
          <w:sz w:val="27"/>
          <w:szCs w:val="27"/>
          <w:color w:val="auto"/>
        </w:rPr>
        <w:t>—</w:t>
      </w:r>
      <w:r>
        <w:rPr>
          <w:rFonts w:ascii="Arial" w:cs="Arial" w:eastAsia="Arial" w:hAnsi="Arial"/>
          <w:sz w:val="27"/>
          <w:szCs w:val="27"/>
          <w:color w:val="auto"/>
        </w:rPr>
        <w:t xml:space="preserve"> увеличение возраста ассоциировано с повышением частоты АГ и уровня АД </w:t>
      </w:r>
      <w:r>
        <w:rPr>
          <w:rFonts w:ascii="Arial" w:cs="Arial" w:eastAsia="Arial" w:hAnsi="Arial"/>
          <w:sz w:val="27"/>
          <w:szCs w:val="27"/>
          <w:color w:val="auto"/>
        </w:rPr>
        <w:t>(</w:t>
      </w:r>
      <w:r>
        <w:rPr>
          <w:rFonts w:ascii="Arial" w:cs="Arial" w:eastAsia="Arial" w:hAnsi="Arial"/>
          <w:sz w:val="27"/>
          <w:szCs w:val="27"/>
          <w:color w:val="auto"/>
        </w:rPr>
        <w:t>прежде всего систолического</w:t>
      </w:r>
      <w:r>
        <w:rPr>
          <w:rFonts w:ascii="Arial" w:cs="Arial" w:eastAsia="Arial" w:hAnsi="Arial"/>
          <w:sz w:val="27"/>
          <w:szCs w:val="27"/>
          <w:color w:val="auto"/>
        </w:rPr>
        <w:t>) [10];</w:t>
      </w:r>
      <w:r>
        <w:rPr>
          <w:rFonts w:ascii="Arial" w:cs="Arial" w:eastAsia="Arial" w:hAnsi="Arial"/>
          <w:sz w:val="27"/>
          <w:szCs w:val="27"/>
          <w:color w:val="auto"/>
        </w:rPr>
        <w:t xml:space="preserve"> избыточная масса тела и ожирение способствуют повышению АД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-898525</wp:posOffset>
            </wp:positionV>
            <wp:extent cx="82550" cy="8255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-403225</wp:posOffset>
            </wp:positionV>
            <wp:extent cx="82550" cy="8255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7038" w:orient="portrait"/>
          <w:cols w:equalWidth="0" w:num="1">
            <w:col w:w="9020"/>
          </w:cols>
          <w:pgMar w:left="1440" w:top="671" w:right="1440" w:bottom="0" w:gutter="0" w:footer="0" w:header="0"/>
        </w:sectPr>
      </w:pPr>
    </w:p>
    <w:bookmarkStart w:id="14" w:name="page15"/>
    <w:bookmarkEnd w:id="14"/>
    <w:p>
      <w:pPr>
        <w:jc w:val="both"/>
        <w:ind w:left="680" w:right="220"/>
        <w:spacing w:after="0" w:line="301" w:lineRule="auto"/>
        <w:rPr>
          <w:sz w:val="20"/>
          <w:szCs w:val="20"/>
          <w:color w:val="auto"/>
        </w:rPr>
      </w:pPr>
      <w:r>
        <w:rPr>
          <w:rFonts w:ascii="Arial" w:cs="Arial" w:eastAsia="Arial" w:hAnsi="Arial"/>
          <w:sz w:val="27"/>
          <w:szCs w:val="27"/>
          <w:color w:val="auto"/>
        </w:rPr>
        <w:t xml:space="preserve">наследственная предрасположенность </w:t>
      </w:r>
      <w:r>
        <w:rPr>
          <w:rFonts w:ascii="Arial" w:cs="Arial" w:eastAsia="Arial" w:hAnsi="Arial"/>
          <w:sz w:val="27"/>
          <w:szCs w:val="27"/>
          <w:color w:val="auto"/>
        </w:rPr>
        <w:t>—</w:t>
      </w:r>
      <w:r>
        <w:rPr>
          <w:rFonts w:ascii="Arial" w:cs="Arial" w:eastAsia="Arial" w:hAnsi="Arial"/>
          <w:sz w:val="27"/>
          <w:szCs w:val="27"/>
          <w:color w:val="auto"/>
        </w:rPr>
        <w:t xml:space="preserve"> повышение АД встречается приблизительно в </w:t>
      </w:r>
      <w:r>
        <w:rPr>
          <w:rFonts w:ascii="Arial" w:cs="Arial" w:eastAsia="Arial" w:hAnsi="Arial"/>
          <w:sz w:val="27"/>
          <w:szCs w:val="27"/>
          <w:color w:val="auto"/>
        </w:rPr>
        <w:t>2</w:t>
      </w:r>
      <w:r>
        <w:rPr>
          <w:rFonts w:ascii="Arial" w:cs="Arial" w:eastAsia="Arial" w:hAnsi="Arial"/>
          <w:sz w:val="27"/>
          <w:szCs w:val="27"/>
          <w:color w:val="auto"/>
        </w:rPr>
        <w:t xml:space="preserve"> раза чаще среди лиц</w:t>
      </w:r>
      <w:r>
        <w:rPr>
          <w:rFonts w:ascii="Arial" w:cs="Arial" w:eastAsia="Arial" w:hAnsi="Arial"/>
          <w:sz w:val="27"/>
          <w:szCs w:val="27"/>
          <w:color w:val="auto"/>
        </w:rPr>
        <w:t>,</w:t>
      </w:r>
      <w:r>
        <w:rPr>
          <w:rFonts w:ascii="Arial" w:cs="Arial" w:eastAsia="Arial" w:hAnsi="Arial"/>
          <w:sz w:val="27"/>
          <w:szCs w:val="27"/>
          <w:color w:val="auto"/>
        </w:rPr>
        <w:t xml:space="preserve"> у которых один или оба родителя имели АГ</w:t>
      </w:r>
      <w:r>
        <w:rPr>
          <w:rFonts w:ascii="Arial" w:cs="Arial" w:eastAsia="Arial" w:hAnsi="Arial"/>
          <w:sz w:val="27"/>
          <w:szCs w:val="27"/>
          <w:color w:val="auto"/>
        </w:rPr>
        <w:t>.</w:t>
      </w:r>
      <w:r>
        <w:rPr>
          <w:rFonts w:ascii="Arial" w:cs="Arial" w:eastAsia="Arial" w:hAnsi="Arial"/>
          <w:sz w:val="27"/>
          <w:szCs w:val="27"/>
          <w:color w:val="auto"/>
        </w:rPr>
        <w:t xml:space="preserve"> Эпидемиологические исследования показали</w:t>
      </w:r>
      <w:r>
        <w:rPr>
          <w:rFonts w:ascii="Arial" w:cs="Arial" w:eastAsia="Arial" w:hAnsi="Arial"/>
          <w:sz w:val="27"/>
          <w:szCs w:val="27"/>
          <w:color w:val="auto"/>
        </w:rPr>
        <w:t>,</w:t>
      </w:r>
      <w:r>
        <w:rPr>
          <w:rFonts w:ascii="Arial" w:cs="Arial" w:eastAsia="Arial" w:hAnsi="Arial"/>
          <w:sz w:val="27"/>
          <w:szCs w:val="27"/>
          <w:color w:val="auto"/>
        </w:rPr>
        <w:t xml:space="preserve"> что около </w:t>
      </w:r>
      <w:r>
        <w:rPr>
          <w:rFonts w:ascii="Arial" w:cs="Arial" w:eastAsia="Arial" w:hAnsi="Arial"/>
          <w:sz w:val="27"/>
          <w:szCs w:val="27"/>
          <w:color w:val="auto"/>
        </w:rPr>
        <w:t>30%</w:t>
      </w:r>
      <w:r>
        <w:rPr>
          <w:rFonts w:ascii="Arial" w:cs="Arial" w:eastAsia="Arial" w:hAnsi="Arial"/>
          <w:sz w:val="27"/>
          <w:szCs w:val="27"/>
          <w:color w:val="auto"/>
        </w:rPr>
        <w:t xml:space="preserve"> вариаций АД в различных популяциях обусловлены генетическими факторами </w:t>
      </w:r>
      <w:r>
        <w:rPr>
          <w:rFonts w:ascii="Arial" w:cs="Arial" w:eastAsia="Arial" w:hAnsi="Arial"/>
          <w:sz w:val="27"/>
          <w:szCs w:val="27"/>
          <w:color w:val="auto"/>
        </w:rPr>
        <w:t>[11].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-1403350</wp:posOffset>
            </wp:positionV>
            <wp:extent cx="82550" cy="8255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2160"/>
        <w:spacing w:after="0" w:line="343" w:lineRule="auto"/>
        <w:rPr>
          <w:sz w:val="20"/>
          <w:szCs w:val="20"/>
          <w:color w:val="auto"/>
        </w:rPr>
      </w:pPr>
      <w:r>
        <w:rPr>
          <w:rFonts w:ascii="Arial" w:cs="Arial" w:eastAsia="Arial" w:hAnsi="Arial"/>
          <w:sz w:val="27"/>
          <w:szCs w:val="27"/>
          <w:color w:val="auto"/>
        </w:rPr>
        <w:t xml:space="preserve">избыточное потребление натрия </w:t>
      </w:r>
      <w:r>
        <w:rPr>
          <w:rFonts w:ascii="Arial" w:cs="Arial" w:eastAsia="Arial" w:hAnsi="Arial"/>
          <w:sz w:val="27"/>
          <w:szCs w:val="27"/>
          <w:color w:val="auto"/>
        </w:rPr>
        <w:t>(&gt;5</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день</w:t>
      </w:r>
      <w:r>
        <w:rPr>
          <w:rFonts w:ascii="Arial" w:cs="Arial" w:eastAsia="Arial" w:hAnsi="Arial"/>
          <w:sz w:val="27"/>
          <w:szCs w:val="27"/>
          <w:color w:val="auto"/>
        </w:rPr>
        <w:t>) [12];</w:t>
      </w:r>
      <w:r>
        <w:rPr>
          <w:rFonts w:ascii="Arial" w:cs="Arial" w:eastAsia="Arial" w:hAnsi="Arial"/>
          <w:sz w:val="27"/>
          <w:szCs w:val="27"/>
          <w:color w:val="auto"/>
        </w:rPr>
        <w:t xml:space="preserve"> злоупотребление алкоголем</w:t>
      </w:r>
      <w:r>
        <w:rPr>
          <w:rFonts w:ascii="Arial" w:cs="Arial" w:eastAsia="Arial" w:hAnsi="Arial"/>
          <w:sz w:val="27"/>
          <w:szCs w:val="27"/>
          <w:color w:val="auto"/>
        </w:rPr>
        <w:t>;</w:t>
      </w:r>
      <w:r>
        <w:rPr>
          <w:rFonts w:ascii="Arial" w:cs="Arial" w:eastAsia="Arial" w:hAnsi="Arial"/>
          <w:sz w:val="27"/>
          <w:szCs w:val="27"/>
          <w:color w:val="auto"/>
        </w:rPr>
        <w:t xml:space="preserve"> гиподинамия</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-483235</wp:posOffset>
            </wp:positionV>
            <wp:extent cx="82550" cy="8255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-235585</wp:posOffset>
            </wp:positionV>
            <wp:extent cx="82550" cy="8255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11430</wp:posOffset>
            </wp:positionV>
            <wp:extent cx="82550" cy="8255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33"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Стойкое и длительное повышение АД обусловлено изменением соотношения трех гемодинамических показателей</w:t>
      </w:r>
      <w:r>
        <w:rPr>
          <w:rFonts w:ascii="Arial" w:cs="Arial" w:eastAsia="Arial" w:hAnsi="Arial"/>
          <w:sz w:val="27"/>
          <w:szCs w:val="27"/>
          <w:color w:val="auto"/>
        </w:rPr>
        <w:t>:</w:t>
      </w:r>
    </w:p>
    <w:p>
      <w:pPr>
        <w:spacing w:after="0" w:line="186" w:lineRule="exact"/>
        <w:rPr>
          <w:sz w:val="20"/>
          <w:szCs w:val="20"/>
          <w:color w:val="auto"/>
        </w:rPr>
      </w:pPr>
    </w:p>
    <w:p>
      <w:pPr>
        <w:ind w:left="680"/>
        <w:spacing w:after="0"/>
        <w:tabs>
          <w:tab w:leader="none" w:pos="2920" w:val="left"/>
          <w:tab w:leader="none" w:pos="4440" w:val="left"/>
          <w:tab w:leader="none" w:pos="7260" w:val="left"/>
        </w:tabs>
        <w:rPr>
          <w:sz w:val="20"/>
          <w:szCs w:val="20"/>
          <w:color w:val="auto"/>
        </w:rPr>
      </w:pPr>
      <w:r>
        <w:rPr>
          <w:rFonts w:ascii="Arial" w:cs="Arial" w:eastAsia="Arial" w:hAnsi="Arial"/>
          <w:sz w:val="27"/>
          <w:szCs w:val="27"/>
          <w:color w:val="auto"/>
        </w:rPr>
        <w:t>повышением</w:t>
      </w:r>
      <w:r>
        <w:rPr>
          <w:sz w:val="20"/>
          <w:szCs w:val="20"/>
          <w:color w:val="auto"/>
        </w:rPr>
        <w:tab/>
      </w:r>
      <w:r>
        <w:rPr>
          <w:rFonts w:ascii="Arial" w:cs="Arial" w:eastAsia="Arial" w:hAnsi="Arial"/>
          <w:sz w:val="27"/>
          <w:szCs w:val="27"/>
          <w:color w:val="auto"/>
        </w:rPr>
        <w:t>общего</w:t>
      </w:r>
      <w:r>
        <w:rPr>
          <w:sz w:val="20"/>
          <w:szCs w:val="20"/>
          <w:color w:val="auto"/>
        </w:rPr>
        <w:tab/>
      </w:r>
      <w:r>
        <w:rPr>
          <w:rFonts w:ascii="Arial" w:cs="Arial" w:eastAsia="Arial" w:hAnsi="Arial"/>
          <w:sz w:val="27"/>
          <w:szCs w:val="27"/>
          <w:color w:val="auto"/>
        </w:rPr>
        <w:t>периферического</w:t>
      </w:r>
      <w:r>
        <w:rPr>
          <w:sz w:val="20"/>
          <w:szCs w:val="20"/>
          <w:color w:val="auto"/>
        </w:rPr>
        <w:tab/>
      </w:r>
      <w:r>
        <w:rPr>
          <w:rFonts w:ascii="Arial" w:cs="Arial" w:eastAsia="Arial" w:hAnsi="Arial"/>
          <w:sz w:val="26"/>
          <w:szCs w:val="26"/>
          <w:color w:val="auto"/>
        </w:rPr>
        <w:t>сосудистого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сопротивления </w:t>
      </w:r>
      <w:r>
        <w:rPr>
          <w:rFonts w:ascii="Arial" w:cs="Arial" w:eastAsia="Arial" w:hAnsi="Arial"/>
          <w:sz w:val="27"/>
          <w:szCs w:val="27"/>
          <w:color w:val="auto"/>
        </w:rPr>
        <w:t>(</w:t>
      </w:r>
      <w:r>
        <w:rPr>
          <w:rFonts w:ascii="Arial" w:cs="Arial" w:eastAsia="Arial" w:hAnsi="Arial"/>
          <w:sz w:val="27"/>
          <w:szCs w:val="27"/>
          <w:color w:val="auto"/>
        </w:rPr>
        <w:t>ОПСС</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увеличением сердечного выброса </w:t>
      </w:r>
      <w:r>
        <w:rPr>
          <w:rFonts w:ascii="Arial" w:cs="Arial" w:eastAsia="Arial" w:hAnsi="Arial"/>
          <w:sz w:val="27"/>
          <w:szCs w:val="27"/>
          <w:color w:val="auto"/>
        </w:rPr>
        <w:t>(</w:t>
      </w:r>
      <w:r>
        <w:rPr>
          <w:rFonts w:ascii="Arial" w:cs="Arial" w:eastAsia="Arial" w:hAnsi="Arial"/>
          <w:sz w:val="27"/>
          <w:szCs w:val="27"/>
          <w:color w:val="auto"/>
        </w:rPr>
        <w:t>минутного объема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увеличением объема циркулирующей крови </w:t>
      </w:r>
      <w:r>
        <w:rPr>
          <w:rFonts w:ascii="Arial" w:cs="Arial" w:eastAsia="Arial" w:hAnsi="Arial"/>
          <w:sz w:val="27"/>
          <w:szCs w:val="27"/>
          <w:color w:val="auto"/>
        </w:rPr>
        <w:t>(</w:t>
      </w:r>
      <w:r>
        <w:rPr>
          <w:rFonts w:ascii="Arial" w:cs="Arial" w:eastAsia="Arial" w:hAnsi="Arial"/>
          <w:sz w:val="27"/>
          <w:szCs w:val="27"/>
          <w:color w:val="auto"/>
        </w:rPr>
        <w:t>ОЦК</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330"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 xml:space="preserve">Наиболее важными патогенетическими звеньями формирования и прогрессирования эссенциальной АГ </w:t>
      </w:r>
      <w:r>
        <w:rPr>
          <w:rFonts w:ascii="Arial" w:cs="Arial" w:eastAsia="Arial" w:hAnsi="Arial"/>
          <w:sz w:val="27"/>
          <w:szCs w:val="27"/>
          <w:color w:val="auto"/>
        </w:rPr>
        <w:t>(</w:t>
      </w:r>
      <w:r>
        <w:rPr>
          <w:rFonts w:ascii="Arial" w:cs="Arial" w:eastAsia="Arial" w:hAnsi="Arial"/>
          <w:sz w:val="27"/>
          <w:szCs w:val="27"/>
          <w:color w:val="auto"/>
        </w:rPr>
        <w:t>ГБ</w:t>
      </w:r>
      <w:r>
        <w:rPr>
          <w:rFonts w:ascii="Arial" w:cs="Arial" w:eastAsia="Arial" w:hAnsi="Arial"/>
          <w:sz w:val="27"/>
          <w:szCs w:val="27"/>
          <w:color w:val="auto"/>
        </w:rPr>
        <w:t>)</w:t>
      </w:r>
      <w:r>
        <w:rPr>
          <w:rFonts w:ascii="Arial" w:cs="Arial" w:eastAsia="Arial" w:hAnsi="Arial"/>
          <w:sz w:val="27"/>
          <w:szCs w:val="27"/>
          <w:color w:val="auto"/>
        </w:rPr>
        <w:t xml:space="preserve"> являются </w:t>
      </w:r>
      <w:r>
        <w:rPr>
          <w:rFonts w:ascii="Arial" w:cs="Arial" w:eastAsia="Arial" w:hAnsi="Arial"/>
          <w:sz w:val="27"/>
          <w:szCs w:val="27"/>
          <w:color w:val="auto"/>
        </w:rPr>
        <w:t>[13-16]:</w:t>
      </w:r>
    </w:p>
    <w:p>
      <w:pPr>
        <w:spacing w:after="0" w:line="186" w:lineRule="exact"/>
        <w:rPr>
          <w:sz w:val="20"/>
          <w:szCs w:val="20"/>
          <w:color w:val="auto"/>
        </w:rPr>
      </w:pPr>
    </w:p>
    <w:p>
      <w:pPr>
        <w:ind w:left="680" w:right="220"/>
        <w:spacing w:after="0" w:line="287" w:lineRule="auto"/>
        <w:rPr>
          <w:sz w:val="20"/>
          <w:szCs w:val="20"/>
          <w:color w:val="auto"/>
        </w:rPr>
      </w:pPr>
      <w:r>
        <w:rPr>
          <w:rFonts w:ascii="Arial" w:cs="Arial" w:eastAsia="Arial" w:hAnsi="Arial"/>
          <w:sz w:val="27"/>
          <w:szCs w:val="27"/>
          <w:color w:val="auto"/>
        </w:rPr>
        <w:t xml:space="preserve">активация симпатоадреналовой системы </w:t>
      </w:r>
      <w:r>
        <w:rPr>
          <w:rFonts w:ascii="Arial" w:cs="Arial" w:eastAsia="Arial" w:hAnsi="Arial"/>
          <w:sz w:val="27"/>
          <w:szCs w:val="27"/>
          <w:color w:val="auto"/>
        </w:rPr>
        <w:t>(</w:t>
      </w:r>
      <w:r>
        <w:rPr>
          <w:rFonts w:ascii="Arial" w:cs="Arial" w:eastAsia="Arial" w:hAnsi="Arial"/>
          <w:sz w:val="27"/>
          <w:szCs w:val="27"/>
          <w:color w:val="auto"/>
        </w:rPr>
        <w:t>САС</w:t>
      </w:r>
      <w:r>
        <w:rPr>
          <w:rFonts w:ascii="Arial" w:cs="Arial" w:eastAsia="Arial" w:hAnsi="Arial"/>
          <w:sz w:val="27"/>
          <w:szCs w:val="27"/>
          <w:color w:val="auto"/>
        </w:rPr>
        <w:t>) (</w:t>
      </w:r>
      <w:r>
        <w:rPr>
          <w:rFonts w:ascii="Arial" w:cs="Arial" w:eastAsia="Arial" w:hAnsi="Arial"/>
          <w:sz w:val="27"/>
          <w:szCs w:val="27"/>
          <w:color w:val="auto"/>
        </w:rPr>
        <w:t>реализуется преимущественно через альфа</w:t>
      </w:r>
      <w:r>
        <w:rPr>
          <w:rFonts w:ascii="Arial" w:cs="Arial" w:eastAsia="Arial" w:hAnsi="Arial"/>
          <w:sz w:val="27"/>
          <w:szCs w:val="27"/>
          <w:color w:val="auto"/>
        </w:rPr>
        <w:t>-</w:t>
      </w:r>
      <w:r>
        <w:rPr>
          <w:rFonts w:ascii="Arial" w:cs="Arial" w:eastAsia="Arial" w:hAnsi="Arial"/>
          <w:sz w:val="27"/>
          <w:szCs w:val="27"/>
          <w:color w:val="auto"/>
        </w:rPr>
        <w:t xml:space="preserve"> и бета</w:t>
      </w:r>
      <w:r>
        <w:rPr>
          <w:rFonts w:ascii="Arial" w:cs="Arial" w:eastAsia="Arial" w:hAnsi="Arial"/>
          <w:sz w:val="27"/>
          <w:szCs w:val="27"/>
          <w:color w:val="auto"/>
        </w:rPr>
        <w:t>-</w:t>
      </w:r>
      <w:r>
        <w:rPr>
          <w:rFonts w:ascii="Arial" w:cs="Arial" w:eastAsia="Arial" w:hAnsi="Arial"/>
          <w:sz w:val="27"/>
          <w:szCs w:val="27"/>
          <w:color w:val="auto"/>
        </w:rPr>
        <w:t>адренорецепторы</w:t>
      </w:r>
      <w:r>
        <w:rPr>
          <w:rFonts w:ascii="Arial" w:cs="Arial" w:eastAsia="Arial" w:hAnsi="Arial"/>
          <w:sz w:val="27"/>
          <w:szCs w:val="27"/>
          <w:color w:val="auto"/>
        </w:rPr>
        <w:t>);</w:t>
      </w:r>
      <w:r>
        <w:rPr>
          <w:rFonts w:ascii="Arial" w:cs="Arial" w:eastAsia="Arial" w:hAnsi="Arial"/>
          <w:sz w:val="27"/>
          <w:szCs w:val="27"/>
          <w:color w:val="auto"/>
        </w:rPr>
        <w:t xml:space="preserve"> активация ренин</w:t>
      </w:r>
      <w:r>
        <w:rPr>
          <w:rFonts w:ascii="Arial" w:cs="Arial" w:eastAsia="Arial" w:hAnsi="Arial"/>
          <w:sz w:val="27"/>
          <w:szCs w:val="27"/>
          <w:color w:val="auto"/>
        </w:rPr>
        <w:t>-</w:t>
      </w:r>
      <w:r>
        <w:rPr>
          <w:rFonts w:ascii="Arial" w:cs="Arial" w:eastAsia="Arial" w:hAnsi="Arial"/>
          <w:sz w:val="27"/>
          <w:szCs w:val="27"/>
          <w:color w:val="auto"/>
        </w:rPr>
        <w:t>ангиотензин</w:t>
      </w:r>
      <w:r>
        <w:rPr>
          <w:rFonts w:ascii="Arial" w:cs="Arial" w:eastAsia="Arial" w:hAnsi="Arial"/>
          <w:sz w:val="27"/>
          <w:szCs w:val="27"/>
          <w:color w:val="auto"/>
        </w:rPr>
        <w:t>-</w:t>
      </w:r>
      <w:r>
        <w:rPr>
          <w:rFonts w:ascii="Arial" w:cs="Arial" w:eastAsia="Arial" w:hAnsi="Arial"/>
          <w:sz w:val="27"/>
          <w:szCs w:val="27"/>
          <w:color w:val="auto"/>
        </w:rPr>
        <w:t xml:space="preserve">альдостероновой системы </w:t>
      </w:r>
      <w:r>
        <w:rPr>
          <w:rFonts w:ascii="Arial" w:cs="Arial" w:eastAsia="Arial" w:hAnsi="Arial"/>
          <w:sz w:val="27"/>
          <w:szCs w:val="27"/>
          <w:color w:val="auto"/>
        </w:rPr>
        <w:t>(</w:t>
      </w:r>
      <w:r>
        <w:rPr>
          <w:rFonts w:ascii="Arial" w:cs="Arial" w:eastAsia="Arial" w:hAnsi="Arial"/>
          <w:sz w:val="27"/>
          <w:szCs w:val="27"/>
          <w:color w:val="auto"/>
        </w:rPr>
        <w:t>РААС</w:t>
      </w:r>
      <w:r>
        <w:rPr>
          <w:rFonts w:ascii="Arial" w:cs="Arial" w:eastAsia="Arial" w:hAnsi="Arial"/>
          <w:sz w:val="27"/>
          <w:szCs w:val="27"/>
          <w:color w:val="auto"/>
        </w:rPr>
        <w:t xml:space="preserve">); </w:t>
      </w:r>
      <w:r>
        <w:rPr>
          <w:rFonts w:ascii="Arial" w:cs="Arial" w:eastAsia="Arial" w:hAnsi="Arial"/>
          <w:sz w:val="27"/>
          <w:szCs w:val="27"/>
          <w:color w:val="auto"/>
        </w:rPr>
        <w:t>в т</w:t>
      </w:r>
      <w:r>
        <w:rPr>
          <w:rFonts w:ascii="Arial" w:cs="Arial" w:eastAsia="Arial" w:hAnsi="Arial"/>
          <w:sz w:val="27"/>
          <w:szCs w:val="27"/>
          <w:color w:val="auto"/>
        </w:rPr>
        <w:t>.</w:t>
      </w:r>
      <w:r>
        <w:rPr>
          <w:rFonts w:ascii="Arial" w:cs="Arial" w:eastAsia="Arial" w:hAnsi="Arial"/>
          <w:sz w:val="27"/>
          <w:szCs w:val="27"/>
          <w:color w:val="auto"/>
        </w:rPr>
        <w:t>ч</w:t>
      </w:r>
      <w:r>
        <w:rPr>
          <w:rFonts w:ascii="Arial" w:cs="Arial" w:eastAsia="Arial" w:hAnsi="Arial"/>
          <w:sz w:val="27"/>
          <w:szCs w:val="27"/>
          <w:color w:val="auto"/>
        </w:rPr>
        <w:t xml:space="preserve">. </w:t>
      </w:r>
      <w:r>
        <w:rPr>
          <w:rFonts w:ascii="Arial" w:cs="Arial" w:eastAsia="Arial" w:hAnsi="Arial"/>
          <w:sz w:val="27"/>
          <w:szCs w:val="27"/>
          <w:color w:val="auto"/>
        </w:rPr>
        <w:t>повышение продукции минералокортикоидов</w:t>
      </w:r>
      <w:r>
        <w:rPr>
          <w:rFonts w:ascii="Arial" w:cs="Arial" w:eastAsia="Arial" w:hAnsi="Arial"/>
          <w:sz w:val="27"/>
          <w:szCs w:val="27"/>
          <w:color w:val="auto"/>
        </w:rPr>
        <w:t xml:space="preserve"> (</w:t>
      </w:r>
      <w:r>
        <w:rPr>
          <w:rFonts w:ascii="Arial" w:cs="Arial" w:eastAsia="Arial" w:hAnsi="Arial"/>
          <w:sz w:val="27"/>
          <w:szCs w:val="27"/>
          <w:color w:val="auto"/>
        </w:rPr>
        <w:t>альдостерона и др</w:t>
      </w:r>
      <w:r>
        <w:rPr>
          <w:rFonts w:ascii="Arial" w:cs="Arial" w:eastAsia="Arial" w:hAnsi="Arial"/>
          <w:sz w:val="27"/>
          <w:szCs w:val="27"/>
          <w:color w:val="auto"/>
        </w:rPr>
        <w:t xml:space="preserve">.), </w:t>
      </w:r>
      <w:r>
        <w:rPr>
          <w:rFonts w:ascii="Arial" w:cs="Arial" w:eastAsia="Arial" w:hAnsi="Arial"/>
          <w:sz w:val="27"/>
          <w:szCs w:val="27"/>
          <w:color w:val="auto"/>
        </w:rPr>
        <w:t>инициируемое</w:t>
      </w:r>
      <w:r>
        <w:rPr>
          <w:rFonts w:ascii="Arial" w:cs="Arial" w:eastAsia="Arial" w:hAnsi="Arial"/>
          <w:sz w:val="27"/>
          <w:szCs w:val="27"/>
          <w:color w:val="auto"/>
        </w:rPr>
        <w:t xml:space="preserve">, </w:t>
      </w:r>
      <w:r>
        <w:rPr>
          <w:rFonts w:ascii="Arial" w:cs="Arial" w:eastAsia="Arial" w:hAnsi="Arial"/>
          <w:sz w:val="27"/>
          <w:szCs w:val="27"/>
          <w:color w:val="auto"/>
        </w:rPr>
        <w:t>в частности</w:t>
      </w:r>
      <w:r>
        <w:rPr>
          <w:rFonts w:ascii="Arial" w:cs="Arial" w:eastAsia="Arial" w:hAnsi="Arial"/>
          <w:sz w:val="27"/>
          <w:szCs w:val="27"/>
          <w:color w:val="auto"/>
        </w:rPr>
        <w:t xml:space="preserve">, </w:t>
      </w:r>
      <w:r>
        <w:rPr>
          <w:rFonts w:ascii="Arial" w:cs="Arial" w:eastAsia="Arial" w:hAnsi="Arial"/>
          <w:sz w:val="27"/>
          <w:szCs w:val="27"/>
          <w:color w:val="auto"/>
        </w:rPr>
        <w:t>гиперактивацией почечной РААС</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-1334135</wp:posOffset>
            </wp:positionV>
            <wp:extent cx="82550" cy="8255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-838835</wp:posOffset>
            </wp:positionV>
            <wp:extent cx="82550" cy="8255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line="202" w:lineRule="auto"/>
        <w:rPr>
          <w:sz w:val="20"/>
          <w:szCs w:val="20"/>
          <w:color w:val="auto"/>
        </w:rPr>
      </w:pPr>
      <w:r>
        <w:rPr>
          <w:rFonts w:ascii="Arial" w:cs="Arial" w:eastAsia="Arial" w:hAnsi="Arial"/>
          <w:sz w:val="26"/>
          <w:szCs w:val="26"/>
          <w:color w:val="auto"/>
        </w:rPr>
        <w:t xml:space="preserve">нарушение мембранного транспорта катионов </w:t>
      </w:r>
      <w:r>
        <w:rPr>
          <w:rFonts w:ascii="Arial" w:cs="Arial" w:eastAsia="Arial" w:hAnsi="Arial"/>
          <w:sz w:val="26"/>
          <w:szCs w:val="26"/>
          <w:color w:val="auto"/>
        </w:rPr>
        <w:t>(N</w:t>
      </w:r>
      <w:r>
        <w:rPr>
          <w:rFonts w:ascii="Arial" w:cs="Arial" w:eastAsia="Arial" w:hAnsi="Arial"/>
          <w:sz w:val="26"/>
          <w:szCs w:val="26"/>
          <w:color w:val="auto"/>
        </w:rPr>
        <w:t>а</w:t>
      </w:r>
      <w:r>
        <w:rPr>
          <w:rFonts w:ascii="Arial" w:cs="Arial" w:eastAsia="Arial" w:hAnsi="Arial"/>
          <w:sz w:val="52"/>
          <w:szCs w:val="52"/>
          <w:color w:val="auto"/>
          <w:vertAlign w:val="superscript"/>
        </w:rPr>
        <w:t>+</w:t>
      </w:r>
      <w:r>
        <w:rPr>
          <w:rFonts w:ascii="Arial" w:cs="Arial" w:eastAsia="Arial" w:hAnsi="Arial"/>
          <w:sz w:val="26"/>
          <w:szCs w:val="26"/>
          <w:color w:val="auto"/>
        </w:rPr>
        <w:t>,</w:t>
      </w:r>
      <w:r>
        <w:rPr>
          <w:rFonts w:ascii="Arial" w:cs="Arial" w:eastAsia="Arial" w:hAnsi="Arial"/>
          <w:sz w:val="26"/>
          <w:szCs w:val="26"/>
          <w:color w:val="auto"/>
        </w:rPr>
        <w:t xml:space="preserve"> Са</w:t>
      </w:r>
      <w:r>
        <w:rPr>
          <w:rFonts w:ascii="Arial" w:cs="Arial" w:eastAsia="Arial" w:hAnsi="Arial"/>
          <w:sz w:val="52"/>
          <w:szCs w:val="52"/>
          <w:color w:val="auto"/>
          <w:vertAlign w:val="superscript"/>
        </w:rPr>
        <w:t>2+</w:t>
      </w:r>
      <w:r>
        <w:rPr>
          <w:rFonts w:ascii="Arial" w:cs="Arial" w:eastAsia="Arial" w:hAnsi="Arial"/>
          <w:sz w:val="26"/>
          <w:szCs w:val="26"/>
          <w:color w:val="auto"/>
        </w:rPr>
        <w:t>,</w:t>
      </w:r>
      <w:r>
        <w:rPr>
          <w:rFonts w:ascii="Arial" w:cs="Arial" w:eastAsia="Arial" w:hAnsi="Arial"/>
          <w:sz w:val="26"/>
          <w:szCs w:val="26"/>
          <w:color w:val="auto"/>
        </w:rPr>
        <w:t xml:space="preserve"> К</w:t>
      </w:r>
      <w:r>
        <w:rPr>
          <w:rFonts w:ascii="Arial" w:cs="Arial" w:eastAsia="Arial" w:hAnsi="Arial"/>
          <w:sz w:val="52"/>
          <w:szCs w:val="52"/>
          <w:color w:val="auto"/>
          <w:vertAlign w:val="superscript"/>
        </w:rPr>
        <w:t>+</w:t>
      </w:r>
      <w:r>
        <w:rPr>
          <w:rFonts w:ascii="Arial" w:cs="Arial" w:eastAsia="Arial" w:hAnsi="Arial"/>
          <w:sz w:val="26"/>
          <w:szCs w:val="26"/>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-167005</wp:posOffset>
            </wp:positionV>
            <wp:extent cx="82550" cy="8255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rPr>
          <w:sz w:val="20"/>
          <w:szCs w:val="20"/>
          <w:color w:val="auto"/>
        </w:rPr>
      </w:pPr>
      <w:r>
        <w:rPr>
          <w:rFonts w:ascii="Arial" w:cs="Arial" w:eastAsia="Arial" w:hAnsi="Arial"/>
          <w:sz w:val="27"/>
          <w:szCs w:val="27"/>
          <w:color w:val="auto"/>
        </w:rPr>
        <w:t>увеличение реабсорбции натрия в почках</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2640" w:val="left"/>
          <w:tab w:leader="none" w:pos="4400" w:val="left"/>
          <w:tab w:leader="none" w:pos="4960" w:val="left"/>
          <w:tab w:leader="none" w:pos="7380" w:val="left"/>
        </w:tabs>
        <w:rPr>
          <w:sz w:val="20"/>
          <w:szCs w:val="20"/>
          <w:color w:val="auto"/>
        </w:rPr>
      </w:pPr>
      <w:r>
        <w:rPr>
          <w:rFonts w:ascii="Arial" w:cs="Arial" w:eastAsia="Arial" w:hAnsi="Arial"/>
          <w:sz w:val="27"/>
          <w:szCs w:val="27"/>
          <w:color w:val="auto"/>
        </w:rPr>
        <w:t>дисфункция</w:t>
        <w:tab/>
        <w:t>эндотелия</w:t>
        <w:tab/>
        <w:t>с</w:t>
        <w:tab/>
        <w:t>преобладанием</w:t>
        <w:tab/>
        <w:t>продукции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вазоконстрикторных субстанций </w:t>
      </w:r>
      <w:r>
        <w:rPr>
          <w:rFonts w:ascii="Arial" w:cs="Arial" w:eastAsia="Arial" w:hAnsi="Arial"/>
          <w:sz w:val="27"/>
          <w:szCs w:val="27"/>
          <w:color w:val="auto"/>
        </w:rPr>
        <w:t>(</w:t>
      </w:r>
      <w:r>
        <w:rPr>
          <w:rFonts w:ascii="Arial" w:cs="Arial" w:eastAsia="Arial" w:hAnsi="Arial"/>
          <w:sz w:val="27"/>
          <w:szCs w:val="27"/>
          <w:color w:val="auto"/>
        </w:rPr>
        <w:t>тканевого ангиотензина</w:t>
      </w:r>
      <w:r>
        <w:rPr>
          <w:rFonts w:ascii="Arial" w:cs="Arial" w:eastAsia="Arial" w:hAnsi="Arial"/>
          <w:sz w:val="27"/>
          <w:szCs w:val="27"/>
          <w:color w:val="auto"/>
        </w:rPr>
        <w:t>-II,</w:t>
      </w:r>
    </w:p>
    <w:p>
      <w:pPr>
        <w:spacing w:after="0" w:line="80" w:lineRule="exact"/>
        <w:rPr>
          <w:sz w:val="20"/>
          <w:szCs w:val="20"/>
          <w:color w:val="auto"/>
        </w:rPr>
      </w:pPr>
    </w:p>
    <w:p>
      <w:pPr>
        <w:ind w:left="680"/>
        <w:spacing w:after="0"/>
        <w:tabs>
          <w:tab w:leader="none" w:pos="2660" w:val="left"/>
          <w:tab w:leader="none" w:pos="3280" w:val="left"/>
          <w:tab w:leader="none" w:pos="5180" w:val="left"/>
          <w:tab w:leader="none" w:pos="6980" w:val="left"/>
        </w:tabs>
        <w:rPr>
          <w:sz w:val="20"/>
          <w:szCs w:val="20"/>
          <w:color w:val="auto"/>
        </w:rPr>
      </w:pPr>
      <w:r>
        <w:rPr>
          <w:rFonts w:ascii="Arial" w:cs="Arial" w:eastAsia="Arial" w:hAnsi="Arial"/>
          <w:sz w:val="27"/>
          <w:szCs w:val="27"/>
          <w:color w:val="auto"/>
        </w:rPr>
        <w:t>эндотелина</w:t>
      </w:r>
      <w:r>
        <w:rPr>
          <w:rFonts w:ascii="Arial" w:cs="Arial" w:eastAsia="Arial" w:hAnsi="Arial"/>
          <w:sz w:val="27"/>
          <w:szCs w:val="27"/>
          <w:color w:val="auto"/>
        </w:rPr>
        <w:t>)</w:t>
      </w:r>
      <w:r>
        <w:rPr>
          <w:rFonts w:ascii="Arial" w:cs="Arial" w:eastAsia="Arial" w:hAnsi="Arial"/>
          <w:sz w:val="27"/>
          <w:szCs w:val="27"/>
          <w:color w:val="auto"/>
        </w:rPr>
        <w:tab/>
        <w:t>и</w:t>
        <w:tab/>
        <w:t>снижением</w:t>
        <w:tab/>
        <w:t>выработки</w:t>
      </w:r>
      <w:r>
        <w:rPr>
          <w:sz w:val="20"/>
          <w:szCs w:val="20"/>
          <w:color w:val="auto"/>
        </w:rPr>
        <w:tab/>
      </w:r>
      <w:r>
        <w:rPr>
          <w:rFonts w:ascii="Arial" w:cs="Arial" w:eastAsia="Arial" w:hAnsi="Arial"/>
          <w:sz w:val="26"/>
          <w:szCs w:val="26"/>
          <w:color w:val="auto"/>
        </w:rPr>
        <w:t>депрессорных</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соединений </w:t>
      </w:r>
      <w:r>
        <w:rPr>
          <w:rFonts w:ascii="Arial" w:cs="Arial" w:eastAsia="Arial" w:hAnsi="Arial"/>
          <w:sz w:val="27"/>
          <w:szCs w:val="27"/>
          <w:color w:val="auto"/>
        </w:rPr>
        <w:t>(</w:t>
      </w:r>
      <w:r>
        <w:rPr>
          <w:rFonts w:ascii="Arial" w:cs="Arial" w:eastAsia="Arial" w:hAnsi="Arial"/>
          <w:sz w:val="27"/>
          <w:szCs w:val="27"/>
          <w:color w:val="auto"/>
        </w:rPr>
        <w:t>брадикинина</w:t>
      </w:r>
      <w:r>
        <w:rPr>
          <w:rFonts w:ascii="Arial" w:cs="Arial" w:eastAsia="Arial" w:hAnsi="Arial"/>
          <w:sz w:val="27"/>
          <w:szCs w:val="27"/>
          <w:color w:val="auto"/>
        </w:rPr>
        <w:t>, N</w:t>
      </w:r>
      <w:r>
        <w:rPr>
          <w:rFonts w:ascii="Arial" w:cs="Arial" w:eastAsia="Arial" w:hAnsi="Arial"/>
          <w:sz w:val="27"/>
          <w:szCs w:val="27"/>
          <w:color w:val="auto"/>
        </w:rPr>
        <w:t>О</w:t>
      </w:r>
      <w:r>
        <w:rPr>
          <w:rFonts w:ascii="Arial" w:cs="Arial" w:eastAsia="Arial" w:hAnsi="Arial"/>
          <w:sz w:val="27"/>
          <w:szCs w:val="27"/>
          <w:color w:val="auto"/>
        </w:rPr>
        <w:t>,</w:t>
      </w:r>
      <w:r>
        <w:rPr>
          <w:rFonts w:ascii="Arial" w:cs="Arial" w:eastAsia="Arial" w:hAnsi="Arial"/>
          <w:sz w:val="27"/>
          <w:szCs w:val="27"/>
          <w:color w:val="auto"/>
        </w:rPr>
        <w:t xml:space="preserve"> простациклина и др</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720" w:val="left"/>
          <w:tab w:leader="none" w:pos="4560" w:val="left"/>
          <w:tab w:leader="none" w:pos="6440" w:val="left"/>
          <w:tab w:leader="none" w:pos="7740" w:val="left"/>
        </w:tabs>
        <w:rPr>
          <w:sz w:val="20"/>
          <w:szCs w:val="20"/>
          <w:color w:val="auto"/>
        </w:rPr>
      </w:pPr>
      <w:r>
        <w:rPr>
          <w:rFonts w:ascii="Arial" w:cs="Arial" w:eastAsia="Arial" w:hAnsi="Arial"/>
          <w:sz w:val="27"/>
          <w:szCs w:val="27"/>
          <w:color w:val="auto"/>
        </w:rPr>
        <w:t>структурные</w:t>
        <w:tab/>
        <w:t>изменения</w:t>
        <w:tab/>
        <w:t>сосудистой</w:t>
        <w:tab/>
        <w:t>стенки</w:t>
        <w:tab/>
        <w:t>артерий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мышечного </w:t>
      </w:r>
      <w:r>
        <w:rPr>
          <w:rFonts w:ascii="Arial" w:cs="Arial" w:eastAsia="Arial" w:hAnsi="Arial"/>
          <w:sz w:val="27"/>
          <w:szCs w:val="27"/>
          <w:color w:val="auto"/>
        </w:rPr>
        <w:t>(</w:t>
      </w:r>
      <w:r>
        <w:rPr>
          <w:rFonts w:ascii="Arial" w:cs="Arial" w:eastAsia="Arial" w:hAnsi="Arial"/>
          <w:sz w:val="27"/>
          <w:szCs w:val="27"/>
          <w:color w:val="auto"/>
        </w:rPr>
        <w:t>резистивного</w:t>
      </w:r>
      <w:r>
        <w:rPr>
          <w:rFonts w:ascii="Arial" w:cs="Arial" w:eastAsia="Arial" w:hAnsi="Arial"/>
          <w:sz w:val="27"/>
          <w:szCs w:val="27"/>
          <w:color w:val="auto"/>
        </w:rPr>
        <w:t>)</w:t>
      </w:r>
      <w:r>
        <w:rPr>
          <w:rFonts w:ascii="Arial" w:cs="Arial" w:eastAsia="Arial" w:hAnsi="Arial"/>
          <w:sz w:val="27"/>
          <w:szCs w:val="27"/>
          <w:color w:val="auto"/>
        </w:rPr>
        <w:t xml:space="preserve"> и эластического типа</w:t>
      </w:r>
      <w:r>
        <w:rPr>
          <w:rFonts w:ascii="Arial" w:cs="Arial" w:eastAsia="Arial" w:hAnsi="Arial"/>
          <w:sz w:val="27"/>
          <w:szCs w:val="27"/>
          <w:color w:val="auto"/>
        </w:rPr>
        <w:t>,</w:t>
      </w:r>
      <w:r>
        <w:rPr>
          <w:rFonts w:ascii="Arial" w:cs="Arial" w:eastAsia="Arial" w:hAnsi="Arial"/>
          <w:sz w:val="27"/>
          <w:szCs w:val="27"/>
          <w:color w:val="auto"/>
        </w:rPr>
        <w:t xml:space="preserve"> в том числе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вследствие низкоинтенсивного неинфекционного воспаления</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640" w:val="left"/>
          <w:tab w:leader="none" w:pos="5560" w:val="left"/>
          <w:tab w:leader="none" w:pos="7460" w:val="left"/>
        </w:tabs>
        <w:rPr>
          <w:sz w:val="20"/>
          <w:szCs w:val="20"/>
          <w:color w:val="auto"/>
        </w:rPr>
      </w:pPr>
      <w:r>
        <w:rPr>
          <w:rFonts w:ascii="Arial" w:cs="Arial" w:eastAsia="Arial" w:hAnsi="Arial"/>
          <w:sz w:val="27"/>
          <w:szCs w:val="27"/>
          <w:color w:val="auto"/>
        </w:rPr>
        <w:t>нарушение</w:t>
      </w:r>
      <w:r>
        <w:rPr>
          <w:sz w:val="20"/>
          <w:szCs w:val="20"/>
          <w:color w:val="auto"/>
        </w:rPr>
        <w:tab/>
      </w:r>
      <w:r>
        <w:rPr>
          <w:rFonts w:ascii="Arial" w:cs="Arial" w:eastAsia="Arial" w:hAnsi="Arial"/>
          <w:sz w:val="27"/>
          <w:szCs w:val="27"/>
          <w:color w:val="auto"/>
        </w:rPr>
        <w:t>микроциркуляции</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снижение</w:t>
      </w:r>
      <w:r>
        <w:rPr>
          <w:sz w:val="20"/>
          <w:szCs w:val="20"/>
          <w:color w:val="auto"/>
        </w:rPr>
        <w:tab/>
      </w:r>
      <w:r>
        <w:rPr>
          <w:rFonts w:ascii="Arial" w:cs="Arial" w:eastAsia="Arial" w:hAnsi="Arial"/>
          <w:sz w:val="27"/>
          <w:szCs w:val="27"/>
          <w:color w:val="auto"/>
        </w:rPr>
        <w:t>плотности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капилляров</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нарушение  барорецепторного  звена  системы  центральной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регуляции уровня АД</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повышение жесткости крупных сосудов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819" w:gutter="0" w:footer="0" w:header="0"/>
        </w:sectPr>
      </w:pPr>
    </w:p>
    <w:bookmarkStart w:id="15" w:name="page16"/>
    <w:bookmarkEnd w:id="15"/>
    <w:p>
      <w:pPr>
        <w:ind w:left="360" w:right="720"/>
        <w:spacing w:after="0" w:line="224" w:lineRule="auto"/>
        <w:rPr>
          <w:sz w:val="20"/>
          <w:szCs w:val="20"/>
          <w:color w:val="auto"/>
        </w:rPr>
      </w:pPr>
      <w:r>
        <w:rPr>
          <w:rFonts w:ascii="Arial" w:cs="Arial" w:eastAsia="Arial" w:hAnsi="Arial"/>
          <w:sz w:val="33"/>
          <w:szCs w:val="33"/>
          <w:b w:val="1"/>
          <w:bCs w:val="1"/>
          <w:color w:val="auto"/>
        </w:rPr>
        <w:t xml:space="preserve">1.3 </w:t>
      </w:r>
      <w:r>
        <w:rPr>
          <w:rFonts w:ascii="Arial" w:cs="Arial" w:eastAsia="Arial" w:hAnsi="Arial"/>
          <w:sz w:val="33"/>
          <w:szCs w:val="33"/>
          <w:b w:val="1"/>
          <w:bCs w:val="1"/>
          <w:color w:val="auto"/>
        </w:rPr>
        <w:t>Эпидемиология заболевания или состояния</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группы заболеваний</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состояний</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22" w:lineRule="exact"/>
        <w:rPr>
          <w:sz w:val="20"/>
          <w:szCs w:val="20"/>
          <w:color w:val="auto"/>
        </w:rPr>
      </w:pPr>
    </w:p>
    <w:p>
      <w:pPr>
        <w:jc w:val="both"/>
        <w:ind w:left="360" w:right="220"/>
        <w:spacing w:after="0" w:line="303" w:lineRule="auto"/>
        <w:rPr>
          <w:sz w:val="20"/>
          <w:szCs w:val="20"/>
          <w:color w:val="auto"/>
        </w:rPr>
      </w:pPr>
      <w:r>
        <w:rPr>
          <w:rFonts w:ascii="Arial" w:cs="Arial" w:eastAsia="Arial" w:hAnsi="Arial"/>
          <w:sz w:val="27"/>
          <w:szCs w:val="27"/>
          <w:color w:val="auto"/>
        </w:rPr>
        <w:t xml:space="preserve">Распространенность АГ среди взрослого населения составляет </w:t>
      </w:r>
      <w:r>
        <w:rPr>
          <w:rFonts w:ascii="Arial" w:cs="Arial" w:eastAsia="Arial" w:hAnsi="Arial"/>
          <w:sz w:val="27"/>
          <w:szCs w:val="27"/>
          <w:color w:val="auto"/>
        </w:rPr>
        <w:t>30–</w:t>
      </w:r>
      <w:r>
        <w:rPr>
          <w:rFonts w:ascii="Arial" w:cs="Arial" w:eastAsia="Arial" w:hAnsi="Arial"/>
          <w:sz w:val="27"/>
          <w:szCs w:val="27"/>
          <w:color w:val="auto"/>
        </w:rPr>
        <w:t xml:space="preserve"> </w:t>
      </w:r>
      <w:r>
        <w:rPr>
          <w:rFonts w:ascii="Arial" w:cs="Arial" w:eastAsia="Arial" w:hAnsi="Arial"/>
          <w:sz w:val="27"/>
          <w:szCs w:val="27"/>
          <w:color w:val="auto"/>
        </w:rPr>
        <w:t xml:space="preserve">45% [17]. </w:t>
      </w:r>
      <w:r>
        <w:rPr>
          <w:rFonts w:ascii="Arial" w:cs="Arial" w:eastAsia="Arial" w:hAnsi="Arial"/>
          <w:sz w:val="27"/>
          <w:szCs w:val="27"/>
          <w:color w:val="auto"/>
        </w:rPr>
        <w:t>Распространенность АГ не зависит от уровня дохода и</w:t>
      </w:r>
      <w:r>
        <w:rPr>
          <w:rFonts w:ascii="Arial" w:cs="Arial" w:eastAsia="Arial" w:hAnsi="Arial"/>
          <w:sz w:val="27"/>
          <w:szCs w:val="27"/>
          <w:color w:val="auto"/>
        </w:rPr>
        <w:t xml:space="preserve"> </w:t>
      </w:r>
      <w:r>
        <w:rPr>
          <w:rFonts w:ascii="Arial" w:cs="Arial" w:eastAsia="Arial" w:hAnsi="Arial"/>
          <w:sz w:val="27"/>
          <w:szCs w:val="27"/>
          <w:color w:val="auto"/>
        </w:rPr>
        <w:t>одинакова в странах с низким</w:t>
      </w:r>
      <w:r>
        <w:rPr>
          <w:rFonts w:ascii="Arial" w:cs="Arial" w:eastAsia="Arial" w:hAnsi="Arial"/>
          <w:sz w:val="27"/>
          <w:szCs w:val="27"/>
          <w:color w:val="auto"/>
        </w:rPr>
        <w:t>,</w:t>
      </w:r>
      <w:r>
        <w:rPr>
          <w:rFonts w:ascii="Arial" w:cs="Arial" w:eastAsia="Arial" w:hAnsi="Arial"/>
          <w:sz w:val="27"/>
          <w:szCs w:val="27"/>
          <w:color w:val="auto"/>
        </w:rPr>
        <w:t xml:space="preserve"> средним и высоким уровнями дохода </w:t>
      </w:r>
      <w:r>
        <w:rPr>
          <w:rFonts w:ascii="Arial" w:cs="Arial" w:eastAsia="Arial" w:hAnsi="Arial"/>
          <w:sz w:val="27"/>
          <w:szCs w:val="27"/>
          <w:color w:val="auto"/>
        </w:rPr>
        <w:t>[17].</w:t>
      </w:r>
      <w:r>
        <w:rPr>
          <w:rFonts w:ascii="Arial" w:cs="Arial" w:eastAsia="Arial" w:hAnsi="Arial"/>
          <w:sz w:val="27"/>
          <w:szCs w:val="27"/>
          <w:color w:val="auto"/>
        </w:rPr>
        <w:t xml:space="preserve"> В российской популяции среди мужчин в возрасте </w:t>
      </w:r>
      <w:r>
        <w:rPr>
          <w:rFonts w:ascii="Arial" w:cs="Arial" w:eastAsia="Arial" w:hAnsi="Arial"/>
          <w:sz w:val="27"/>
          <w:szCs w:val="27"/>
          <w:color w:val="auto"/>
        </w:rPr>
        <w:t xml:space="preserve">25–65 </w:t>
      </w:r>
      <w:r>
        <w:rPr>
          <w:rFonts w:ascii="Arial" w:cs="Arial" w:eastAsia="Arial" w:hAnsi="Arial"/>
          <w:sz w:val="27"/>
          <w:szCs w:val="27"/>
          <w:color w:val="auto"/>
        </w:rPr>
        <w:t>лет распространенность АГ несколько выше</w:t>
      </w:r>
      <w:r>
        <w:rPr>
          <w:rFonts w:ascii="Arial" w:cs="Arial" w:eastAsia="Arial" w:hAnsi="Arial"/>
          <w:sz w:val="27"/>
          <w:szCs w:val="27"/>
          <w:color w:val="auto"/>
        </w:rPr>
        <w:t xml:space="preserve"> (</w:t>
      </w:r>
      <w:r>
        <w:rPr>
          <w:rFonts w:ascii="Arial" w:cs="Arial" w:eastAsia="Arial" w:hAnsi="Arial"/>
          <w:sz w:val="27"/>
          <w:szCs w:val="27"/>
          <w:color w:val="auto"/>
        </w:rPr>
        <w:t>в некоторых</w:t>
      </w:r>
      <w:r>
        <w:rPr>
          <w:rFonts w:ascii="Arial" w:cs="Arial" w:eastAsia="Arial" w:hAnsi="Arial"/>
          <w:sz w:val="27"/>
          <w:szCs w:val="27"/>
          <w:color w:val="auto"/>
        </w:rPr>
        <w:t xml:space="preserve"> </w:t>
      </w:r>
      <w:r>
        <w:rPr>
          <w:rFonts w:ascii="Arial" w:cs="Arial" w:eastAsia="Arial" w:hAnsi="Arial"/>
          <w:sz w:val="27"/>
          <w:szCs w:val="27"/>
          <w:color w:val="auto"/>
        </w:rPr>
        <w:t xml:space="preserve">регионах она достигает </w:t>
      </w:r>
      <w:r>
        <w:rPr>
          <w:rFonts w:ascii="Arial" w:cs="Arial" w:eastAsia="Arial" w:hAnsi="Arial"/>
          <w:sz w:val="27"/>
          <w:szCs w:val="27"/>
          <w:color w:val="auto"/>
        </w:rPr>
        <w:t>47%),</w:t>
      </w:r>
      <w:r>
        <w:rPr>
          <w:rFonts w:ascii="Arial" w:cs="Arial" w:eastAsia="Arial" w:hAnsi="Arial"/>
          <w:sz w:val="27"/>
          <w:szCs w:val="27"/>
          <w:color w:val="auto"/>
        </w:rPr>
        <w:t xml:space="preserve"> тогда как среди женщин распространенность АГ </w:t>
      </w:r>
      <w:r>
        <w:rPr>
          <w:rFonts w:ascii="Arial" w:cs="Arial" w:eastAsia="Arial" w:hAnsi="Arial"/>
          <w:sz w:val="27"/>
          <w:szCs w:val="27"/>
          <w:color w:val="auto"/>
        </w:rPr>
        <w:t>—</w:t>
      </w:r>
      <w:r>
        <w:rPr>
          <w:rFonts w:ascii="Arial" w:cs="Arial" w:eastAsia="Arial" w:hAnsi="Arial"/>
          <w:sz w:val="27"/>
          <w:szCs w:val="27"/>
          <w:color w:val="auto"/>
        </w:rPr>
        <w:t xml:space="preserve"> около </w:t>
      </w:r>
      <w:r>
        <w:rPr>
          <w:rFonts w:ascii="Arial" w:cs="Arial" w:eastAsia="Arial" w:hAnsi="Arial"/>
          <w:sz w:val="27"/>
          <w:szCs w:val="27"/>
          <w:color w:val="auto"/>
        </w:rPr>
        <w:t>40% [18].</w:t>
      </w:r>
      <w:r>
        <w:rPr>
          <w:rFonts w:ascii="Arial" w:cs="Arial" w:eastAsia="Arial" w:hAnsi="Arial"/>
          <w:sz w:val="27"/>
          <w:szCs w:val="27"/>
          <w:color w:val="auto"/>
        </w:rPr>
        <w:t xml:space="preserve"> Распространенность АГ увеличивается с возрастом</w:t>
      </w:r>
      <w:r>
        <w:rPr>
          <w:rFonts w:ascii="Arial" w:cs="Arial" w:eastAsia="Arial" w:hAnsi="Arial"/>
          <w:sz w:val="27"/>
          <w:szCs w:val="27"/>
          <w:color w:val="auto"/>
        </w:rPr>
        <w:t>,</w:t>
      </w:r>
      <w:r>
        <w:rPr>
          <w:rFonts w:ascii="Arial" w:cs="Arial" w:eastAsia="Arial" w:hAnsi="Arial"/>
          <w:sz w:val="27"/>
          <w:szCs w:val="27"/>
          <w:color w:val="auto"/>
        </w:rPr>
        <w:t xml:space="preserve"> достигая </w:t>
      </w:r>
      <w:r>
        <w:rPr>
          <w:rFonts w:ascii="Arial" w:cs="Arial" w:eastAsia="Arial" w:hAnsi="Arial"/>
          <w:sz w:val="27"/>
          <w:szCs w:val="27"/>
          <w:color w:val="auto"/>
        </w:rPr>
        <w:t>60%</w:t>
      </w:r>
      <w:r>
        <w:rPr>
          <w:rFonts w:ascii="Arial" w:cs="Arial" w:eastAsia="Arial" w:hAnsi="Arial"/>
          <w:sz w:val="27"/>
          <w:szCs w:val="27"/>
          <w:color w:val="auto"/>
        </w:rPr>
        <w:t xml:space="preserve"> и выше у лиц старше </w:t>
      </w:r>
      <w:r>
        <w:rPr>
          <w:rFonts w:ascii="Arial" w:cs="Arial" w:eastAsia="Arial" w:hAnsi="Arial"/>
          <w:sz w:val="27"/>
          <w:szCs w:val="27"/>
          <w:color w:val="auto"/>
        </w:rPr>
        <w:t>60</w:t>
      </w:r>
      <w:r>
        <w:rPr>
          <w:rFonts w:ascii="Arial" w:cs="Arial" w:eastAsia="Arial" w:hAnsi="Arial"/>
          <w:sz w:val="27"/>
          <w:szCs w:val="27"/>
          <w:color w:val="auto"/>
        </w:rPr>
        <w:t xml:space="preserve"> лет </w:t>
      </w:r>
      <w:r>
        <w:rPr>
          <w:rFonts w:ascii="Arial" w:cs="Arial" w:eastAsia="Arial" w:hAnsi="Arial"/>
          <w:sz w:val="27"/>
          <w:szCs w:val="27"/>
          <w:color w:val="auto"/>
        </w:rPr>
        <w:t>[17].</w:t>
      </w:r>
      <w:r>
        <w:rPr>
          <w:rFonts w:ascii="Arial" w:cs="Arial" w:eastAsia="Arial" w:hAnsi="Arial"/>
          <w:sz w:val="27"/>
          <w:szCs w:val="27"/>
          <w:color w:val="auto"/>
        </w:rPr>
        <w:t xml:space="preserve"> Поскольку наблюдаемое увеличение продолжительности жизни сопровождается постарением населения и</w:t>
      </w:r>
      <w:r>
        <w:rPr>
          <w:rFonts w:ascii="Arial" w:cs="Arial" w:eastAsia="Arial" w:hAnsi="Arial"/>
          <w:sz w:val="27"/>
          <w:szCs w:val="27"/>
          <w:color w:val="auto"/>
        </w:rPr>
        <w:t>,</w:t>
      </w:r>
      <w:r>
        <w:rPr>
          <w:rFonts w:ascii="Arial" w:cs="Arial" w:eastAsia="Arial" w:hAnsi="Arial"/>
          <w:sz w:val="27"/>
          <w:szCs w:val="27"/>
          <w:color w:val="auto"/>
        </w:rPr>
        <w:t xml:space="preserve"> соответственно</w:t>
      </w:r>
      <w:r>
        <w:rPr>
          <w:rFonts w:ascii="Arial" w:cs="Arial" w:eastAsia="Arial" w:hAnsi="Arial"/>
          <w:sz w:val="27"/>
          <w:szCs w:val="27"/>
          <w:color w:val="auto"/>
        </w:rPr>
        <w:t>,</w:t>
      </w:r>
      <w:r>
        <w:rPr>
          <w:rFonts w:ascii="Arial" w:cs="Arial" w:eastAsia="Arial" w:hAnsi="Arial"/>
          <w:sz w:val="27"/>
          <w:szCs w:val="27"/>
          <w:color w:val="auto"/>
        </w:rPr>
        <w:t xml:space="preserve"> увеличением количества малоподвижных пациентов с избыточной массой тела</w:t>
      </w:r>
      <w:r>
        <w:rPr>
          <w:rFonts w:ascii="Arial" w:cs="Arial" w:eastAsia="Arial" w:hAnsi="Arial"/>
          <w:sz w:val="27"/>
          <w:szCs w:val="27"/>
          <w:color w:val="auto"/>
        </w:rPr>
        <w:t>,</w:t>
      </w:r>
      <w:r>
        <w:rPr>
          <w:rFonts w:ascii="Arial" w:cs="Arial" w:eastAsia="Arial" w:hAnsi="Arial"/>
          <w:sz w:val="27"/>
          <w:szCs w:val="27"/>
          <w:color w:val="auto"/>
        </w:rPr>
        <w:t xml:space="preserve"> прогнозируется</w:t>
      </w:r>
      <w:r>
        <w:rPr>
          <w:rFonts w:ascii="Arial" w:cs="Arial" w:eastAsia="Arial" w:hAnsi="Arial"/>
          <w:sz w:val="27"/>
          <w:szCs w:val="27"/>
          <w:color w:val="auto"/>
        </w:rPr>
        <w:t>,</w:t>
      </w:r>
      <w:r>
        <w:rPr>
          <w:rFonts w:ascii="Arial" w:cs="Arial" w:eastAsia="Arial" w:hAnsi="Arial"/>
          <w:sz w:val="27"/>
          <w:szCs w:val="27"/>
          <w:color w:val="auto"/>
        </w:rPr>
        <w:t xml:space="preserve"> что распространенность АГ будет расти во всем мире</w:t>
      </w:r>
      <w:r>
        <w:rPr>
          <w:rFonts w:ascii="Arial" w:cs="Arial" w:eastAsia="Arial" w:hAnsi="Arial"/>
          <w:sz w:val="27"/>
          <w:szCs w:val="27"/>
          <w:color w:val="auto"/>
        </w:rPr>
        <w:t>.</w:t>
      </w:r>
      <w:r>
        <w:rPr>
          <w:rFonts w:ascii="Arial" w:cs="Arial" w:eastAsia="Arial" w:hAnsi="Arial"/>
          <w:sz w:val="27"/>
          <w:szCs w:val="27"/>
          <w:color w:val="auto"/>
        </w:rPr>
        <w:t xml:space="preserve"> Согласно прогнозу</w:t>
      </w:r>
      <w:r>
        <w:rPr>
          <w:rFonts w:ascii="Arial" w:cs="Arial" w:eastAsia="Arial" w:hAnsi="Arial"/>
          <w:sz w:val="27"/>
          <w:szCs w:val="27"/>
          <w:color w:val="auto"/>
        </w:rPr>
        <w:t>,</w:t>
      </w:r>
      <w:r>
        <w:rPr>
          <w:rFonts w:ascii="Arial" w:cs="Arial" w:eastAsia="Arial" w:hAnsi="Arial"/>
          <w:sz w:val="27"/>
          <w:szCs w:val="27"/>
          <w:color w:val="auto"/>
        </w:rPr>
        <w:t xml:space="preserve"> к </w:t>
      </w:r>
      <w:r>
        <w:rPr>
          <w:rFonts w:ascii="Arial" w:cs="Arial" w:eastAsia="Arial" w:hAnsi="Arial"/>
          <w:sz w:val="27"/>
          <w:szCs w:val="27"/>
          <w:color w:val="auto"/>
        </w:rPr>
        <w:t>2025</w:t>
      </w:r>
      <w:r>
        <w:rPr>
          <w:rFonts w:ascii="Arial" w:cs="Arial" w:eastAsia="Arial" w:hAnsi="Arial"/>
          <w:sz w:val="27"/>
          <w:szCs w:val="27"/>
          <w:color w:val="auto"/>
        </w:rPr>
        <w:t xml:space="preserve"> году число пациентов АГ увеличится на </w:t>
      </w:r>
      <w:r>
        <w:rPr>
          <w:rFonts w:ascii="Arial" w:cs="Arial" w:eastAsia="Arial" w:hAnsi="Arial"/>
          <w:sz w:val="27"/>
          <w:szCs w:val="27"/>
          <w:color w:val="auto"/>
        </w:rPr>
        <w:t>15–20%</w:t>
      </w:r>
      <w:r>
        <w:rPr>
          <w:rFonts w:ascii="Arial" w:cs="Arial" w:eastAsia="Arial" w:hAnsi="Arial"/>
          <w:sz w:val="27"/>
          <w:szCs w:val="27"/>
          <w:color w:val="auto"/>
        </w:rPr>
        <w:t xml:space="preserve"> и достигнет почти </w:t>
      </w:r>
      <w:r>
        <w:rPr>
          <w:rFonts w:ascii="Arial" w:cs="Arial" w:eastAsia="Arial" w:hAnsi="Arial"/>
          <w:sz w:val="27"/>
          <w:szCs w:val="27"/>
          <w:color w:val="auto"/>
        </w:rPr>
        <w:t>1,5</w:t>
      </w:r>
      <w:r>
        <w:rPr>
          <w:rFonts w:ascii="Arial" w:cs="Arial" w:eastAsia="Arial" w:hAnsi="Arial"/>
          <w:sz w:val="27"/>
          <w:szCs w:val="27"/>
          <w:color w:val="auto"/>
        </w:rPr>
        <w:t xml:space="preserve"> миллиардов </w:t>
      </w:r>
      <w:r>
        <w:rPr>
          <w:rFonts w:ascii="Arial" w:cs="Arial" w:eastAsia="Arial" w:hAnsi="Arial"/>
          <w:sz w:val="27"/>
          <w:szCs w:val="27"/>
          <w:color w:val="auto"/>
        </w:rPr>
        <w:t>[19].</w:t>
      </w:r>
    </w:p>
    <w:p>
      <w:pPr>
        <w:spacing w:after="0" w:line="243" w:lineRule="exact"/>
        <w:rPr>
          <w:sz w:val="20"/>
          <w:szCs w:val="20"/>
          <w:color w:val="auto"/>
        </w:rPr>
      </w:pPr>
    </w:p>
    <w:p>
      <w:pPr>
        <w:jc w:val="both"/>
        <w:ind w:left="360" w:right="220"/>
        <w:spacing w:after="0" w:line="308" w:lineRule="auto"/>
        <w:rPr>
          <w:sz w:val="20"/>
          <w:szCs w:val="20"/>
          <w:color w:val="auto"/>
        </w:rPr>
      </w:pPr>
      <w:r>
        <w:rPr>
          <w:rFonts w:ascii="Arial" w:cs="Arial" w:eastAsia="Arial" w:hAnsi="Arial"/>
          <w:sz w:val="27"/>
          <w:szCs w:val="27"/>
          <w:color w:val="auto"/>
        </w:rPr>
        <w:t>АГ является ведущим фактором риска развития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сосудистых </w:t>
      </w:r>
      <w:r>
        <w:rPr>
          <w:rFonts w:ascii="Arial" w:cs="Arial" w:eastAsia="Arial" w:hAnsi="Arial"/>
          <w:sz w:val="27"/>
          <w:szCs w:val="27"/>
          <w:color w:val="auto"/>
        </w:rPr>
        <w:t>(</w:t>
      </w:r>
      <w:r>
        <w:rPr>
          <w:rFonts w:ascii="Arial" w:cs="Arial" w:eastAsia="Arial" w:hAnsi="Arial"/>
          <w:sz w:val="27"/>
          <w:szCs w:val="27"/>
          <w:color w:val="auto"/>
        </w:rPr>
        <w:t>СС</w:t>
      </w:r>
      <w:r>
        <w:rPr>
          <w:rFonts w:ascii="Arial" w:cs="Arial" w:eastAsia="Arial" w:hAnsi="Arial"/>
          <w:sz w:val="27"/>
          <w:szCs w:val="27"/>
          <w:color w:val="auto"/>
        </w:rPr>
        <w:t>) (</w:t>
      </w:r>
      <w:r>
        <w:rPr>
          <w:rFonts w:ascii="Arial" w:cs="Arial" w:eastAsia="Arial" w:hAnsi="Arial"/>
          <w:sz w:val="27"/>
          <w:szCs w:val="27"/>
          <w:color w:val="auto"/>
        </w:rPr>
        <w:t>инфаркт миокарда</w:t>
      </w:r>
      <w:r>
        <w:rPr>
          <w:rFonts w:ascii="Arial" w:cs="Arial" w:eastAsia="Arial" w:hAnsi="Arial"/>
          <w:sz w:val="27"/>
          <w:szCs w:val="27"/>
          <w:color w:val="auto"/>
        </w:rPr>
        <w:t>,</w:t>
      </w:r>
      <w:r>
        <w:rPr>
          <w:rFonts w:ascii="Arial" w:cs="Arial" w:eastAsia="Arial" w:hAnsi="Arial"/>
          <w:sz w:val="27"/>
          <w:szCs w:val="27"/>
          <w:color w:val="auto"/>
        </w:rPr>
        <w:t xml:space="preserve"> инсульт</w:t>
      </w:r>
      <w:r>
        <w:rPr>
          <w:rFonts w:ascii="Arial" w:cs="Arial" w:eastAsia="Arial" w:hAnsi="Arial"/>
          <w:sz w:val="27"/>
          <w:szCs w:val="27"/>
          <w:color w:val="auto"/>
        </w:rPr>
        <w:t>,</w:t>
      </w:r>
      <w:r>
        <w:rPr>
          <w:rFonts w:ascii="Arial" w:cs="Arial" w:eastAsia="Arial" w:hAnsi="Arial"/>
          <w:sz w:val="27"/>
          <w:szCs w:val="27"/>
          <w:color w:val="auto"/>
        </w:rPr>
        <w:t xml:space="preserve"> ишемическая болезнь сердца </w:t>
      </w:r>
      <w:r>
        <w:rPr>
          <w:rFonts w:ascii="Arial" w:cs="Arial" w:eastAsia="Arial" w:hAnsi="Arial"/>
          <w:sz w:val="27"/>
          <w:szCs w:val="27"/>
          <w:color w:val="auto"/>
        </w:rPr>
        <w:t>(</w:t>
      </w:r>
      <w:r>
        <w:rPr>
          <w:rFonts w:ascii="Arial" w:cs="Arial" w:eastAsia="Arial" w:hAnsi="Arial"/>
          <w:sz w:val="27"/>
          <w:szCs w:val="27"/>
          <w:color w:val="auto"/>
        </w:rPr>
        <w:t>ИБС</w:t>
      </w:r>
      <w:r>
        <w:rPr>
          <w:rFonts w:ascii="Arial" w:cs="Arial" w:eastAsia="Arial" w:hAnsi="Arial"/>
          <w:sz w:val="27"/>
          <w:szCs w:val="27"/>
          <w:color w:val="auto"/>
        </w:rPr>
        <w:t>),</w:t>
      </w:r>
      <w:r>
        <w:rPr>
          <w:rFonts w:ascii="Arial" w:cs="Arial" w:eastAsia="Arial" w:hAnsi="Arial"/>
          <w:sz w:val="27"/>
          <w:szCs w:val="27"/>
          <w:color w:val="auto"/>
        </w:rPr>
        <w:t xml:space="preserve"> хроническая сердечная недостаточность</w:t>
      </w:r>
      <w:r>
        <w:rPr>
          <w:rFonts w:ascii="Arial" w:cs="Arial" w:eastAsia="Arial" w:hAnsi="Arial"/>
          <w:sz w:val="27"/>
          <w:szCs w:val="27"/>
          <w:color w:val="auto"/>
        </w:rPr>
        <w:t>),</w:t>
      </w:r>
      <w:r>
        <w:rPr>
          <w:rFonts w:ascii="Arial" w:cs="Arial" w:eastAsia="Arial" w:hAnsi="Arial"/>
          <w:sz w:val="27"/>
          <w:szCs w:val="27"/>
          <w:color w:val="auto"/>
        </w:rPr>
        <w:t xml:space="preserve"> цереброваскулярных </w:t>
      </w:r>
      <w:r>
        <w:rPr>
          <w:rFonts w:ascii="Arial" w:cs="Arial" w:eastAsia="Arial" w:hAnsi="Arial"/>
          <w:sz w:val="27"/>
          <w:szCs w:val="27"/>
          <w:color w:val="auto"/>
        </w:rPr>
        <w:t>(</w:t>
      </w:r>
      <w:r>
        <w:rPr>
          <w:rFonts w:ascii="Arial" w:cs="Arial" w:eastAsia="Arial" w:hAnsi="Arial"/>
          <w:sz w:val="27"/>
          <w:szCs w:val="27"/>
          <w:color w:val="auto"/>
        </w:rPr>
        <w:t>ишемический или геморрагический инсульт</w:t>
      </w:r>
      <w:r>
        <w:rPr>
          <w:rFonts w:ascii="Arial" w:cs="Arial" w:eastAsia="Arial" w:hAnsi="Arial"/>
          <w:sz w:val="27"/>
          <w:szCs w:val="27"/>
          <w:color w:val="auto"/>
        </w:rPr>
        <w:t>,</w:t>
      </w:r>
      <w:r>
        <w:rPr>
          <w:rFonts w:ascii="Arial" w:cs="Arial" w:eastAsia="Arial" w:hAnsi="Arial"/>
          <w:sz w:val="27"/>
          <w:szCs w:val="27"/>
          <w:color w:val="auto"/>
        </w:rPr>
        <w:t xml:space="preserve"> транзиторная ишемическая атака</w:t>
      </w:r>
      <w:r>
        <w:rPr>
          <w:rFonts w:ascii="Arial" w:cs="Arial" w:eastAsia="Arial" w:hAnsi="Arial"/>
          <w:sz w:val="27"/>
          <w:szCs w:val="27"/>
          <w:color w:val="auto"/>
        </w:rPr>
        <w:t>)</w:t>
      </w:r>
      <w:r>
        <w:rPr>
          <w:rFonts w:ascii="Arial" w:cs="Arial" w:eastAsia="Arial" w:hAnsi="Arial"/>
          <w:sz w:val="27"/>
          <w:szCs w:val="27"/>
          <w:color w:val="auto"/>
        </w:rPr>
        <w:t xml:space="preserve"> и почечных </w:t>
      </w:r>
      <w:r>
        <w:rPr>
          <w:rFonts w:ascii="Arial" w:cs="Arial" w:eastAsia="Arial" w:hAnsi="Arial"/>
          <w:sz w:val="27"/>
          <w:szCs w:val="27"/>
          <w:color w:val="auto"/>
        </w:rPr>
        <w:t>(</w:t>
      </w:r>
      <w:r>
        <w:rPr>
          <w:rFonts w:ascii="Arial" w:cs="Arial" w:eastAsia="Arial" w:hAnsi="Arial"/>
          <w:sz w:val="27"/>
          <w:szCs w:val="27"/>
          <w:color w:val="auto"/>
        </w:rPr>
        <w:t>хроническая болезнь почек</w:t>
      </w:r>
      <w:r>
        <w:rPr>
          <w:rFonts w:ascii="Arial" w:cs="Arial" w:eastAsia="Arial" w:hAnsi="Arial"/>
          <w:sz w:val="27"/>
          <w:szCs w:val="27"/>
          <w:color w:val="auto"/>
        </w:rPr>
        <w:t xml:space="preserve"> (</w:t>
      </w:r>
      <w:r>
        <w:rPr>
          <w:rFonts w:ascii="Arial" w:cs="Arial" w:eastAsia="Arial" w:hAnsi="Arial"/>
          <w:sz w:val="27"/>
          <w:szCs w:val="27"/>
          <w:color w:val="auto"/>
        </w:rPr>
        <w:t>ХБП</w:t>
      </w:r>
      <w:r>
        <w:rPr>
          <w:rFonts w:ascii="Arial" w:cs="Arial" w:eastAsia="Arial" w:hAnsi="Arial"/>
          <w:sz w:val="27"/>
          <w:szCs w:val="27"/>
          <w:color w:val="auto"/>
        </w:rPr>
        <w:t xml:space="preserve">)) </w:t>
      </w:r>
      <w:r>
        <w:rPr>
          <w:rFonts w:ascii="Arial" w:cs="Arial" w:eastAsia="Arial" w:hAnsi="Arial"/>
          <w:sz w:val="27"/>
          <w:szCs w:val="27"/>
          <w:color w:val="auto"/>
        </w:rPr>
        <w:t>заболеваний</w:t>
      </w:r>
      <w:r>
        <w:rPr>
          <w:rFonts w:ascii="Arial" w:cs="Arial" w:eastAsia="Arial" w:hAnsi="Arial"/>
          <w:sz w:val="27"/>
          <w:szCs w:val="27"/>
          <w:color w:val="auto"/>
        </w:rPr>
        <w:t xml:space="preserve"> [20–22].</w:t>
      </w:r>
    </w:p>
    <w:p>
      <w:pPr>
        <w:spacing w:after="0" w:line="22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Взаимосвязь артериального давления с риском развития сердечно</w:t>
      </w:r>
      <w:r>
        <w:rPr>
          <w:rFonts w:ascii="Arial" w:cs="Arial" w:eastAsia="Arial" w:hAnsi="Arial"/>
          <w:sz w:val="27"/>
          <w:szCs w:val="27"/>
          <w:color w:val="auto"/>
        </w:rPr>
        <w:t>-</w:t>
      </w:r>
      <w:r>
        <w:rPr>
          <w:rFonts w:ascii="Arial" w:cs="Arial" w:eastAsia="Arial" w:hAnsi="Arial"/>
          <w:sz w:val="27"/>
          <w:szCs w:val="27"/>
          <w:color w:val="auto"/>
        </w:rPr>
        <w:t>сосудистых</w:t>
      </w:r>
      <w:r>
        <w:rPr>
          <w:rFonts w:ascii="Arial" w:cs="Arial" w:eastAsia="Arial" w:hAnsi="Arial"/>
          <w:sz w:val="27"/>
          <w:szCs w:val="27"/>
          <w:color w:val="auto"/>
        </w:rPr>
        <w:t>,</w:t>
      </w:r>
      <w:r>
        <w:rPr>
          <w:rFonts w:ascii="Arial" w:cs="Arial" w:eastAsia="Arial" w:hAnsi="Arial"/>
          <w:sz w:val="27"/>
          <w:szCs w:val="27"/>
          <w:color w:val="auto"/>
        </w:rPr>
        <w:t xml:space="preserve"> цереброваскулярных и почечных осложнений</w:t>
      </w:r>
    </w:p>
    <w:p>
      <w:pPr>
        <w:spacing w:after="0" w:line="210" w:lineRule="exact"/>
        <w:rPr>
          <w:sz w:val="20"/>
          <w:szCs w:val="20"/>
          <w:color w:val="auto"/>
        </w:rPr>
      </w:pPr>
    </w:p>
    <w:p>
      <w:pPr>
        <w:jc w:val="both"/>
        <w:ind w:left="360" w:right="220"/>
        <w:spacing w:after="0" w:line="304" w:lineRule="auto"/>
        <w:rPr>
          <w:sz w:val="20"/>
          <w:szCs w:val="20"/>
          <w:color w:val="auto"/>
        </w:rPr>
      </w:pPr>
      <w:r>
        <w:rPr>
          <w:rFonts w:ascii="Arial" w:cs="Arial" w:eastAsia="Arial" w:hAnsi="Arial"/>
          <w:sz w:val="27"/>
          <w:szCs w:val="27"/>
          <w:color w:val="auto"/>
        </w:rPr>
        <w:t xml:space="preserve">Повышенное АД является основным фактором развития преждевременной смерти и причиной почти </w:t>
      </w:r>
      <w:r>
        <w:rPr>
          <w:rFonts w:ascii="Arial" w:cs="Arial" w:eastAsia="Arial" w:hAnsi="Arial"/>
          <w:sz w:val="27"/>
          <w:szCs w:val="27"/>
          <w:color w:val="auto"/>
        </w:rPr>
        <w:t>10</w:t>
      </w:r>
      <w:r>
        <w:rPr>
          <w:rFonts w:ascii="Arial" w:cs="Arial" w:eastAsia="Arial" w:hAnsi="Arial"/>
          <w:sz w:val="27"/>
          <w:szCs w:val="27"/>
          <w:color w:val="auto"/>
        </w:rPr>
        <w:t xml:space="preserve"> миллионов смертей и более чем </w:t>
      </w:r>
      <w:r>
        <w:rPr>
          <w:rFonts w:ascii="Arial" w:cs="Arial" w:eastAsia="Arial" w:hAnsi="Arial"/>
          <w:sz w:val="27"/>
          <w:szCs w:val="27"/>
          <w:color w:val="auto"/>
        </w:rPr>
        <w:t>200</w:t>
      </w:r>
      <w:r>
        <w:rPr>
          <w:rFonts w:ascii="Arial" w:cs="Arial" w:eastAsia="Arial" w:hAnsi="Arial"/>
          <w:sz w:val="27"/>
          <w:szCs w:val="27"/>
          <w:color w:val="auto"/>
        </w:rPr>
        <w:t xml:space="preserve"> миллионов случаев инвалидности в мире </w:t>
      </w:r>
      <w:r>
        <w:rPr>
          <w:rFonts w:ascii="Arial" w:cs="Arial" w:eastAsia="Arial" w:hAnsi="Arial"/>
          <w:sz w:val="27"/>
          <w:szCs w:val="27"/>
          <w:color w:val="auto"/>
        </w:rPr>
        <w:t xml:space="preserve">[20–22]. </w:t>
      </w:r>
      <w:r>
        <w:rPr>
          <w:rFonts w:ascii="Arial" w:cs="Arial" w:eastAsia="Arial" w:hAnsi="Arial"/>
          <w:sz w:val="27"/>
          <w:szCs w:val="27"/>
          <w:color w:val="auto"/>
        </w:rPr>
        <w:t>Уровень САД</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140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xml:space="preserve">. </w:t>
      </w:r>
      <w:r>
        <w:rPr>
          <w:rFonts w:ascii="Arial" w:cs="Arial" w:eastAsia="Arial" w:hAnsi="Arial"/>
          <w:sz w:val="27"/>
          <w:szCs w:val="27"/>
          <w:color w:val="auto"/>
        </w:rPr>
        <w:t>ассоциируется с</w:t>
      </w:r>
      <w:r>
        <w:rPr>
          <w:rFonts w:ascii="Arial" w:cs="Arial" w:eastAsia="Arial" w:hAnsi="Arial"/>
          <w:sz w:val="27"/>
          <w:szCs w:val="27"/>
          <w:color w:val="auto"/>
        </w:rPr>
        <w:t xml:space="preserve"> </w:t>
      </w:r>
      <w:r>
        <w:rPr>
          <w:rFonts w:ascii="Arial" w:cs="Arial" w:eastAsia="Arial" w:hAnsi="Arial"/>
          <w:sz w:val="27"/>
          <w:szCs w:val="27"/>
          <w:color w:val="auto"/>
        </w:rPr>
        <w:t xml:space="preserve">повышением риска смертности и инвалидности в </w:t>
      </w:r>
      <w:r>
        <w:rPr>
          <w:rFonts w:ascii="Arial" w:cs="Arial" w:eastAsia="Arial" w:hAnsi="Arial"/>
          <w:sz w:val="27"/>
          <w:szCs w:val="27"/>
          <w:color w:val="auto"/>
        </w:rPr>
        <w:t>70%</w:t>
      </w:r>
      <w:r>
        <w:rPr>
          <w:rFonts w:ascii="Arial" w:cs="Arial" w:eastAsia="Arial" w:hAnsi="Arial"/>
          <w:sz w:val="27"/>
          <w:szCs w:val="27"/>
          <w:color w:val="auto"/>
        </w:rPr>
        <w:t xml:space="preserve"> случаев</w:t>
      </w:r>
      <w:r>
        <w:rPr>
          <w:rFonts w:ascii="Arial" w:cs="Arial" w:eastAsia="Arial" w:hAnsi="Arial"/>
          <w:sz w:val="27"/>
          <w:szCs w:val="27"/>
          <w:color w:val="auto"/>
        </w:rPr>
        <w:t>,</w:t>
      </w:r>
      <w:r>
        <w:rPr>
          <w:rFonts w:ascii="Arial" w:cs="Arial" w:eastAsia="Arial" w:hAnsi="Arial"/>
          <w:sz w:val="27"/>
          <w:szCs w:val="27"/>
          <w:color w:val="auto"/>
        </w:rPr>
        <w:t xml:space="preserve"> при этом наибольшее число смертей в течение года</w:t>
      </w:r>
      <w:r>
        <w:rPr>
          <w:rFonts w:ascii="Arial" w:cs="Arial" w:eastAsia="Arial" w:hAnsi="Arial"/>
          <w:sz w:val="27"/>
          <w:szCs w:val="27"/>
          <w:color w:val="auto"/>
        </w:rPr>
        <w:t>,</w:t>
      </w:r>
      <w:r>
        <w:rPr>
          <w:rFonts w:ascii="Arial" w:cs="Arial" w:eastAsia="Arial" w:hAnsi="Arial"/>
          <w:sz w:val="27"/>
          <w:szCs w:val="27"/>
          <w:color w:val="auto"/>
        </w:rPr>
        <w:t xml:space="preserve"> связанных с уровнем САД</w:t>
      </w:r>
      <w:r>
        <w:rPr>
          <w:rFonts w:ascii="Arial" w:cs="Arial" w:eastAsia="Arial" w:hAnsi="Arial"/>
          <w:sz w:val="27"/>
          <w:szCs w:val="27"/>
          <w:color w:val="auto"/>
        </w:rPr>
        <w:t>,</w:t>
      </w:r>
      <w:r>
        <w:rPr>
          <w:rFonts w:ascii="Arial" w:cs="Arial" w:eastAsia="Arial" w:hAnsi="Arial"/>
          <w:sz w:val="27"/>
          <w:szCs w:val="27"/>
          <w:color w:val="auto"/>
        </w:rPr>
        <w:t xml:space="preserve"> возникают вследствие ИБС</w:t>
      </w:r>
      <w:r>
        <w:rPr>
          <w:rFonts w:ascii="Arial" w:cs="Arial" w:eastAsia="Arial" w:hAnsi="Arial"/>
          <w:sz w:val="27"/>
          <w:szCs w:val="27"/>
          <w:color w:val="auto"/>
        </w:rPr>
        <w:t>,</w:t>
      </w:r>
      <w:r>
        <w:rPr>
          <w:rFonts w:ascii="Arial" w:cs="Arial" w:eastAsia="Arial" w:hAnsi="Arial"/>
          <w:sz w:val="27"/>
          <w:szCs w:val="27"/>
          <w:color w:val="auto"/>
        </w:rPr>
        <w:t xml:space="preserve"> ишемических и геморрагических инсультов </w:t>
      </w:r>
      <w:r>
        <w:rPr>
          <w:rFonts w:ascii="Arial" w:cs="Arial" w:eastAsia="Arial" w:hAnsi="Arial"/>
          <w:sz w:val="27"/>
          <w:szCs w:val="27"/>
          <w:color w:val="auto"/>
        </w:rPr>
        <w:t>[21].</w:t>
      </w:r>
      <w:r>
        <w:rPr>
          <w:rFonts w:ascii="Arial" w:cs="Arial" w:eastAsia="Arial" w:hAnsi="Arial"/>
          <w:sz w:val="27"/>
          <w:szCs w:val="27"/>
          <w:color w:val="auto"/>
        </w:rPr>
        <w:t>Между уровнем АД и риском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сосудистых заболеваний </w:t>
      </w:r>
      <w:r>
        <w:rPr>
          <w:rFonts w:ascii="Arial" w:cs="Arial" w:eastAsia="Arial" w:hAnsi="Arial"/>
          <w:sz w:val="27"/>
          <w:szCs w:val="27"/>
          <w:color w:val="auto"/>
        </w:rPr>
        <w:t>(</w:t>
      </w:r>
      <w:r>
        <w:rPr>
          <w:rFonts w:ascii="Arial" w:cs="Arial" w:eastAsia="Arial" w:hAnsi="Arial"/>
          <w:sz w:val="27"/>
          <w:szCs w:val="27"/>
          <w:color w:val="auto"/>
        </w:rPr>
        <w:t>ССЗ</w:t>
      </w:r>
      <w:r>
        <w:rPr>
          <w:rFonts w:ascii="Arial" w:cs="Arial" w:eastAsia="Arial" w:hAnsi="Arial"/>
          <w:sz w:val="27"/>
          <w:szCs w:val="27"/>
          <w:color w:val="auto"/>
        </w:rPr>
        <w:t>)</w:t>
      </w:r>
      <w:r>
        <w:rPr>
          <w:rFonts w:ascii="Arial" w:cs="Arial" w:eastAsia="Arial" w:hAnsi="Arial"/>
          <w:sz w:val="27"/>
          <w:szCs w:val="27"/>
          <w:color w:val="auto"/>
        </w:rPr>
        <w:t xml:space="preserve"> существует прямая связь</w:t>
      </w:r>
      <w:r>
        <w:rPr>
          <w:rFonts w:ascii="Arial" w:cs="Arial" w:eastAsia="Arial" w:hAnsi="Arial"/>
          <w:sz w:val="27"/>
          <w:szCs w:val="27"/>
          <w:color w:val="auto"/>
        </w:rPr>
        <w:t>.</w:t>
      </w:r>
      <w:r>
        <w:rPr>
          <w:rFonts w:ascii="Arial" w:cs="Arial" w:eastAsia="Arial" w:hAnsi="Arial"/>
          <w:sz w:val="27"/>
          <w:szCs w:val="27"/>
          <w:color w:val="auto"/>
        </w:rPr>
        <w:t xml:space="preserve"> Эта связь начинается с относительно низких значений </w:t>
      </w:r>
      <w:r>
        <w:rPr>
          <w:rFonts w:ascii="Arial" w:cs="Arial" w:eastAsia="Arial" w:hAnsi="Arial"/>
          <w:sz w:val="27"/>
          <w:szCs w:val="27"/>
          <w:color w:val="auto"/>
        </w:rPr>
        <w:t>— 110–115</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для САД и </w:t>
      </w:r>
      <w:r>
        <w:rPr>
          <w:rFonts w:ascii="Arial" w:cs="Arial" w:eastAsia="Arial" w:hAnsi="Arial"/>
          <w:sz w:val="27"/>
          <w:szCs w:val="27"/>
          <w:color w:val="auto"/>
        </w:rPr>
        <w:t>70–75</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для ДАД </w:t>
      </w:r>
      <w:r>
        <w:rPr>
          <w:rFonts w:ascii="Arial" w:cs="Arial" w:eastAsia="Arial" w:hAnsi="Arial"/>
          <w:sz w:val="27"/>
          <w:szCs w:val="27"/>
          <w:color w:val="auto"/>
        </w:rPr>
        <w:t>[22].</w:t>
      </w:r>
    </w:p>
    <w:p>
      <w:pPr>
        <w:sectPr>
          <w:pgSz w:w="11900" w:h="16840" w:orient="portrait"/>
          <w:cols w:equalWidth="0" w:num="1">
            <w:col w:w="9020"/>
          </w:cols>
          <w:pgMar w:left="1440" w:top="0" w:right="1440" w:bottom="644" w:gutter="0" w:footer="0" w:header="0"/>
        </w:sectPr>
      </w:pPr>
    </w:p>
    <w:bookmarkStart w:id="16" w:name="page17"/>
    <w:bookmarkEnd w:id="16"/>
    <w:p>
      <w:pPr>
        <w:spacing w:after="0" w:line="198" w:lineRule="exact"/>
        <w:rPr>
          <w:sz w:val="20"/>
          <w:szCs w:val="20"/>
          <w:color w:val="auto"/>
        </w:rPr>
      </w:pPr>
    </w:p>
    <w:p>
      <w:pPr>
        <w:jc w:val="both"/>
        <w:ind w:left="360" w:right="220"/>
        <w:spacing w:after="0" w:line="304" w:lineRule="auto"/>
        <w:rPr>
          <w:sz w:val="20"/>
          <w:szCs w:val="20"/>
          <w:color w:val="auto"/>
        </w:rPr>
      </w:pPr>
      <w:r>
        <w:rPr>
          <w:rFonts w:ascii="Arial" w:cs="Arial" w:eastAsia="Arial" w:hAnsi="Arial"/>
          <w:sz w:val="27"/>
          <w:szCs w:val="27"/>
          <w:color w:val="auto"/>
        </w:rPr>
        <w:t>Повышенные уровни АД</w:t>
      </w:r>
      <w:r>
        <w:rPr>
          <w:rFonts w:ascii="Arial" w:cs="Arial" w:eastAsia="Arial" w:hAnsi="Arial"/>
          <w:sz w:val="27"/>
          <w:szCs w:val="27"/>
          <w:color w:val="auto"/>
        </w:rPr>
        <w:t>,</w:t>
      </w:r>
      <w:r>
        <w:rPr>
          <w:rFonts w:ascii="Arial" w:cs="Arial" w:eastAsia="Arial" w:hAnsi="Arial"/>
          <w:sz w:val="27"/>
          <w:szCs w:val="27"/>
          <w:color w:val="auto"/>
        </w:rPr>
        <w:t xml:space="preserve"> измеренные в медицинском учреждении или вне его</w:t>
      </w:r>
      <w:r>
        <w:rPr>
          <w:rFonts w:ascii="Arial" w:cs="Arial" w:eastAsia="Arial" w:hAnsi="Arial"/>
          <w:sz w:val="27"/>
          <w:szCs w:val="27"/>
          <w:color w:val="auto"/>
        </w:rPr>
        <w:t>,</w:t>
      </w:r>
      <w:r>
        <w:rPr>
          <w:rFonts w:ascii="Arial" w:cs="Arial" w:eastAsia="Arial" w:hAnsi="Arial"/>
          <w:sz w:val="27"/>
          <w:szCs w:val="27"/>
          <w:color w:val="auto"/>
        </w:rPr>
        <w:t xml:space="preserve"> имеют прямую и независимую связь с частотой развития большинства СС событий </w:t>
      </w:r>
      <w:r>
        <w:rPr>
          <w:rFonts w:ascii="Arial" w:cs="Arial" w:eastAsia="Arial" w:hAnsi="Arial"/>
          <w:sz w:val="27"/>
          <w:szCs w:val="27"/>
          <w:color w:val="auto"/>
        </w:rPr>
        <w:t>(</w:t>
      </w:r>
      <w:r>
        <w:rPr>
          <w:rFonts w:ascii="Arial" w:cs="Arial" w:eastAsia="Arial" w:hAnsi="Arial"/>
          <w:sz w:val="27"/>
          <w:szCs w:val="27"/>
          <w:color w:val="auto"/>
        </w:rPr>
        <w:t>геморрагического инсульта</w:t>
      </w:r>
      <w:r>
        <w:rPr>
          <w:rFonts w:ascii="Arial" w:cs="Arial" w:eastAsia="Arial" w:hAnsi="Arial"/>
          <w:sz w:val="27"/>
          <w:szCs w:val="27"/>
          <w:color w:val="auto"/>
        </w:rPr>
        <w:t>,</w:t>
      </w:r>
      <w:r>
        <w:rPr>
          <w:rFonts w:ascii="Arial" w:cs="Arial" w:eastAsia="Arial" w:hAnsi="Arial"/>
          <w:sz w:val="27"/>
          <w:szCs w:val="27"/>
          <w:color w:val="auto"/>
        </w:rPr>
        <w:t xml:space="preserve"> ишемического инсульта</w:t>
      </w:r>
      <w:r>
        <w:rPr>
          <w:rFonts w:ascii="Arial" w:cs="Arial" w:eastAsia="Arial" w:hAnsi="Arial"/>
          <w:sz w:val="27"/>
          <w:szCs w:val="27"/>
          <w:color w:val="auto"/>
        </w:rPr>
        <w:t>,</w:t>
      </w:r>
      <w:r>
        <w:rPr>
          <w:rFonts w:ascii="Arial" w:cs="Arial" w:eastAsia="Arial" w:hAnsi="Arial"/>
          <w:sz w:val="27"/>
          <w:szCs w:val="27"/>
          <w:color w:val="auto"/>
        </w:rPr>
        <w:t xml:space="preserve"> инфаркта миокарда</w:t>
      </w:r>
      <w:r>
        <w:rPr>
          <w:rFonts w:ascii="Arial" w:cs="Arial" w:eastAsia="Arial" w:hAnsi="Arial"/>
          <w:sz w:val="27"/>
          <w:szCs w:val="27"/>
          <w:color w:val="auto"/>
        </w:rPr>
        <w:t>,</w:t>
      </w:r>
      <w:r>
        <w:rPr>
          <w:rFonts w:ascii="Arial" w:cs="Arial" w:eastAsia="Arial" w:hAnsi="Arial"/>
          <w:sz w:val="27"/>
          <w:szCs w:val="27"/>
          <w:color w:val="auto"/>
        </w:rPr>
        <w:t xml:space="preserve"> внезапной смерти</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недостаточности и заболеваний периферических артерий</w:t>
      </w:r>
      <w:r>
        <w:rPr>
          <w:rFonts w:ascii="Arial" w:cs="Arial" w:eastAsia="Arial" w:hAnsi="Arial"/>
          <w:sz w:val="27"/>
          <w:szCs w:val="27"/>
          <w:color w:val="auto"/>
        </w:rPr>
        <w:t>),</w:t>
      </w:r>
      <w:r>
        <w:rPr>
          <w:rFonts w:ascii="Arial" w:cs="Arial" w:eastAsia="Arial" w:hAnsi="Arial"/>
          <w:sz w:val="27"/>
          <w:szCs w:val="27"/>
          <w:color w:val="auto"/>
        </w:rPr>
        <w:t xml:space="preserve"> а также терминальной почечной недостаточности </w:t>
      </w:r>
      <w:r>
        <w:rPr>
          <w:rFonts w:ascii="Arial" w:cs="Arial" w:eastAsia="Arial" w:hAnsi="Arial"/>
          <w:sz w:val="27"/>
          <w:szCs w:val="27"/>
          <w:color w:val="auto"/>
        </w:rPr>
        <w:t>[23].</w:t>
      </w:r>
      <w:r>
        <w:rPr>
          <w:rFonts w:ascii="Arial" w:cs="Arial" w:eastAsia="Arial" w:hAnsi="Arial"/>
          <w:sz w:val="27"/>
          <w:szCs w:val="27"/>
          <w:color w:val="auto"/>
        </w:rPr>
        <w:t xml:space="preserve"> Все больше данных свидетельствуют о тесной связи АГ с увеличением частоты развития фибрилляции предсердий </w:t>
      </w:r>
      <w:r>
        <w:rPr>
          <w:rFonts w:ascii="Arial" w:cs="Arial" w:eastAsia="Arial" w:hAnsi="Arial"/>
          <w:sz w:val="27"/>
          <w:szCs w:val="27"/>
          <w:color w:val="auto"/>
        </w:rPr>
        <w:t>[24],</w:t>
      </w:r>
      <w:r>
        <w:rPr>
          <w:rFonts w:ascii="Arial" w:cs="Arial" w:eastAsia="Arial" w:hAnsi="Arial"/>
          <w:sz w:val="27"/>
          <w:szCs w:val="27"/>
          <w:color w:val="auto"/>
        </w:rPr>
        <w:t xml:space="preserve"> а также когнитивной дисфункции и деменции</w:t>
      </w:r>
      <w:r>
        <w:rPr>
          <w:rFonts w:ascii="Arial" w:cs="Arial" w:eastAsia="Arial" w:hAnsi="Arial"/>
          <w:sz w:val="27"/>
          <w:szCs w:val="27"/>
          <w:color w:val="auto"/>
        </w:rPr>
        <w:t>.</w:t>
      </w:r>
      <w:r>
        <w:rPr>
          <w:rFonts w:ascii="Arial" w:cs="Arial" w:eastAsia="Arial" w:hAnsi="Arial"/>
          <w:sz w:val="27"/>
          <w:szCs w:val="27"/>
          <w:color w:val="auto"/>
        </w:rPr>
        <w:t xml:space="preserve"> Повышение АД в среднем возрасте ассоциируется с развитием когнитивных нарушений и деменции в пожилом возрасте</w:t>
      </w:r>
      <w:r>
        <w:rPr>
          <w:rFonts w:ascii="Arial" w:cs="Arial" w:eastAsia="Arial" w:hAnsi="Arial"/>
          <w:sz w:val="27"/>
          <w:szCs w:val="27"/>
          <w:color w:val="auto"/>
        </w:rPr>
        <w:t>,</w:t>
      </w:r>
      <w:r>
        <w:rPr>
          <w:rFonts w:ascii="Arial" w:cs="Arial" w:eastAsia="Arial" w:hAnsi="Arial"/>
          <w:sz w:val="27"/>
          <w:szCs w:val="27"/>
          <w:color w:val="auto"/>
        </w:rPr>
        <w:t xml:space="preserve"> а интенсивная терапия артериальной гипертензии с достижением целевых цифр АД уменьшает риски развития умеренных когнитивных нарушений и возможной деменции </w:t>
      </w:r>
      <w:r>
        <w:rPr>
          <w:rFonts w:ascii="Arial" w:cs="Arial" w:eastAsia="Arial" w:hAnsi="Arial"/>
          <w:sz w:val="27"/>
          <w:szCs w:val="27"/>
          <w:color w:val="auto"/>
        </w:rPr>
        <w:t>[25, 26].</w:t>
      </w:r>
    </w:p>
    <w:p>
      <w:pPr>
        <w:spacing w:after="0" w:line="227" w:lineRule="exact"/>
        <w:rPr>
          <w:sz w:val="20"/>
          <w:szCs w:val="20"/>
          <w:color w:val="auto"/>
        </w:rPr>
      </w:pPr>
    </w:p>
    <w:p>
      <w:pPr>
        <w:jc w:val="both"/>
        <w:ind w:left="360" w:right="220"/>
        <w:spacing w:after="0" w:line="304" w:lineRule="auto"/>
        <w:rPr>
          <w:sz w:val="20"/>
          <w:szCs w:val="20"/>
          <w:color w:val="auto"/>
        </w:rPr>
      </w:pPr>
      <w:r>
        <w:rPr>
          <w:rFonts w:ascii="Arial" w:cs="Arial" w:eastAsia="Arial" w:hAnsi="Arial"/>
          <w:sz w:val="27"/>
          <w:szCs w:val="27"/>
          <w:color w:val="auto"/>
        </w:rPr>
        <w:t xml:space="preserve">Прямая связь между повышенным уровнем АД и риском СС событий продемонстрирована для всех возрастных </w:t>
      </w:r>
      <w:r>
        <w:rPr>
          <w:rFonts w:ascii="Arial" w:cs="Arial" w:eastAsia="Arial" w:hAnsi="Arial"/>
          <w:sz w:val="27"/>
          <w:szCs w:val="27"/>
          <w:color w:val="auto"/>
        </w:rPr>
        <w:t>[27]</w:t>
      </w:r>
      <w:r>
        <w:rPr>
          <w:rFonts w:ascii="Arial" w:cs="Arial" w:eastAsia="Arial" w:hAnsi="Arial"/>
          <w:sz w:val="27"/>
          <w:szCs w:val="27"/>
          <w:color w:val="auto"/>
        </w:rPr>
        <w:t xml:space="preserve"> и этнических групп </w:t>
      </w:r>
      <w:r>
        <w:rPr>
          <w:rFonts w:ascii="Arial" w:cs="Arial" w:eastAsia="Arial" w:hAnsi="Arial"/>
          <w:sz w:val="27"/>
          <w:szCs w:val="27"/>
          <w:color w:val="auto"/>
        </w:rPr>
        <w:t>[28].</w:t>
      </w:r>
      <w:r>
        <w:rPr>
          <w:rFonts w:ascii="Arial" w:cs="Arial" w:eastAsia="Arial" w:hAnsi="Arial"/>
          <w:sz w:val="27"/>
          <w:szCs w:val="27"/>
          <w:color w:val="auto"/>
        </w:rPr>
        <w:t xml:space="preserve"> У пациентов старше </w:t>
      </w:r>
      <w:r>
        <w:rPr>
          <w:rFonts w:ascii="Arial" w:cs="Arial" w:eastAsia="Arial" w:hAnsi="Arial"/>
          <w:sz w:val="27"/>
          <w:szCs w:val="27"/>
          <w:color w:val="auto"/>
        </w:rPr>
        <w:t>50</w:t>
      </w:r>
      <w:r>
        <w:rPr>
          <w:rFonts w:ascii="Arial" w:cs="Arial" w:eastAsia="Arial" w:hAnsi="Arial"/>
          <w:sz w:val="27"/>
          <w:szCs w:val="27"/>
          <w:color w:val="auto"/>
        </w:rPr>
        <w:t xml:space="preserve"> лет САД является более сильным предиктором событий</w:t>
      </w:r>
      <w:r>
        <w:rPr>
          <w:rFonts w:ascii="Arial" w:cs="Arial" w:eastAsia="Arial" w:hAnsi="Arial"/>
          <w:sz w:val="27"/>
          <w:szCs w:val="27"/>
          <w:color w:val="auto"/>
        </w:rPr>
        <w:t>,</w:t>
      </w:r>
      <w:r>
        <w:rPr>
          <w:rFonts w:ascii="Arial" w:cs="Arial" w:eastAsia="Arial" w:hAnsi="Arial"/>
          <w:sz w:val="27"/>
          <w:szCs w:val="27"/>
          <w:color w:val="auto"/>
        </w:rPr>
        <w:t xml:space="preserve"> чем ДАД </w:t>
      </w:r>
      <w:r>
        <w:rPr>
          <w:rFonts w:ascii="Arial" w:cs="Arial" w:eastAsia="Arial" w:hAnsi="Arial"/>
          <w:sz w:val="27"/>
          <w:szCs w:val="27"/>
          <w:color w:val="auto"/>
        </w:rPr>
        <w:t>[27, 29].</w:t>
      </w:r>
      <w:r>
        <w:rPr>
          <w:rFonts w:ascii="Arial" w:cs="Arial" w:eastAsia="Arial" w:hAnsi="Arial"/>
          <w:sz w:val="27"/>
          <w:szCs w:val="27"/>
          <w:color w:val="auto"/>
        </w:rPr>
        <w:t xml:space="preserve"> Высокое ДАД ассоциируется с увеличением риска СС событий и чаще является повышенным у более молодых </w:t>
      </w:r>
      <w:r>
        <w:rPr>
          <w:rFonts w:ascii="Arial" w:cs="Arial" w:eastAsia="Arial" w:hAnsi="Arial"/>
          <w:sz w:val="27"/>
          <w:szCs w:val="27"/>
          <w:color w:val="auto"/>
        </w:rPr>
        <w:t>(&lt;50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пациентов</w:t>
      </w:r>
      <w:r>
        <w:rPr>
          <w:rFonts w:ascii="Arial" w:cs="Arial" w:eastAsia="Arial" w:hAnsi="Arial"/>
          <w:sz w:val="27"/>
          <w:szCs w:val="27"/>
          <w:color w:val="auto"/>
        </w:rPr>
        <w:t>.</w:t>
      </w:r>
      <w:r>
        <w:rPr>
          <w:rFonts w:ascii="Arial" w:cs="Arial" w:eastAsia="Arial" w:hAnsi="Arial"/>
          <w:sz w:val="27"/>
          <w:szCs w:val="27"/>
          <w:color w:val="auto"/>
        </w:rPr>
        <w:t xml:space="preserve"> ДАД имеет тенденцию к понижению во второй половине жизни вследствие увеличения артериальной жесткости</w:t>
      </w:r>
      <w:r>
        <w:rPr>
          <w:rFonts w:ascii="Arial" w:cs="Arial" w:eastAsia="Arial" w:hAnsi="Arial"/>
          <w:sz w:val="27"/>
          <w:szCs w:val="27"/>
          <w:color w:val="auto"/>
        </w:rPr>
        <w:t>,</w:t>
      </w:r>
      <w:r>
        <w:rPr>
          <w:rFonts w:ascii="Arial" w:cs="Arial" w:eastAsia="Arial" w:hAnsi="Arial"/>
          <w:sz w:val="27"/>
          <w:szCs w:val="27"/>
          <w:color w:val="auto"/>
        </w:rPr>
        <w:t xml:space="preserve"> тогда как САД</w:t>
      </w:r>
      <w:r>
        <w:rPr>
          <w:rFonts w:ascii="Arial" w:cs="Arial" w:eastAsia="Arial" w:hAnsi="Arial"/>
          <w:sz w:val="27"/>
          <w:szCs w:val="27"/>
          <w:color w:val="auto"/>
        </w:rPr>
        <w:t>,</w:t>
      </w:r>
      <w:r>
        <w:rPr>
          <w:rFonts w:ascii="Arial" w:cs="Arial" w:eastAsia="Arial" w:hAnsi="Arial"/>
          <w:sz w:val="27"/>
          <w:szCs w:val="27"/>
          <w:color w:val="auto"/>
        </w:rPr>
        <w:t xml:space="preserve"> как фактор риска</w:t>
      </w:r>
      <w:r>
        <w:rPr>
          <w:rFonts w:ascii="Arial" w:cs="Arial" w:eastAsia="Arial" w:hAnsi="Arial"/>
          <w:sz w:val="27"/>
          <w:szCs w:val="27"/>
          <w:color w:val="auto"/>
        </w:rPr>
        <w:t>,</w:t>
      </w:r>
      <w:r>
        <w:rPr>
          <w:rFonts w:ascii="Arial" w:cs="Arial" w:eastAsia="Arial" w:hAnsi="Arial"/>
          <w:sz w:val="27"/>
          <w:szCs w:val="27"/>
          <w:color w:val="auto"/>
        </w:rPr>
        <w:t xml:space="preserve"> приобретает в этот период еще большее значение </w:t>
      </w:r>
      <w:r>
        <w:rPr>
          <w:rFonts w:ascii="Arial" w:cs="Arial" w:eastAsia="Arial" w:hAnsi="Arial"/>
          <w:sz w:val="27"/>
          <w:szCs w:val="27"/>
          <w:color w:val="auto"/>
        </w:rPr>
        <w:t>[29].</w:t>
      </w:r>
      <w:r>
        <w:rPr>
          <w:rFonts w:ascii="Arial" w:cs="Arial" w:eastAsia="Arial" w:hAnsi="Arial"/>
          <w:sz w:val="27"/>
          <w:szCs w:val="27"/>
          <w:color w:val="auto"/>
        </w:rPr>
        <w:t xml:space="preserve"> У пациентов среднего возраста и пожилых повышение пульсового давления </w:t>
      </w:r>
      <w:r>
        <w:rPr>
          <w:rFonts w:ascii="Arial" w:cs="Arial" w:eastAsia="Arial" w:hAnsi="Arial"/>
          <w:sz w:val="27"/>
          <w:szCs w:val="27"/>
          <w:color w:val="auto"/>
        </w:rPr>
        <w:t>(</w:t>
      </w:r>
      <w:r>
        <w:rPr>
          <w:rFonts w:ascii="Arial" w:cs="Arial" w:eastAsia="Arial" w:hAnsi="Arial"/>
          <w:sz w:val="27"/>
          <w:szCs w:val="27"/>
          <w:color w:val="auto"/>
        </w:rPr>
        <w:t>ПД</w:t>
      </w:r>
      <w:r>
        <w:rPr>
          <w:rFonts w:ascii="Arial" w:cs="Arial" w:eastAsia="Arial" w:hAnsi="Arial"/>
          <w:sz w:val="27"/>
          <w:szCs w:val="27"/>
          <w:color w:val="auto"/>
        </w:rPr>
        <w:t>) (</w:t>
      </w:r>
      <w:r>
        <w:rPr>
          <w:rFonts w:ascii="Arial" w:cs="Arial" w:eastAsia="Arial" w:hAnsi="Arial"/>
          <w:sz w:val="27"/>
          <w:szCs w:val="27"/>
          <w:color w:val="auto"/>
        </w:rPr>
        <w:t>которое представляет собой разницу между САД и ДАД</w:t>
      </w:r>
      <w:r>
        <w:rPr>
          <w:rFonts w:ascii="Arial" w:cs="Arial" w:eastAsia="Arial" w:hAnsi="Arial"/>
          <w:sz w:val="27"/>
          <w:szCs w:val="27"/>
          <w:color w:val="auto"/>
        </w:rPr>
        <w:t>)</w:t>
      </w:r>
      <w:r>
        <w:rPr>
          <w:rFonts w:ascii="Arial" w:cs="Arial" w:eastAsia="Arial" w:hAnsi="Arial"/>
          <w:sz w:val="27"/>
          <w:szCs w:val="27"/>
          <w:color w:val="auto"/>
        </w:rPr>
        <w:t xml:space="preserve"> оказывает дополнительное негативное влияние на прогноз </w:t>
      </w:r>
      <w:r>
        <w:rPr>
          <w:rFonts w:ascii="Arial" w:cs="Arial" w:eastAsia="Arial" w:hAnsi="Arial"/>
          <w:sz w:val="27"/>
          <w:szCs w:val="27"/>
          <w:color w:val="auto"/>
        </w:rPr>
        <w:t>[20, 30].</w:t>
      </w:r>
    </w:p>
    <w:p>
      <w:pPr>
        <w:spacing w:after="0" w:line="200" w:lineRule="exact"/>
        <w:rPr>
          <w:sz w:val="20"/>
          <w:szCs w:val="20"/>
          <w:color w:val="auto"/>
        </w:rPr>
      </w:pPr>
    </w:p>
    <w:p>
      <w:pPr>
        <w:spacing w:after="0" w:line="200" w:lineRule="exact"/>
        <w:rPr>
          <w:sz w:val="20"/>
          <w:szCs w:val="20"/>
          <w:color w:val="auto"/>
        </w:rPr>
      </w:pPr>
    </w:p>
    <w:p>
      <w:pPr>
        <w:spacing w:after="0" w:line="233" w:lineRule="exact"/>
        <w:rPr>
          <w:sz w:val="20"/>
          <w:szCs w:val="20"/>
          <w:color w:val="auto"/>
        </w:rPr>
      </w:pPr>
    </w:p>
    <w:p>
      <w:pPr>
        <w:ind w:left="360" w:right="580"/>
        <w:spacing w:after="0" w:line="222" w:lineRule="auto"/>
        <w:rPr>
          <w:sz w:val="20"/>
          <w:szCs w:val="20"/>
          <w:color w:val="auto"/>
        </w:rPr>
      </w:pPr>
      <w:r>
        <w:rPr>
          <w:rFonts w:ascii="Arial" w:cs="Arial" w:eastAsia="Arial" w:hAnsi="Arial"/>
          <w:sz w:val="33"/>
          <w:szCs w:val="33"/>
          <w:b w:val="1"/>
          <w:bCs w:val="1"/>
          <w:color w:val="auto"/>
        </w:rPr>
        <w:t xml:space="preserve">1.4 </w:t>
      </w:r>
      <w:r>
        <w:rPr>
          <w:rFonts w:ascii="Arial" w:cs="Arial" w:eastAsia="Arial" w:hAnsi="Arial"/>
          <w:sz w:val="33"/>
          <w:szCs w:val="33"/>
          <w:b w:val="1"/>
          <w:bCs w:val="1"/>
          <w:color w:val="auto"/>
        </w:rPr>
        <w:t>Особенности кодирования заболевания или</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 xml:space="preserve">состояния </w:t>
      </w:r>
      <w:r>
        <w:rPr>
          <w:rFonts w:ascii="Arial" w:cs="Arial" w:eastAsia="Arial" w:hAnsi="Arial"/>
          <w:sz w:val="33"/>
          <w:szCs w:val="33"/>
          <w:b w:val="1"/>
          <w:bCs w:val="1"/>
          <w:color w:val="auto"/>
        </w:rPr>
        <w:t>(</w:t>
      </w:r>
      <w:r>
        <w:rPr>
          <w:rFonts w:ascii="Arial" w:cs="Arial" w:eastAsia="Arial" w:hAnsi="Arial"/>
          <w:sz w:val="33"/>
          <w:szCs w:val="33"/>
          <w:b w:val="1"/>
          <w:bCs w:val="1"/>
          <w:color w:val="auto"/>
        </w:rPr>
        <w:t>группы заболеваний или состояний</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по Международной статистической классификации болезней и проблем</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связанных со здоровьем</w:t>
      </w:r>
    </w:p>
    <w:p>
      <w:pPr>
        <w:spacing w:after="0" w:line="200" w:lineRule="exact"/>
        <w:rPr>
          <w:sz w:val="20"/>
          <w:szCs w:val="20"/>
          <w:color w:val="auto"/>
        </w:rPr>
      </w:pPr>
    </w:p>
    <w:p>
      <w:pPr>
        <w:spacing w:after="0" w:line="223"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Болезни</w:t>
      </w:r>
      <w:r>
        <w:rPr>
          <w:rFonts w:ascii="Arial" w:cs="Arial" w:eastAsia="Arial" w:hAnsi="Arial"/>
          <w:sz w:val="27"/>
          <w:szCs w:val="27"/>
          <w:color w:val="auto"/>
        </w:rPr>
        <w:t>,</w:t>
      </w:r>
      <w:r>
        <w:rPr>
          <w:rFonts w:ascii="Arial" w:cs="Arial" w:eastAsia="Arial" w:hAnsi="Arial"/>
          <w:sz w:val="27"/>
          <w:szCs w:val="27"/>
          <w:color w:val="auto"/>
        </w:rPr>
        <w:t xml:space="preserve"> характеризующиеся повышенным кровяным давлением </w:t>
      </w:r>
      <w:r>
        <w:rPr>
          <w:rFonts w:ascii="Arial" w:cs="Arial" w:eastAsia="Arial" w:hAnsi="Arial"/>
          <w:sz w:val="27"/>
          <w:szCs w:val="27"/>
          <w:color w:val="auto"/>
        </w:rPr>
        <w:t>(I10, I11, I12, I13, I15):</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I10 — </w:t>
      </w:r>
      <w:r>
        <w:rPr>
          <w:rFonts w:ascii="Arial" w:cs="Arial" w:eastAsia="Arial" w:hAnsi="Arial"/>
          <w:sz w:val="27"/>
          <w:szCs w:val="27"/>
          <w:color w:val="auto"/>
        </w:rPr>
        <w:t>Эссенциальная</w:t>
      </w:r>
      <w:r>
        <w:rPr>
          <w:rFonts w:ascii="Arial" w:cs="Arial" w:eastAsia="Arial" w:hAnsi="Arial"/>
          <w:sz w:val="27"/>
          <w:szCs w:val="27"/>
          <w:color w:val="auto"/>
        </w:rPr>
        <w:t xml:space="preserve"> [</w:t>
      </w:r>
      <w:r>
        <w:rPr>
          <w:rFonts w:ascii="Arial" w:cs="Arial" w:eastAsia="Arial" w:hAnsi="Arial"/>
          <w:sz w:val="27"/>
          <w:szCs w:val="27"/>
          <w:color w:val="auto"/>
        </w:rPr>
        <w:t>первичная</w:t>
      </w:r>
      <w:r>
        <w:rPr>
          <w:rFonts w:ascii="Arial" w:cs="Arial" w:eastAsia="Arial" w:hAnsi="Arial"/>
          <w:sz w:val="27"/>
          <w:szCs w:val="27"/>
          <w:color w:val="auto"/>
        </w:rPr>
        <w:t xml:space="preserve">] </w:t>
      </w:r>
      <w:r>
        <w:rPr>
          <w:rFonts w:ascii="Arial" w:cs="Arial" w:eastAsia="Arial" w:hAnsi="Arial"/>
          <w:sz w:val="27"/>
          <w:szCs w:val="27"/>
          <w:color w:val="auto"/>
        </w:rPr>
        <w:t>гипертензия</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Высокое кровяное давление</w:t>
      </w:r>
      <w:r>
        <w:rPr>
          <w:rFonts w:ascii="Arial" w:cs="Arial" w:eastAsia="Arial" w:hAnsi="Arial"/>
          <w:sz w:val="27"/>
          <w:szCs w:val="27"/>
          <w:color w:val="auto"/>
        </w:rPr>
        <w:t>;</w:t>
      </w:r>
    </w:p>
    <w:p>
      <w:pPr>
        <w:spacing w:after="0" w:line="350" w:lineRule="exact"/>
        <w:rPr>
          <w:sz w:val="20"/>
          <w:szCs w:val="20"/>
          <w:color w:val="auto"/>
        </w:rPr>
      </w:pPr>
    </w:p>
    <w:p>
      <w:pPr>
        <w:ind w:left="360" w:right="220"/>
        <w:spacing w:after="0" w:line="306" w:lineRule="auto"/>
        <w:rPr>
          <w:sz w:val="20"/>
          <w:szCs w:val="20"/>
          <w:color w:val="auto"/>
        </w:rPr>
      </w:pPr>
      <w:r>
        <w:rPr>
          <w:rFonts w:ascii="Arial" w:cs="Arial" w:eastAsia="Arial" w:hAnsi="Arial"/>
          <w:sz w:val="27"/>
          <w:szCs w:val="27"/>
          <w:color w:val="auto"/>
        </w:rPr>
        <w:t xml:space="preserve">Гипертензия </w:t>
      </w:r>
      <w:r>
        <w:rPr>
          <w:rFonts w:ascii="Arial" w:cs="Arial" w:eastAsia="Arial" w:hAnsi="Arial"/>
          <w:sz w:val="27"/>
          <w:szCs w:val="27"/>
          <w:color w:val="auto"/>
        </w:rPr>
        <w:t>(</w:t>
      </w:r>
      <w:r>
        <w:rPr>
          <w:rFonts w:ascii="Arial" w:cs="Arial" w:eastAsia="Arial" w:hAnsi="Arial"/>
          <w:sz w:val="27"/>
          <w:szCs w:val="27"/>
          <w:color w:val="auto"/>
        </w:rPr>
        <w:t>артериальная</w:t>
      </w:r>
      <w:r>
        <w:rPr>
          <w:rFonts w:ascii="Arial" w:cs="Arial" w:eastAsia="Arial" w:hAnsi="Arial"/>
          <w:sz w:val="27"/>
          <w:szCs w:val="27"/>
          <w:color w:val="auto"/>
        </w:rPr>
        <w:t>) (</w:t>
      </w:r>
      <w:r>
        <w:rPr>
          <w:rFonts w:ascii="Arial" w:cs="Arial" w:eastAsia="Arial" w:hAnsi="Arial"/>
          <w:sz w:val="27"/>
          <w:szCs w:val="27"/>
          <w:color w:val="auto"/>
        </w:rPr>
        <w:t>доброкачественная</w:t>
      </w:r>
      <w:r>
        <w:rPr>
          <w:rFonts w:ascii="Arial" w:cs="Arial" w:eastAsia="Arial" w:hAnsi="Arial"/>
          <w:sz w:val="27"/>
          <w:szCs w:val="27"/>
          <w:color w:val="auto"/>
        </w:rPr>
        <w:t>) (</w:t>
      </w:r>
      <w:r>
        <w:rPr>
          <w:rFonts w:ascii="Arial" w:cs="Arial" w:eastAsia="Arial" w:hAnsi="Arial"/>
          <w:sz w:val="27"/>
          <w:szCs w:val="27"/>
          <w:color w:val="auto"/>
        </w:rPr>
        <w:t>эссенциальная</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злокачественная</w:t>
      </w:r>
      <w:r>
        <w:rPr>
          <w:rFonts w:ascii="Arial" w:cs="Arial" w:eastAsia="Arial" w:hAnsi="Arial"/>
          <w:sz w:val="27"/>
          <w:szCs w:val="27"/>
          <w:color w:val="auto"/>
        </w:rPr>
        <w:t>) (</w:t>
      </w:r>
      <w:r>
        <w:rPr>
          <w:rFonts w:ascii="Arial" w:cs="Arial" w:eastAsia="Arial" w:hAnsi="Arial"/>
          <w:sz w:val="27"/>
          <w:szCs w:val="27"/>
          <w:color w:val="auto"/>
        </w:rPr>
        <w:t>первичная</w:t>
      </w:r>
      <w:r>
        <w:rPr>
          <w:rFonts w:ascii="Arial" w:cs="Arial" w:eastAsia="Arial" w:hAnsi="Arial"/>
          <w:sz w:val="27"/>
          <w:szCs w:val="27"/>
          <w:color w:val="auto"/>
        </w:rPr>
        <w:t>) (</w:t>
      </w:r>
      <w:r>
        <w:rPr>
          <w:rFonts w:ascii="Arial" w:cs="Arial" w:eastAsia="Arial" w:hAnsi="Arial"/>
          <w:sz w:val="27"/>
          <w:szCs w:val="27"/>
          <w:color w:val="auto"/>
        </w:rPr>
        <w:t>системная</w:t>
      </w:r>
      <w:r>
        <w:rPr>
          <w:rFonts w:ascii="Arial" w:cs="Arial" w:eastAsia="Arial" w:hAnsi="Arial"/>
          <w:sz w:val="27"/>
          <w:szCs w:val="27"/>
          <w:color w:val="auto"/>
        </w:rPr>
        <w:t>).</w:t>
      </w:r>
    </w:p>
    <w:p>
      <w:pPr>
        <w:sectPr>
          <w:pgSz w:w="11900" w:h="17038" w:orient="portrait"/>
          <w:cols w:equalWidth="0" w:num="1">
            <w:col w:w="9020"/>
          </w:cols>
          <w:pgMar w:left="1440" w:top="19" w:right="1440" w:bottom="0" w:gutter="0" w:footer="0" w:header="0"/>
        </w:sectPr>
      </w:pPr>
    </w:p>
    <w:bookmarkStart w:id="17" w:name="page18"/>
    <w:bookmarkEnd w:id="17"/>
    <w:p>
      <w:pPr>
        <w:jc w:val="both"/>
        <w:ind w:left="360" w:right="220"/>
        <w:spacing w:after="0" w:line="334" w:lineRule="auto"/>
        <w:rPr>
          <w:sz w:val="20"/>
          <w:szCs w:val="20"/>
          <w:color w:val="auto"/>
        </w:rPr>
      </w:pPr>
      <w:r>
        <w:rPr>
          <w:rFonts w:ascii="Arial" w:cs="Arial" w:eastAsia="Arial" w:hAnsi="Arial"/>
          <w:sz w:val="27"/>
          <w:szCs w:val="27"/>
          <w:color w:val="auto"/>
        </w:rPr>
        <w:t xml:space="preserve">I11 — </w:t>
      </w:r>
      <w:r>
        <w:rPr>
          <w:rFonts w:ascii="Arial" w:cs="Arial" w:eastAsia="Arial" w:hAnsi="Arial"/>
          <w:sz w:val="27"/>
          <w:szCs w:val="27"/>
          <w:color w:val="auto"/>
        </w:rPr>
        <w:t>Гипертензивная болезнь сердца</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 болезнь</w:t>
      </w:r>
      <w:r>
        <w:rPr>
          <w:rFonts w:ascii="Arial" w:cs="Arial" w:eastAsia="Arial" w:hAnsi="Arial"/>
          <w:sz w:val="27"/>
          <w:szCs w:val="27"/>
          <w:color w:val="auto"/>
        </w:rPr>
        <w:t xml:space="preserve"> </w:t>
      </w:r>
      <w:r>
        <w:rPr>
          <w:rFonts w:ascii="Arial" w:cs="Arial" w:eastAsia="Arial" w:hAnsi="Arial"/>
          <w:sz w:val="27"/>
          <w:szCs w:val="27"/>
          <w:color w:val="auto"/>
        </w:rPr>
        <w:t>сердца с преимущественным поражением сердца</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I11.0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 xml:space="preserve">преимущественным поражением сердца с </w:t>
      </w:r>
      <w:r>
        <w:rPr>
          <w:rFonts w:ascii="Arial" w:cs="Arial" w:eastAsia="Arial" w:hAnsi="Arial"/>
          <w:sz w:val="27"/>
          <w:szCs w:val="27"/>
          <w:color w:val="auto"/>
        </w:rPr>
        <w:t>(</w:t>
      </w:r>
      <w:r>
        <w:rPr>
          <w:rFonts w:ascii="Arial" w:cs="Arial" w:eastAsia="Arial" w:hAnsi="Arial"/>
          <w:sz w:val="27"/>
          <w:szCs w:val="27"/>
          <w:color w:val="auto"/>
        </w:rPr>
        <w:t>застойной</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недостаточностью</w:t>
      </w:r>
      <w:r>
        <w:rPr>
          <w:rFonts w:ascii="Arial" w:cs="Arial" w:eastAsia="Arial" w:hAnsi="Arial"/>
          <w:sz w:val="27"/>
          <w:szCs w:val="27"/>
          <w:color w:val="auto"/>
        </w:rPr>
        <w:t>:</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Гипертензивная </w:t>
      </w:r>
      <w:r>
        <w:rPr>
          <w:rFonts w:ascii="Arial" w:cs="Arial" w:eastAsia="Arial" w:hAnsi="Arial"/>
          <w:sz w:val="27"/>
          <w:szCs w:val="27"/>
          <w:color w:val="auto"/>
        </w:rPr>
        <w:t>[</w:t>
      </w:r>
      <w:r>
        <w:rPr>
          <w:rFonts w:ascii="Arial" w:cs="Arial" w:eastAsia="Arial" w:hAnsi="Arial"/>
          <w:sz w:val="27"/>
          <w:szCs w:val="27"/>
          <w:color w:val="auto"/>
        </w:rPr>
        <w:t>гипертоническая</w:t>
      </w:r>
      <w:r>
        <w:rPr>
          <w:rFonts w:ascii="Arial" w:cs="Arial" w:eastAsia="Arial" w:hAnsi="Arial"/>
          <w:sz w:val="27"/>
          <w:szCs w:val="27"/>
          <w:color w:val="auto"/>
        </w:rPr>
        <w:t>]</w:t>
      </w:r>
      <w:r>
        <w:rPr>
          <w:rFonts w:ascii="Arial" w:cs="Arial" w:eastAsia="Arial" w:hAnsi="Arial"/>
          <w:sz w:val="27"/>
          <w:szCs w:val="27"/>
          <w:color w:val="auto"/>
        </w:rPr>
        <w:t xml:space="preserve"> сердечная недостаточность</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I11.9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 xml:space="preserve">преимущественным поражением сердца без </w:t>
      </w:r>
      <w:r>
        <w:rPr>
          <w:rFonts w:ascii="Arial" w:cs="Arial" w:eastAsia="Arial" w:hAnsi="Arial"/>
          <w:sz w:val="27"/>
          <w:szCs w:val="27"/>
          <w:color w:val="auto"/>
        </w:rPr>
        <w:t>(</w:t>
      </w:r>
      <w:r>
        <w:rPr>
          <w:rFonts w:ascii="Arial" w:cs="Arial" w:eastAsia="Arial" w:hAnsi="Arial"/>
          <w:sz w:val="27"/>
          <w:szCs w:val="27"/>
          <w:color w:val="auto"/>
        </w:rPr>
        <w:t>застойной</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недостаточности</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Гипертензивная болезнь сердца без дополнительных уточнений </w:t>
      </w:r>
      <w:r>
        <w:rPr>
          <w:rFonts w:ascii="Arial" w:cs="Arial" w:eastAsia="Arial" w:hAnsi="Arial"/>
          <w:sz w:val="27"/>
          <w:szCs w:val="27"/>
          <w:color w:val="auto"/>
        </w:rPr>
        <w:t>(</w:t>
      </w:r>
      <w:r>
        <w:rPr>
          <w:rFonts w:ascii="Arial" w:cs="Arial" w:eastAsia="Arial" w:hAnsi="Arial"/>
          <w:sz w:val="27"/>
          <w:szCs w:val="27"/>
          <w:color w:val="auto"/>
        </w:rPr>
        <w:t>БДУ</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I12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почек</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Артериосклероз почек</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Артериосклеротический нефрит </w:t>
      </w:r>
      <w:r>
        <w:rPr>
          <w:rFonts w:ascii="Arial" w:cs="Arial" w:eastAsia="Arial" w:hAnsi="Arial"/>
          <w:sz w:val="27"/>
          <w:szCs w:val="27"/>
          <w:color w:val="auto"/>
        </w:rPr>
        <w:t>(</w:t>
      </w:r>
      <w:r>
        <w:rPr>
          <w:rFonts w:ascii="Arial" w:cs="Arial" w:eastAsia="Arial" w:hAnsi="Arial"/>
          <w:sz w:val="27"/>
          <w:szCs w:val="27"/>
          <w:color w:val="auto"/>
        </w:rPr>
        <w:t>хронический</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интерстициальный</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Гипертензивная нефропатия</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Нефросклероз</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I12.0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почек с почечной недостаточностью</w:t>
      </w:r>
      <w:r>
        <w:rPr>
          <w:rFonts w:ascii="Arial" w:cs="Arial" w:eastAsia="Arial" w:hAnsi="Arial"/>
          <w:sz w:val="27"/>
          <w:szCs w:val="27"/>
          <w:color w:val="auto"/>
        </w:rPr>
        <w:t>:</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Гипертоническая почечная недостаточность</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I12.9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почек без почечной недостаточности</w:t>
      </w:r>
      <w:r>
        <w:rPr>
          <w:rFonts w:ascii="Arial" w:cs="Arial" w:eastAsia="Arial" w:hAnsi="Arial"/>
          <w:sz w:val="27"/>
          <w:szCs w:val="27"/>
          <w:color w:val="auto"/>
        </w:rPr>
        <w:t>:</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Почечная форма гипертонической болезни БДУ</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I13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сердца и почек</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I13.0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 xml:space="preserve">преимущественным поражением сердца и почек с </w:t>
      </w:r>
      <w:r>
        <w:rPr>
          <w:rFonts w:ascii="Arial" w:cs="Arial" w:eastAsia="Arial" w:hAnsi="Arial"/>
          <w:sz w:val="27"/>
          <w:szCs w:val="27"/>
          <w:color w:val="auto"/>
        </w:rPr>
        <w:t>(</w:t>
      </w:r>
      <w:r>
        <w:rPr>
          <w:rFonts w:ascii="Arial" w:cs="Arial" w:eastAsia="Arial" w:hAnsi="Arial"/>
          <w:sz w:val="27"/>
          <w:szCs w:val="27"/>
          <w:color w:val="auto"/>
        </w:rPr>
        <w:t>застойной</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недостаточностью</w:t>
      </w:r>
      <w:r>
        <w:rPr>
          <w:rFonts w:ascii="Arial" w:cs="Arial" w:eastAsia="Arial" w:hAnsi="Arial"/>
          <w:sz w:val="27"/>
          <w:szCs w:val="27"/>
          <w:color w:val="auto"/>
        </w:rPr>
        <w:t>.</w:t>
      </w:r>
    </w:p>
    <w:p>
      <w:pPr>
        <w:sectPr>
          <w:pgSz w:w="11900" w:h="16840" w:orient="portrait"/>
          <w:cols w:equalWidth="0" w:num="1">
            <w:col w:w="9020"/>
          </w:cols>
          <w:pgMar w:left="1440" w:top="19" w:right="1440" w:bottom="49" w:gutter="0" w:footer="0" w:header="0"/>
        </w:sectPr>
      </w:pPr>
    </w:p>
    <w:bookmarkStart w:id="18" w:name="page19"/>
    <w:bookmarkEnd w:id="18"/>
    <w:p>
      <w:pPr>
        <w:spacing w:after="0" w:line="196"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I13.1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почек с почечной недостаточностью</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 xml:space="preserve">I13.2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 xml:space="preserve">преимущественным поражением сердца и почек с </w:t>
      </w:r>
      <w:r>
        <w:rPr>
          <w:rFonts w:ascii="Arial" w:cs="Arial" w:eastAsia="Arial" w:hAnsi="Arial"/>
          <w:sz w:val="27"/>
          <w:szCs w:val="27"/>
          <w:color w:val="auto"/>
        </w:rPr>
        <w:t>(</w:t>
      </w:r>
      <w:r>
        <w:rPr>
          <w:rFonts w:ascii="Arial" w:cs="Arial" w:eastAsia="Arial" w:hAnsi="Arial"/>
          <w:sz w:val="27"/>
          <w:szCs w:val="27"/>
          <w:color w:val="auto"/>
        </w:rPr>
        <w:t>застойной</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недостаточностью и почечной недостаточностью</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I13.9 — </w:t>
      </w:r>
      <w:r>
        <w:rPr>
          <w:rFonts w:ascii="Arial" w:cs="Arial" w:eastAsia="Arial" w:hAnsi="Arial"/>
          <w:sz w:val="27"/>
          <w:szCs w:val="27"/>
          <w:color w:val="auto"/>
        </w:rPr>
        <w:t>Гипертензивная</w:t>
      </w:r>
      <w:r>
        <w:rPr>
          <w:rFonts w:ascii="Arial" w:cs="Arial" w:eastAsia="Arial" w:hAnsi="Arial"/>
          <w:sz w:val="27"/>
          <w:szCs w:val="27"/>
          <w:color w:val="auto"/>
        </w:rPr>
        <w:t xml:space="preserve"> [</w:t>
      </w:r>
      <w:r>
        <w:rPr>
          <w:rFonts w:ascii="Arial" w:cs="Arial" w:eastAsia="Arial" w:hAnsi="Arial"/>
          <w:sz w:val="27"/>
          <w:szCs w:val="27"/>
          <w:color w:val="auto"/>
        </w:rPr>
        <w:t>гипертоническая</w:t>
      </w:r>
      <w:r>
        <w:rPr>
          <w:rFonts w:ascii="Arial" w:cs="Arial" w:eastAsia="Arial" w:hAnsi="Arial"/>
          <w:sz w:val="27"/>
          <w:szCs w:val="27"/>
          <w:color w:val="auto"/>
        </w:rPr>
        <w:t xml:space="preserve">] </w:t>
      </w:r>
      <w:r>
        <w:rPr>
          <w:rFonts w:ascii="Arial" w:cs="Arial" w:eastAsia="Arial" w:hAnsi="Arial"/>
          <w:sz w:val="27"/>
          <w:szCs w:val="27"/>
          <w:color w:val="auto"/>
        </w:rPr>
        <w:t>болезнь с</w:t>
      </w:r>
      <w:r>
        <w:rPr>
          <w:rFonts w:ascii="Arial" w:cs="Arial" w:eastAsia="Arial" w:hAnsi="Arial"/>
          <w:sz w:val="27"/>
          <w:szCs w:val="27"/>
          <w:color w:val="auto"/>
        </w:rPr>
        <w:t xml:space="preserve"> </w:t>
      </w:r>
      <w:r>
        <w:rPr>
          <w:rFonts w:ascii="Arial" w:cs="Arial" w:eastAsia="Arial" w:hAnsi="Arial"/>
          <w:sz w:val="27"/>
          <w:szCs w:val="27"/>
          <w:color w:val="auto"/>
        </w:rPr>
        <w:t>преимущественным поражением сердца и почек неуточненная</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I15 — </w:t>
      </w:r>
      <w:r>
        <w:rPr>
          <w:rFonts w:ascii="Arial" w:cs="Arial" w:eastAsia="Arial" w:hAnsi="Arial"/>
          <w:sz w:val="27"/>
          <w:szCs w:val="27"/>
          <w:color w:val="auto"/>
        </w:rPr>
        <w:t>Вторичная гипертензия</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I15.0 — </w:t>
      </w:r>
      <w:r>
        <w:rPr>
          <w:rFonts w:ascii="Arial" w:cs="Arial" w:eastAsia="Arial" w:hAnsi="Arial"/>
          <w:sz w:val="27"/>
          <w:szCs w:val="27"/>
          <w:color w:val="auto"/>
        </w:rPr>
        <w:t>Реноваскулярная гипертензия</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I15.1 — </w:t>
      </w:r>
      <w:r>
        <w:rPr>
          <w:rFonts w:ascii="Arial" w:cs="Arial" w:eastAsia="Arial" w:hAnsi="Arial"/>
          <w:sz w:val="27"/>
          <w:szCs w:val="27"/>
          <w:color w:val="auto"/>
        </w:rPr>
        <w:t>Гипертензия вторичная по отношению к другим</w:t>
      </w:r>
      <w:r>
        <w:rPr>
          <w:rFonts w:ascii="Arial" w:cs="Arial" w:eastAsia="Arial" w:hAnsi="Arial"/>
          <w:sz w:val="27"/>
          <w:szCs w:val="27"/>
          <w:color w:val="auto"/>
        </w:rPr>
        <w:t xml:space="preserve"> </w:t>
      </w:r>
      <w:r>
        <w:rPr>
          <w:rFonts w:ascii="Arial" w:cs="Arial" w:eastAsia="Arial" w:hAnsi="Arial"/>
          <w:sz w:val="27"/>
          <w:szCs w:val="27"/>
          <w:color w:val="auto"/>
        </w:rPr>
        <w:t>поражениям почек</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I15.2 — </w:t>
      </w:r>
      <w:r>
        <w:rPr>
          <w:rFonts w:ascii="Arial" w:cs="Arial" w:eastAsia="Arial" w:hAnsi="Arial"/>
          <w:sz w:val="27"/>
          <w:szCs w:val="27"/>
          <w:color w:val="auto"/>
        </w:rPr>
        <w:t>Гипертензия вторичная по отношению к эндокринным</w:t>
      </w:r>
      <w:r>
        <w:rPr>
          <w:rFonts w:ascii="Arial" w:cs="Arial" w:eastAsia="Arial" w:hAnsi="Arial"/>
          <w:sz w:val="27"/>
          <w:szCs w:val="27"/>
          <w:color w:val="auto"/>
        </w:rPr>
        <w:t xml:space="preserve"> </w:t>
      </w:r>
      <w:r>
        <w:rPr>
          <w:rFonts w:ascii="Arial" w:cs="Arial" w:eastAsia="Arial" w:hAnsi="Arial"/>
          <w:sz w:val="27"/>
          <w:szCs w:val="27"/>
          <w:color w:val="auto"/>
        </w:rPr>
        <w:t>нарушениям</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I15.8 — </w:t>
      </w:r>
      <w:r>
        <w:rPr>
          <w:rFonts w:ascii="Arial" w:cs="Arial" w:eastAsia="Arial" w:hAnsi="Arial"/>
          <w:sz w:val="27"/>
          <w:szCs w:val="27"/>
          <w:color w:val="auto"/>
        </w:rPr>
        <w:t>Другая вторичная гипертензия</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I15.9 — </w:t>
      </w:r>
      <w:r>
        <w:rPr>
          <w:rFonts w:ascii="Arial" w:cs="Arial" w:eastAsia="Arial" w:hAnsi="Arial"/>
          <w:sz w:val="27"/>
          <w:szCs w:val="27"/>
          <w:color w:val="auto"/>
        </w:rPr>
        <w:t>Вторичная гипертензия неуточненная</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353" w:lineRule="exact"/>
        <w:rPr>
          <w:sz w:val="20"/>
          <w:szCs w:val="20"/>
          <w:color w:val="auto"/>
        </w:rPr>
      </w:pPr>
    </w:p>
    <w:p>
      <w:pPr>
        <w:ind w:left="360" w:right="740"/>
        <w:spacing w:after="0" w:line="245" w:lineRule="auto"/>
        <w:rPr>
          <w:sz w:val="20"/>
          <w:szCs w:val="20"/>
          <w:color w:val="auto"/>
        </w:rPr>
      </w:pPr>
      <w:r>
        <w:rPr>
          <w:rFonts w:ascii="Arial" w:cs="Arial" w:eastAsia="Arial" w:hAnsi="Arial"/>
          <w:sz w:val="33"/>
          <w:szCs w:val="33"/>
          <w:b w:val="1"/>
          <w:bCs w:val="1"/>
          <w:color w:val="auto"/>
        </w:rPr>
        <w:t xml:space="preserve">1.5 </w:t>
      </w:r>
      <w:r>
        <w:rPr>
          <w:rFonts w:ascii="Arial" w:cs="Arial" w:eastAsia="Arial" w:hAnsi="Arial"/>
          <w:sz w:val="33"/>
          <w:szCs w:val="33"/>
          <w:b w:val="1"/>
          <w:bCs w:val="1"/>
          <w:color w:val="auto"/>
        </w:rPr>
        <w:t>Классификация заболевания или состояния</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группы заболеваний</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состояний</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13" w:lineRule="exact"/>
        <w:rPr>
          <w:sz w:val="20"/>
          <w:szCs w:val="20"/>
          <w:color w:val="auto"/>
        </w:rPr>
      </w:pPr>
    </w:p>
    <w:p>
      <w:pPr>
        <w:jc w:val="both"/>
        <w:ind w:left="360" w:right="220"/>
        <w:spacing w:after="0" w:line="307" w:lineRule="auto"/>
        <w:rPr>
          <w:sz w:val="20"/>
          <w:szCs w:val="20"/>
          <w:color w:val="auto"/>
        </w:rPr>
      </w:pPr>
      <w:r>
        <w:rPr>
          <w:rFonts w:ascii="Arial" w:cs="Arial" w:eastAsia="Arial" w:hAnsi="Arial"/>
          <w:sz w:val="27"/>
          <w:szCs w:val="27"/>
          <w:color w:val="auto"/>
        </w:rPr>
        <w:t>АГ классифицируют по степени</w:t>
      </w:r>
      <w:r>
        <w:rPr>
          <w:rFonts w:ascii="Arial" w:cs="Arial" w:eastAsia="Arial" w:hAnsi="Arial"/>
          <w:sz w:val="27"/>
          <w:szCs w:val="27"/>
          <w:color w:val="auto"/>
        </w:rPr>
        <w:t>,</w:t>
      </w:r>
      <w:r>
        <w:rPr>
          <w:rFonts w:ascii="Arial" w:cs="Arial" w:eastAsia="Arial" w:hAnsi="Arial"/>
          <w:sz w:val="27"/>
          <w:szCs w:val="27"/>
          <w:color w:val="auto"/>
        </w:rPr>
        <w:t xml:space="preserve"> которая определяется уровнем АД у нелеченных пациентов</w:t>
      </w:r>
      <w:r>
        <w:rPr>
          <w:rFonts w:ascii="Arial" w:cs="Arial" w:eastAsia="Arial" w:hAnsi="Arial"/>
          <w:sz w:val="27"/>
          <w:szCs w:val="27"/>
          <w:color w:val="auto"/>
        </w:rPr>
        <w:t>;</w:t>
      </w:r>
      <w:r>
        <w:rPr>
          <w:rFonts w:ascii="Arial" w:cs="Arial" w:eastAsia="Arial" w:hAnsi="Arial"/>
          <w:sz w:val="27"/>
          <w:szCs w:val="27"/>
          <w:color w:val="auto"/>
        </w:rPr>
        <w:t xml:space="preserve"> стадии</w:t>
      </w:r>
      <w:r>
        <w:rPr>
          <w:rFonts w:ascii="Arial" w:cs="Arial" w:eastAsia="Arial" w:hAnsi="Arial"/>
          <w:sz w:val="27"/>
          <w:szCs w:val="27"/>
          <w:color w:val="auto"/>
        </w:rPr>
        <w:t>,</w:t>
      </w:r>
      <w:r>
        <w:rPr>
          <w:rFonts w:ascii="Arial" w:cs="Arial" w:eastAsia="Arial" w:hAnsi="Arial"/>
          <w:sz w:val="27"/>
          <w:szCs w:val="27"/>
          <w:color w:val="auto"/>
        </w:rPr>
        <w:t xml:space="preserve"> которая определяется наличием сахарного диабета </w:t>
      </w:r>
      <w:r>
        <w:rPr>
          <w:rFonts w:ascii="Arial" w:cs="Arial" w:eastAsia="Arial" w:hAnsi="Arial"/>
          <w:sz w:val="27"/>
          <w:szCs w:val="27"/>
          <w:color w:val="auto"/>
        </w:rPr>
        <w:t>(</w:t>
      </w:r>
      <w:r>
        <w:rPr>
          <w:rFonts w:ascii="Arial" w:cs="Arial" w:eastAsia="Arial" w:hAnsi="Arial"/>
          <w:sz w:val="27"/>
          <w:szCs w:val="27"/>
          <w:color w:val="auto"/>
        </w:rPr>
        <w:t>СД</w:t>
      </w:r>
      <w:r>
        <w:rPr>
          <w:rFonts w:ascii="Arial" w:cs="Arial" w:eastAsia="Arial" w:hAnsi="Arial"/>
          <w:sz w:val="27"/>
          <w:szCs w:val="27"/>
          <w:color w:val="auto"/>
        </w:rPr>
        <w:t>),</w:t>
      </w:r>
      <w:r>
        <w:rPr>
          <w:rFonts w:ascii="Arial" w:cs="Arial" w:eastAsia="Arial" w:hAnsi="Arial"/>
          <w:sz w:val="27"/>
          <w:szCs w:val="27"/>
          <w:color w:val="auto"/>
        </w:rPr>
        <w:t xml:space="preserve"> поражения органов</w:t>
      </w:r>
      <w:r>
        <w:rPr>
          <w:rFonts w:ascii="Arial" w:cs="Arial" w:eastAsia="Arial" w:hAnsi="Arial"/>
          <w:sz w:val="27"/>
          <w:szCs w:val="27"/>
          <w:color w:val="auto"/>
        </w:rPr>
        <w:t>-</w:t>
      </w:r>
      <w:r>
        <w:rPr>
          <w:rFonts w:ascii="Arial" w:cs="Arial" w:eastAsia="Arial" w:hAnsi="Arial"/>
          <w:sz w:val="27"/>
          <w:szCs w:val="27"/>
          <w:color w:val="auto"/>
        </w:rPr>
        <w:t xml:space="preserve">мишеней </w:t>
      </w:r>
      <w:r>
        <w:rPr>
          <w:rFonts w:ascii="Arial" w:cs="Arial" w:eastAsia="Arial" w:hAnsi="Arial"/>
          <w:sz w:val="27"/>
          <w:szCs w:val="27"/>
          <w:color w:val="auto"/>
        </w:rPr>
        <w:t>(</w:t>
      </w:r>
      <w:r>
        <w:rPr>
          <w:rFonts w:ascii="Arial" w:cs="Arial" w:eastAsia="Arial" w:hAnsi="Arial"/>
          <w:sz w:val="27"/>
          <w:szCs w:val="27"/>
          <w:color w:val="auto"/>
        </w:rPr>
        <w:t>ПОМ</w:t>
      </w:r>
      <w:r>
        <w:rPr>
          <w:rFonts w:ascii="Arial" w:cs="Arial" w:eastAsia="Arial" w:hAnsi="Arial"/>
          <w:sz w:val="27"/>
          <w:szCs w:val="27"/>
          <w:color w:val="auto"/>
        </w:rPr>
        <w:t xml:space="preserve">) </w:t>
      </w:r>
      <w:r>
        <w:rPr>
          <w:rFonts w:ascii="Arial" w:cs="Arial" w:eastAsia="Arial" w:hAnsi="Arial"/>
          <w:sz w:val="27"/>
          <w:szCs w:val="27"/>
          <w:color w:val="auto"/>
        </w:rPr>
        <w:t>и ассоциированных клинических состояний</w:t>
      </w:r>
      <w:r>
        <w:rPr>
          <w:rFonts w:ascii="Arial" w:cs="Arial" w:eastAsia="Arial" w:hAnsi="Arial"/>
          <w:sz w:val="27"/>
          <w:szCs w:val="27"/>
          <w:color w:val="auto"/>
        </w:rPr>
        <w:t xml:space="preserve"> (</w:t>
      </w:r>
      <w:r>
        <w:rPr>
          <w:rFonts w:ascii="Arial" w:cs="Arial" w:eastAsia="Arial" w:hAnsi="Arial"/>
          <w:sz w:val="27"/>
          <w:szCs w:val="27"/>
          <w:color w:val="auto"/>
        </w:rPr>
        <w:t>АКС</w:t>
      </w:r>
      <w:r>
        <w:rPr>
          <w:rFonts w:ascii="Arial" w:cs="Arial" w:eastAsia="Arial" w:hAnsi="Arial"/>
          <w:sz w:val="27"/>
          <w:szCs w:val="27"/>
          <w:color w:val="auto"/>
        </w:rPr>
        <w:t xml:space="preserve">); </w:t>
      </w:r>
      <w:r>
        <w:rPr>
          <w:rFonts w:ascii="Arial" w:cs="Arial" w:eastAsia="Arial" w:hAnsi="Arial"/>
          <w:sz w:val="27"/>
          <w:szCs w:val="27"/>
          <w:color w:val="auto"/>
        </w:rPr>
        <w:t>категории риска развития сердечно</w:t>
      </w:r>
      <w:r>
        <w:rPr>
          <w:rFonts w:ascii="Arial" w:cs="Arial" w:eastAsia="Arial" w:hAnsi="Arial"/>
          <w:sz w:val="27"/>
          <w:szCs w:val="27"/>
          <w:color w:val="auto"/>
        </w:rPr>
        <w:t>-</w:t>
      </w:r>
      <w:r>
        <w:rPr>
          <w:rFonts w:ascii="Arial" w:cs="Arial" w:eastAsia="Arial" w:hAnsi="Arial"/>
          <w:sz w:val="27"/>
          <w:szCs w:val="27"/>
          <w:color w:val="auto"/>
        </w:rPr>
        <w:t>сосудистых осложнений</w:t>
      </w:r>
      <w:r>
        <w:rPr>
          <w:rFonts w:ascii="Arial" w:cs="Arial" w:eastAsia="Arial" w:hAnsi="Arial"/>
          <w:sz w:val="27"/>
          <w:szCs w:val="27"/>
          <w:color w:val="auto"/>
        </w:rPr>
        <w:t>,</w:t>
      </w:r>
      <w:r>
        <w:rPr>
          <w:rFonts w:ascii="Arial" w:cs="Arial" w:eastAsia="Arial" w:hAnsi="Arial"/>
          <w:sz w:val="27"/>
          <w:szCs w:val="27"/>
          <w:color w:val="auto"/>
        </w:rPr>
        <w:t xml:space="preserve"> которая учитывает уровень АД</w:t>
      </w:r>
      <w:r>
        <w:rPr>
          <w:rFonts w:ascii="Arial" w:cs="Arial" w:eastAsia="Arial" w:hAnsi="Arial"/>
          <w:sz w:val="27"/>
          <w:szCs w:val="27"/>
          <w:color w:val="auto"/>
        </w:rPr>
        <w:t>,</w:t>
      </w:r>
      <w:r>
        <w:rPr>
          <w:rFonts w:ascii="Arial" w:cs="Arial" w:eastAsia="Arial" w:hAnsi="Arial"/>
          <w:sz w:val="27"/>
          <w:szCs w:val="27"/>
          <w:color w:val="auto"/>
        </w:rPr>
        <w:t xml:space="preserve"> сопутствующие факторы риска </w:t>
      </w:r>
      <w:r>
        <w:rPr>
          <w:rFonts w:ascii="Arial" w:cs="Arial" w:eastAsia="Arial" w:hAnsi="Arial"/>
          <w:sz w:val="27"/>
          <w:szCs w:val="27"/>
          <w:color w:val="auto"/>
        </w:rPr>
        <w:t>(</w:t>
      </w:r>
      <w:r>
        <w:rPr>
          <w:rFonts w:ascii="Arial" w:cs="Arial" w:eastAsia="Arial" w:hAnsi="Arial"/>
          <w:sz w:val="27"/>
          <w:szCs w:val="27"/>
          <w:color w:val="auto"/>
        </w:rPr>
        <w:t>ФР</w:t>
      </w:r>
      <w:r>
        <w:rPr>
          <w:rFonts w:ascii="Arial" w:cs="Arial" w:eastAsia="Arial" w:hAnsi="Arial"/>
          <w:sz w:val="27"/>
          <w:szCs w:val="27"/>
          <w:color w:val="auto"/>
        </w:rPr>
        <w:t xml:space="preserve">), </w:t>
      </w:r>
      <w:r>
        <w:rPr>
          <w:rFonts w:ascii="Arial" w:cs="Arial" w:eastAsia="Arial" w:hAnsi="Arial"/>
          <w:sz w:val="27"/>
          <w:szCs w:val="27"/>
          <w:color w:val="auto"/>
        </w:rPr>
        <w:t>наличие СД</w:t>
      </w:r>
      <w:r>
        <w:rPr>
          <w:rFonts w:ascii="Arial" w:cs="Arial" w:eastAsia="Arial" w:hAnsi="Arial"/>
          <w:sz w:val="27"/>
          <w:szCs w:val="27"/>
          <w:color w:val="auto"/>
        </w:rPr>
        <w:t xml:space="preserve">, </w:t>
      </w:r>
      <w:r>
        <w:rPr>
          <w:rFonts w:ascii="Arial" w:cs="Arial" w:eastAsia="Arial" w:hAnsi="Arial"/>
          <w:sz w:val="27"/>
          <w:szCs w:val="27"/>
          <w:color w:val="auto"/>
        </w:rPr>
        <w:t>ПОМ</w:t>
      </w:r>
      <w:r>
        <w:rPr>
          <w:rFonts w:ascii="Arial" w:cs="Arial" w:eastAsia="Arial" w:hAnsi="Arial"/>
          <w:sz w:val="27"/>
          <w:szCs w:val="27"/>
          <w:color w:val="auto"/>
        </w:rPr>
        <w:t xml:space="preserve">, </w:t>
      </w:r>
      <w:r>
        <w:rPr>
          <w:rFonts w:ascii="Arial" w:cs="Arial" w:eastAsia="Arial" w:hAnsi="Arial"/>
          <w:sz w:val="27"/>
          <w:szCs w:val="27"/>
          <w:color w:val="auto"/>
        </w:rPr>
        <w:t>АКС</w:t>
      </w:r>
      <w:r>
        <w:rPr>
          <w:rFonts w:ascii="Arial" w:cs="Arial" w:eastAsia="Arial" w:hAnsi="Arial"/>
          <w:sz w:val="27"/>
          <w:szCs w:val="27"/>
          <w:color w:val="auto"/>
        </w:rPr>
        <w:t>.</w:t>
      </w:r>
    </w:p>
    <w:p>
      <w:pPr>
        <w:spacing w:after="0" w:line="221" w:lineRule="exact"/>
        <w:rPr>
          <w:sz w:val="20"/>
          <w:szCs w:val="20"/>
          <w:color w:val="auto"/>
        </w:rPr>
      </w:pPr>
    </w:p>
    <w:p>
      <w:pPr>
        <w:jc w:val="both"/>
        <w:ind w:left="360" w:right="220"/>
        <w:spacing w:after="0" w:line="305" w:lineRule="auto"/>
        <w:rPr>
          <w:sz w:val="20"/>
          <w:szCs w:val="20"/>
          <w:color w:val="auto"/>
        </w:rPr>
      </w:pPr>
      <w:r>
        <w:rPr>
          <w:rFonts w:ascii="Arial" w:cs="Arial" w:eastAsia="Arial" w:hAnsi="Arial"/>
          <w:sz w:val="27"/>
          <w:szCs w:val="27"/>
          <w:color w:val="auto"/>
        </w:rPr>
        <w:t xml:space="preserve">Классификация уровней АД у лиц старше </w:t>
      </w:r>
      <w:r>
        <w:rPr>
          <w:rFonts w:ascii="Arial" w:cs="Arial" w:eastAsia="Arial" w:hAnsi="Arial"/>
          <w:sz w:val="27"/>
          <w:szCs w:val="27"/>
          <w:color w:val="auto"/>
        </w:rPr>
        <w:t>18</w:t>
      </w:r>
      <w:r>
        <w:rPr>
          <w:rFonts w:ascii="Arial" w:cs="Arial" w:eastAsia="Arial" w:hAnsi="Arial"/>
          <w:sz w:val="27"/>
          <w:szCs w:val="27"/>
          <w:color w:val="auto"/>
        </w:rPr>
        <w:t xml:space="preserve"> лет представлена в таблице П</w:t>
      </w:r>
      <w:r>
        <w:rPr>
          <w:rFonts w:ascii="Arial" w:cs="Arial" w:eastAsia="Arial" w:hAnsi="Arial"/>
          <w:sz w:val="27"/>
          <w:szCs w:val="27"/>
          <w:color w:val="auto"/>
        </w:rPr>
        <w:t>2,</w:t>
      </w:r>
      <w:r>
        <w:rPr>
          <w:rFonts w:ascii="Arial" w:cs="Arial" w:eastAsia="Arial" w:hAnsi="Arial"/>
          <w:sz w:val="27"/>
          <w:szCs w:val="27"/>
          <w:color w:val="auto"/>
        </w:rPr>
        <w:t xml:space="preserve"> Приложение Г</w:t>
      </w:r>
      <w:r>
        <w:rPr>
          <w:rFonts w:ascii="Arial" w:cs="Arial" w:eastAsia="Arial" w:hAnsi="Arial"/>
          <w:sz w:val="27"/>
          <w:szCs w:val="27"/>
          <w:color w:val="auto"/>
        </w:rPr>
        <w:t>1.</w:t>
      </w:r>
      <w:r>
        <w:rPr>
          <w:rFonts w:ascii="Arial" w:cs="Arial" w:eastAsia="Arial" w:hAnsi="Arial"/>
          <w:sz w:val="27"/>
          <w:szCs w:val="27"/>
          <w:color w:val="auto"/>
        </w:rPr>
        <w:t xml:space="preserve"> Категорию АД определяют по результатам его трехкратного измерения в положении пациента сидя</w:t>
      </w:r>
      <w:r>
        <w:rPr>
          <w:rFonts w:ascii="Arial" w:cs="Arial" w:eastAsia="Arial" w:hAnsi="Arial"/>
          <w:sz w:val="27"/>
          <w:szCs w:val="27"/>
          <w:color w:val="auto"/>
        </w:rPr>
        <w:t>.</w:t>
      </w:r>
      <w:r>
        <w:rPr>
          <w:rFonts w:ascii="Arial" w:cs="Arial" w:eastAsia="Arial" w:hAnsi="Arial"/>
          <w:sz w:val="27"/>
          <w:szCs w:val="27"/>
          <w:color w:val="auto"/>
        </w:rPr>
        <w:t xml:space="preserve"> Используют средние значения САД и ДАД</w:t>
      </w:r>
      <w:r>
        <w:rPr>
          <w:rFonts w:ascii="Arial" w:cs="Arial" w:eastAsia="Arial" w:hAnsi="Arial"/>
          <w:sz w:val="27"/>
          <w:szCs w:val="27"/>
          <w:color w:val="auto"/>
        </w:rPr>
        <w:t>,</w:t>
      </w:r>
      <w:r>
        <w:rPr>
          <w:rFonts w:ascii="Arial" w:cs="Arial" w:eastAsia="Arial" w:hAnsi="Arial"/>
          <w:sz w:val="27"/>
          <w:szCs w:val="27"/>
          <w:color w:val="auto"/>
        </w:rPr>
        <w:t xml:space="preserve"> определенных при двух последних измерениях</w:t>
      </w:r>
      <w:r>
        <w:rPr>
          <w:rFonts w:ascii="Arial" w:cs="Arial" w:eastAsia="Arial" w:hAnsi="Arial"/>
          <w:sz w:val="27"/>
          <w:szCs w:val="27"/>
          <w:color w:val="auto"/>
        </w:rPr>
        <w:t>.</w:t>
      </w:r>
      <w:r>
        <w:rPr>
          <w:rFonts w:ascii="Arial" w:cs="Arial" w:eastAsia="Arial" w:hAnsi="Arial"/>
          <w:sz w:val="27"/>
          <w:szCs w:val="27"/>
          <w:color w:val="auto"/>
        </w:rPr>
        <w:t xml:space="preserve"> Изолированная систолическая гипертензия классифицируется на степени </w:t>
      </w:r>
      <w:r>
        <w:rPr>
          <w:rFonts w:ascii="Arial" w:cs="Arial" w:eastAsia="Arial" w:hAnsi="Arial"/>
          <w:sz w:val="27"/>
          <w:szCs w:val="27"/>
          <w:color w:val="auto"/>
        </w:rPr>
        <w:t>1, 2</w:t>
      </w:r>
      <w:r>
        <w:rPr>
          <w:rFonts w:ascii="Arial" w:cs="Arial" w:eastAsia="Arial" w:hAnsi="Arial"/>
          <w:sz w:val="27"/>
          <w:szCs w:val="27"/>
          <w:color w:val="auto"/>
        </w:rPr>
        <w:t xml:space="preserve"> или </w:t>
      </w:r>
      <w:r>
        <w:rPr>
          <w:rFonts w:ascii="Arial" w:cs="Arial" w:eastAsia="Arial" w:hAnsi="Arial"/>
          <w:sz w:val="27"/>
          <w:szCs w:val="27"/>
          <w:color w:val="auto"/>
        </w:rPr>
        <w:t>3</w:t>
      </w:r>
      <w:r>
        <w:rPr>
          <w:rFonts w:ascii="Arial" w:cs="Arial" w:eastAsia="Arial" w:hAnsi="Arial"/>
          <w:sz w:val="27"/>
          <w:szCs w:val="27"/>
          <w:color w:val="auto"/>
        </w:rPr>
        <w:t xml:space="preserve"> в зависимости от значения САД</w:t>
      </w:r>
      <w:r>
        <w:rPr>
          <w:rFonts w:ascii="Arial" w:cs="Arial" w:eastAsia="Arial" w:hAnsi="Arial"/>
          <w:sz w:val="27"/>
          <w:szCs w:val="27"/>
          <w:color w:val="auto"/>
        </w:rPr>
        <w:t>.</w:t>
      </w:r>
      <w:r>
        <w:rPr>
          <w:rFonts w:ascii="Arial" w:cs="Arial" w:eastAsia="Arial" w:hAnsi="Arial"/>
          <w:sz w:val="27"/>
          <w:szCs w:val="27"/>
          <w:color w:val="auto"/>
        </w:rPr>
        <w:t xml:space="preserve"> Если значения САД и ДАД попадают в разные категории</w:t>
      </w:r>
      <w:r>
        <w:rPr>
          <w:rFonts w:ascii="Arial" w:cs="Arial" w:eastAsia="Arial" w:hAnsi="Arial"/>
          <w:sz w:val="27"/>
          <w:szCs w:val="27"/>
          <w:color w:val="auto"/>
        </w:rPr>
        <w:t>,</w:t>
      </w:r>
      <w:r>
        <w:rPr>
          <w:rFonts w:ascii="Arial" w:cs="Arial" w:eastAsia="Arial" w:hAnsi="Arial"/>
          <w:sz w:val="27"/>
          <w:szCs w:val="27"/>
          <w:color w:val="auto"/>
        </w:rPr>
        <w:t xml:space="preserve"> то степень АГ оценивается по более высокой категории</w:t>
      </w:r>
      <w:r>
        <w:rPr>
          <w:rFonts w:ascii="Arial" w:cs="Arial" w:eastAsia="Arial" w:hAnsi="Arial"/>
          <w:sz w:val="27"/>
          <w:szCs w:val="27"/>
          <w:color w:val="auto"/>
        </w:rPr>
        <w:t>.</w:t>
      </w:r>
    </w:p>
    <w:p>
      <w:pPr>
        <w:sectPr>
          <w:pgSz w:w="11900" w:h="17036" w:orient="portrait"/>
          <w:cols w:equalWidth="0" w:num="1">
            <w:col w:w="9020"/>
          </w:cols>
          <w:pgMar w:left="1440" w:top="19" w:right="1440" w:bottom="0" w:gutter="0" w:footer="0" w:header="0"/>
        </w:sectPr>
      </w:pPr>
    </w:p>
    <w:bookmarkStart w:id="19" w:name="page20"/>
    <w:bookmarkEnd w:id="19"/>
    <w:p>
      <w:pPr>
        <w:spacing w:after="0" w:line="17"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 xml:space="preserve">Выделение </w:t>
      </w:r>
      <w:r>
        <w:rPr>
          <w:rFonts w:ascii="Arial" w:cs="Arial" w:eastAsia="Arial" w:hAnsi="Arial"/>
          <w:sz w:val="27"/>
          <w:szCs w:val="27"/>
          <w:color w:val="auto"/>
        </w:rPr>
        <w:t>3</w:t>
      </w:r>
      <w:r>
        <w:rPr>
          <w:rFonts w:ascii="Arial" w:cs="Arial" w:eastAsia="Arial" w:hAnsi="Arial"/>
          <w:sz w:val="27"/>
          <w:szCs w:val="27"/>
          <w:color w:val="auto"/>
        </w:rPr>
        <w:t xml:space="preserve"> стадий АГ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1,</w:t>
      </w:r>
      <w:r>
        <w:rPr>
          <w:rFonts w:ascii="Arial" w:cs="Arial" w:eastAsia="Arial" w:hAnsi="Arial"/>
          <w:sz w:val="27"/>
          <w:szCs w:val="27"/>
          <w:color w:val="auto"/>
        </w:rPr>
        <w:t xml:space="preserve"> Приложение Г</w:t>
      </w:r>
      <w:r>
        <w:rPr>
          <w:rFonts w:ascii="Arial" w:cs="Arial" w:eastAsia="Arial" w:hAnsi="Arial"/>
          <w:sz w:val="27"/>
          <w:szCs w:val="27"/>
          <w:color w:val="auto"/>
        </w:rPr>
        <w:t>3)</w:t>
      </w:r>
      <w:r>
        <w:rPr>
          <w:rFonts w:ascii="Arial" w:cs="Arial" w:eastAsia="Arial" w:hAnsi="Arial"/>
          <w:sz w:val="27"/>
          <w:szCs w:val="27"/>
          <w:color w:val="auto"/>
        </w:rPr>
        <w:t xml:space="preserve"> основано на наличии поражения органов</w:t>
      </w:r>
      <w:r>
        <w:rPr>
          <w:rFonts w:ascii="Arial" w:cs="Arial" w:eastAsia="Arial" w:hAnsi="Arial"/>
          <w:sz w:val="27"/>
          <w:szCs w:val="27"/>
          <w:color w:val="auto"/>
        </w:rPr>
        <w:t>-</w:t>
      </w:r>
      <w:r>
        <w:rPr>
          <w:rFonts w:ascii="Arial" w:cs="Arial" w:eastAsia="Arial" w:hAnsi="Arial"/>
          <w:sz w:val="27"/>
          <w:szCs w:val="27"/>
          <w:color w:val="auto"/>
        </w:rPr>
        <w:t xml:space="preserve">мишеней </w:t>
      </w:r>
      <w:r>
        <w:rPr>
          <w:rFonts w:ascii="Arial" w:cs="Arial" w:eastAsia="Arial" w:hAnsi="Arial"/>
          <w:sz w:val="27"/>
          <w:szCs w:val="27"/>
          <w:color w:val="auto"/>
        </w:rPr>
        <w:t>(</w:t>
      </w:r>
      <w:r>
        <w:rPr>
          <w:rFonts w:ascii="Arial" w:cs="Arial" w:eastAsia="Arial" w:hAnsi="Arial"/>
          <w:sz w:val="27"/>
          <w:szCs w:val="27"/>
          <w:color w:val="auto"/>
        </w:rPr>
        <w:t>ПОМ</w:t>
      </w:r>
      <w:r>
        <w:rPr>
          <w:rFonts w:ascii="Arial" w:cs="Arial" w:eastAsia="Arial" w:hAnsi="Arial"/>
          <w:sz w:val="27"/>
          <w:szCs w:val="27"/>
          <w:color w:val="auto"/>
        </w:rPr>
        <w:t>),</w:t>
      </w:r>
      <w:r>
        <w:rPr>
          <w:rFonts w:ascii="Arial" w:cs="Arial" w:eastAsia="Arial" w:hAnsi="Arial"/>
          <w:sz w:val="27"/>
          <w:szCs w:val="27"/>
          <w:color w:val="auto"/>
        </w:rPr>
        <w:t xml:space="preserve"> ассоциированных клинических состояний</w:t>
      </w:r>
      <w:r>
        <w:rPr>
          <w:rFonts w:ascii="Arial" w:cs="Arial" w:eastAsia="Arial" w:hAnsi="Arial"/>
          <w:sz w:val="27"/>
          <w:szCs w:val="27"/>
          <w:color w:val="auto"/>
        </w:rPr>
        <w:t>,</w:t>
      </w:r>
      <w:r>
        <w:rPr>
          <w:rFonts w:ascii="Arial" w:cs="Arial" w:eastAsia="Arial" w:hAnsi="Arial"/>
          <w:sz w:val="27"/>
          <w:szCs w:val="27"/>
          <w:color w:val="auto"/>
        </w:rPr>
        <w:t xml:space="preserve"> сахарного диабета и хронической болезни почек</w:t>
      </w:r>
      <w:r>
        <w:rPr>
          <w:rFonts w:ascii="Arial" w:cs="Arial" w:eastAsia="Arial" w:hAnsi="Arial"/>
          <w:sz w:val="27"/>
          <w:szCs w:val="27"/>
          <w:color w:val="auto"/>
        </w:rPr>
        <w:t>.</w:t>
      </w:r>
      <w:r>
        <w:rPr>
          <w:rFonts w:ascii="Arial" w:cs="Arial" w:eastAsia="Arial" w:hAnsi="Arial"/>
          <w:sz w:val="27"/>
          <w:szCs w:val="27"/>
          <w:color w:val="auto"/>
        </w:rPr>
        <w:t xml:space="preserve"> Стадия АГ не зависит от уровня АД</w:t>
      </w:r>
      <w:r>
        <w:rPr>
          <w:rFonts w:ascii="Arial" w:cs="Arial" w:eastAsia="Arial" w:hAnsi="Arial"/>
          <w:sz w:val="27"/>
          <w:szCs w:val="27"/>
          <w:color w:val="auto"/>
        </w:rPr>
        <w:t>.</w:t>
      </w:r>
    </w:p>
    <w:p>
      <w:pPr>
        <w:spacing w:after="0" w:line="21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Выделяются </w:t>
      </w:r>
      <w:r>
        <w:rPr>
          <w:rFonts w:ascii="Arial" w:cs="Arial" w:eastAsia="Arial" w:hAnsi="Arial"/>
          <w:sz w:val="27"/>
          <w:szCs w:val="27"/>
          <w:color w:val="auto"/>
        </w:rPr>
        <w:t>3</w:t>
      </w:r>
      <w:r>
        <w:rPr>
          <w:rFonts w:ascii="Arial" w:cs="Arial" w:eastAsia="Arial" w:hAnsi="Arial"/>
          <w:sz w:val="27"/>
          <w:szCs w:val="27"/>
          <w:color w:val="auto"/>
        </w:rPr>
        <w:t xml:space="preserve"> стадии гипертонической болезни</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Стадия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 </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отсутствие ПОМ и АКС</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возможное наличие факторов</w:t>
      </w:r>
      <w:r>
        <w:rPr>
          <w:rFonts w:ascii="Arial" w:cs="Arial" w:eastAsia="Arial" w:hAnsi="Arial"/>
          <w:sz w:val="27"/>
          <w:szCs w:val="27"/>
          <w:b w:val="1"/>
          <w:bCs w:val="1"/>
          <w:color w:val="auto"/>
        </w:rPr>
        <w:t xml:space="preserve"> </w:t>
      </w:r>
      <w:r>
        <w:rPr>
          <w:rFonts w:ascii="Arial" w:cs="Arial" w:eastAsia="Arial" w:hAnsi="Arial"/>
          <w:sz w:val="27"/>
          <w:szCs w:val="27"/>
          <w:color w:val="auto"/>
        </w:rPr>
        <w:t>риска</w:t>
      </w:r>
    </w:p>
    <w:p>
      <w:pPr>
        <w:spacing w:after="0" w:line="186" w:lineRule="exact"/>
        <w:rPr>
          <w:sz w:val="20"/>
          <w:szCs w:val="20"/>
          <w:color w:val="auto"/>
        </w:rPr>
      </w:pPr>
    </w:p>
    <w:p>
      <w:pPr>
        <w:ind w:left="420"/>
        <w:spacing w:after="0"/>
        <w:rPr>
          <w:sz w:val="20"/>
          <w:szCs w:val="20"/>
          <w:color w:val="auto"/>
        </w:rPr>
      </w:pPr>
      <w:r>
        <w:rPr>
          <w:rFonts w:ascii="Arial" w:cs="Arial" w:eastAsia="Arial" w:hAnsi="Arial"/>
          <w:sz w:val="27"/>
          <w:szCs w:val="27"/>
          <w:color w:val="auto"/>
        </w:rPr>
        <w:t>Факторы СС риска у пациентов с АГ</w:t>
      </w:r>
      <w:r>
        <w:rPr>
          <w:rFonts w:ascii="Arial" w:cs="Arial" w:eastAsia="Arial" w:hAnsi="Arial"/>
          <w:sz w:val="27"/>
          <w:szCs w:val="27"/>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Пол </w:t>
      </w:r>
      <w:r>
        <w:rPr>
          <w:rFonts w:ascii="Arial" w:cs="Arial" w:eastAsia="Arial" w:hAnsi="Arial"/>
          <w:sz w:val="27"/>
          <w:szCs w:val="27"/>
          <w:color w:val="auto"/>
        </w:rPr>
        <w:t>(</w:t>
      </w:r>
      <w:r>
        <w:rPr>
          <w:rFonts w:ascii="Arial" w:cs="Arial" w:eastAsia="Arial" w:hAnsi="Arial"/>
          <w:sz w:val="27"/>
          <w:szCs w:val="27"/>
          <w:color w:val="auto"/>
        </w:rPr>
        <w:t xml:space="preserve">мужчины </w:t>
      </w:r>
      <w:r>
        <w:rPr>
          <w:rFonts w:ascii="Arial" w:cs="Arial" w:eastAsia="Arial" w:hAnsi="Arial"/>
          <w:sz w:val="27"/>
          <w:szCs w:val="27"/>
          <w:color w:val="auto"/>
        </w:rPr>
        <w:t>&gt;</w:t>
      </w:r>
      <w:r>
        <w:rPr>
          <w:rFonts w:ascii="Arial" w:cs="Arial" w:eastAsia="Arial" w:hAnsi="Arial"/>
          <w:sz w:val="27"/>
          <w:szCs w:val="27"/>
          <w:color w:val="auto"/>
        </w:rPr>
        <w:t xml:space="preserve"> женщин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Возраст </w:t>
      </w:r>
      <w:r>
        <w:rPr>
          <w:rFonts w:ascii="Times New Roman" w:cs="Times New Roman" w:eastAsia="Times New Roman" w:hAnsi="Times New Roman"/>
          <w:sz w:val="27"/>
          <w:szCs w:val="27"/>
          <w:color w:val="auto"/>
        </w:rPr>
        <w:t>≥</w:t>
      </w:r>
      <w:r>
        <w:rPr>
          <w:rFonts w:ascii="Arial" w:cs="Arial" w:eastAsia="Arial" w:hAnsi="Arial"/>
          <w:sz w:val="27"/>
          <w:szCs w:val="27"/>
          <w:color w:val="auto"/>
        </w:rPr>
        <w:t>55</w:t>
      </w:r>
      <w:r>
        <w:rPr>
          <w:rFonts w:ascii="Arial" w:cs="Arial" w:eastAsia="Arial" w:hAnsi="Arial"/>
          <w:sz w:val="27"/>
          <w:szCs w:val="27"/>
          <w:color w:val="auto"/>
        </w:rPr>
        <w:t xml:space="preserve"> лет у мужчин</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65</w:t>
      </w:r>
      <w:r>
        <w:rPr>
          <w:rFonts w:ascii="Arial" w:cs="Arial" w:eastAsia="Arial" w:hAnsi="Arial"/>
          <w:sz w:val="27"/>
          <w:szCs w:val="27"/>
          <w:color w:val="auto"/>
        </w:rPr>
        <w:t xml:space="preserve"> лет у женщин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-117475</wp:posOffset>
            </wp:positionV>
            <wp:extent cx="82550" cy="8255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59"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Курение </w:t>
      </w:r>
      <w:r>
        <w:rPr>
          <w:rFonts w:ascii="Arial" w:cs="Arial" w:eastAsia="Arial" w:hAnsi="Arial"/>
          <w:sz w:val="27"/>
          <w:szCs w:val="27"/>
          <w:color w:val="auto"/>
        </w:rPr>
        <w:t>(</w:t>
      </w:r>
      <w:r>
        <w:rPr>
          <w:rFonts w:ascii="Arial" w:cs="Arial" w:eastAsia="Arial" w:hAnsi="Arial"/>
          <w:sz w:val="27"/>
          <w:szCs w:val="27"/>
          <w:color w:val="auto"/>
        </w:rPr>
        <w:t>в настоящем или прошлом</w:t>
      </w:r>
      <w:r>
        <w:rPr>
          <w:rFonts w:ascii="Arial" w:cs="Arial" w:eastAsia="Arial" w:hAnsi="Arial"/>
          <w:sz w:val="27"/>
          <w:szCs w:val="27"/>
          <w:color w:val="auto"/>
        </w:rPr>
        <w:t>;</w:t>
      </w:r>
      <w:r>
        <w:rPr>
          <w:rFonts w:ascii="Arial" w:cs="Arial" w:eastAsia="Arial" w:hAnsi="Arial"/>
          <w:sz w:val="27"/>
          <w:szCs w:val="27"/>
          <w:color w:val="auto"/>
        </w:rPr>
        <w:t xml:space="preserve"> курение в прошлом</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следует рассматривать как фактор риска при отказе от курения</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 течение последнего года</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880" w:val="left"/>
          <w:tab w:leader="none" w:pos="4980" w:val="left"/>
          <w:tab w:leader="none" w:pos="5580" w:val="left"/>
          <w:tab w:leader="none" w:pos="7180" w:val="left"/>
          <w:tab w:leader="none" w:pos="8480" w:val="left"/>
        </w:tabs>
        <w:rPr>
          <w:sz w:val="20"/>
          <w:szCs w:val="20"/>
          <w:color w:val="auto"/>
        </w:rPr>
      </w:pPr>
      <w:r>
        <w:rPr>
          <w:rFonts w:ascii="Arial" w:cs="Arial" w:eastAsia="Arial" w:hAnsi="Arial"/>
          <w:sz w:val="27"/>
          <w:szCs w:val="27"/>
          <w:color w:val="auto"/>
        </w:rPr>
        <w:t>Дислипидемия</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принимается</w:t>
      </w:r>
      <w:r>
        <w:rPr>
          <w:sz w:val="20"/>
          <w:szCs w:val="20"/>
          <w:color w:val="auto"/>
        </w:rPr>
        <w:tab/>
      </w:r>
      <w:r>
        <w:rPr>
          <w:rFonts w:ascii="Arial" w:cs="Arial" w:eastAsia="Arial" w:hAnsi="Arial"/>
          <w:sz w:val="27"/>
          <w:szCs w:val="27"/>
          <w:color w:val="auto"/>
        </w:rPr>
        <w:t>во</w:t>
        <w:tab/>
        <w:t>внимание</w:t>
        <w:tab/>
        <w:t>каждый</w:t>
        <w:tab/>
        <w:t>из</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представленных показателей липидного обмена</w:t>
      </w:r>
      <w:r>
        <w:rPr>
          <w:rFonts w:ascii="Arial" w:cs="Arial" w:eastAsia="Arial" w:hAnsi="Arial"/>
          <w:sz w:val="27"/>
          <w:szCs w:val="27"/>
          <w:color w:val="auto"/>
        </w:rPr>
        <w:t>):</w:t>
      </w:r>
      <w:r>
        <w:rPr>
          <w:rFonts w:ascii="Arial" w:cs="Arial" w:eastAsia="Arial" w:hAnsi="Arial"/>
          <w:sz w:val="27"/>
          <w:szCs w:val="27"/>
          <w:color w:val="auto"/>
        </w:rPr>
        <w:t xml:space="preserve"> ОХС </w:t>
      </w:r>
      <w:r>
        <w:rPr>
          <w:rFonts w:ascii="Arial" w:cs="Arial" w:eastAsia="Arial" w:hAnsi="Arial"/>
          <w:sz w:val="27"/>
          <w:szCs w:val="27"/>
          <w:color w:val="auto"/>
        </w:rPr>
        <w:t>&gt;4,9</w:t>
      </w:r>
    </w:p>
    <w:p>
      <w:pPr>
        <w:spacing w:after="0" w:line="80" w:lineRule="exact"/>
        <w:rPr>
          <w:sz w:val="20"/>
          <w:szCs w:val="20"/>
          <w:color w:val="auto"/>
        </w:rPr>
      </w:pPr>
    </w:p>
    <w:p>
      <w:pPr>
        <w:ind w:left="680"/>
        <w:spacing w:after="0"/>
        <w:tabs>
          <w:tab w:leader="none" w:pos="7360" w:val="left"/>
        </w:tabs>
        <w:rPr>
          <w:sz w:val="20"/>
          <w:szCs w:val="20"/>
          <w:color w:val="auto"/>
        </w:rPr>
      </w:pPr>
      <w:r>
        <w:rPr>
          <w:rFonts w:ascii="Arial" w:cs="Arial" w:eastAsia="Arial" w:hAnsi="Arial"/>
          <w:sz w:val="27"/>
          <w:szCs w:val="27"/>
          <w:color w:val="auto"/>
        </w:rPr>
        <w:t>ммоль</w:t>
      </w:r>
      <w:r>
        <w:rPr>
          <w:rFonts w:ascii="Arial" w:cs="Arial" w:eastAsia="Arial" w:hAnsi="Arial"/>
          <w:sz w:val="27"/>
          <w:szCs w:val="27"/>
          <w:color w:val="auto"/>
        </w:rPr>
        <w:t>/</w:t>
      </w:r>
      <w:r>
        <w:rPr>
          <w:rFonts w:ascii="Arial" w:cs="Arial" w:eastAsia="Arial" w:hAnsi="Arial"/>
          <w:sz w:val="27"/>
          <w:szCs w:val="27"/>
          <w:color w:val="auto"/>
        </w:rPr>
        <w:t>л и</w:t>
      </w:r>
      <w:r>
        <w:rPr>
          <w:rFonts w:ascii="Arial" w:cs="Arial" w:eastAsia="Arial" w:hAnsi="Arial"/>
          <w:sz w:val="27"/>
          <w:szCs w:val="27"/>
          <w:color w:val="auto"/>
        </w:rPr>
        <w:t>/</w:t>
      </w:r>
      <w:r>
        <w:rPr>
          <w:rFonts w:ascii="Arial" w:cs="Arial" w:eastAsia="Arial" w:hAnsi="Arial"/>
          <w:sz w:val="27"/>
          <w:szCs w:val="27"/>
          <w:color w:val="auto"/>
        </w:rPr>
        <w:t xml:space="preserve">или ХС ЛПНП </w:t>
      </w:r>
      <w:r>
        <w:rPr>
          <w:rFonts w:ascii="Arial" w:cs="Arial" w:eastAsia="Arial" w:hAnsi="Arial"/>
          <w:sz w:val="27"/>
          <w:szCs w:val="27"/>
          <w:color w:val="auto"/>
        </w:rPr>
        <w:t>&gt;3,0</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 и</w:t>
      </w:r>
      <w:r>
        <w:rPr>
          <w:rFonts w:ascii="Arial" w:cs="Arial" w:eastAsia="Arial" w:hAnsi="Arial"/>
          <w:sz w:val="27"/>
          <w:szCs w:val="27"/>
          <w:color w:val="auto"/>
        </w:rPr>
        <w:t>/</w:t>
      </w:r>
      <w:r>
        <w:rPr>
          <w:rFonts w:ascii="Arial" w:cs="Arial" w:eastAsia="Arial" w:hAnsi="Arial"/>
          <w:sz w:val="27"/>
          <w:szCs w:val="27"/>
          <w:color w:val="auto"/>
        </w:rPr>
        <w:t>или</w:t>
      </w:r>
      <w:r>
        <w:rPr>
          <w:sz w:val="20"/>
          <w:szCs w:val="20"/>
          <w:color w:val="auto"/>
        </w:rPr>
        <w:tab/>
      </w:r>
      <w:r>
        <w:rPr>
          <w:rFonts w:ascii="Arial" w:cs="Arial" w:eastAsia="Arial" w:hAnsi="Arial"/>
          <w:sz w:val="27"/>
          <w:szCs w:val="27"/>
          <w:color w:val="auto"/>
        </w:rPr>
        <w:t>ХС ЛПВП у</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мужчин </w:t>
      </w:r>
      <w:r>
        <w:rPr>
          <w:rFonts w:ascii="Arial" w:cs="Arial" w:eastAsia="Arial" w:hAnsi="Arial"/>
          <w:sz w:val="27"/>
          <w:szCs w:val="27"/>
          <w:color w:val="auto"/>
        </w:rPr>
        <w:t>— &lt;1,0</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(40</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дл</w:t>
      </w:r>
      <w:r>
        <w:rPr>
          <w:rFonts w:ascii="Arial" w:cs="Arial" w:eastAsia="Arial" w:hAnsi="Arial"/>
          <w:sz w:val="27"/>
          <w:szCs w:val="27"/>
          <w:color w:val="auto"/>
        </w:rPr>
        <w:t>),</w:t>
      </w:r>
      <w:r>
        <w:rPr>
          <w:rFonts w:ascii="Arial" w:cs="Arial" w:eastAsia="Arial" w:hAnsi="Arial"/>
          <w:sz w:val="27"/>
          <w:szCs w:val="27"/>
          <w:color w:val="auto"/>
        </w:rPr>
        <w:t xml:space="preserve"> у женщин </w:t>
      </w:r>
      <w:r>
        <w:rPr>
          <w:rFonts w:ascii="Arial" w:cs="Arial" w:eastAsia="Arial" w:hAnsi="Arial"/>
          <w:sz w:val="27"/>
          <w:szCs w:val="27"/>
          <w:color w:val="auto"/>
        </w:rPr>
        <w:t>— &lt;1,2</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(46 </w:t>
      </w:r>
      <w:r>
        <w:rPr>
          <w:rFonts w:ascii="Arial" w:cs="Arial" w:eastAsia="Arial" w:hAnsi="Arial"/>
          <w:sz w:val="27"/>
          <w:szCs w:val="27"/>
          <w:color w:val="auto"/>
        </w:rPr>
        <w:t>мг</w:t>
      </w:r>
      <w:r>
        <w:rPr>
          <w:rFonts w:ascii="Arial" w:cs="Arial" w:eastAsia="Arial" w:hAnsi="Arial"/>
          <w:sz w:val="27"/>
          <w:szCs w:val="27"/>
          <w:color w:val="auto"/>
        </w:rPr>
        <w:t>/</w:t>
      </w:r>
      <w:r>
        <w:rPr>
          <w:rFonts w:ascii="Arial" w:cs="Arial" w:eastAsia="Arial" w:hAnsi="Arial"/>
          <w:sz w:val="27"/>
          <w:szCs w:val="27"/>
          <w:color w:val="auto"/>
        </w:rPr>
        <w:t>дл</w:t>
      </w:r>
      <w:r>
        <w:rPr>
          <w:rFonts w:ascii="Arial" w:cs="Arial" w:eastAsia="Arial" w:hAnsi="Arial"/>
          <w:sz w:val="27"/>
          <w:szCs w:val="27"/>
          <w:color w:val="auto"/>
        </w:rPr>
        <w:t xml:space="preserve">) </w:t>
      </w:r>
      <w:r>
        <w:rPr>
          <w:rFonts w:ascii="Arial" w:cs="Arial" w:eastAsia="Arial" w:hAnsi="Arial"/>
          <w:sz w:val="27"/>
          <w:szCs w:val="27"/>
          <w:color w:val="auto"/>
        </w:rPr>
        <w:t>и</w:t>
      </w:r>
      <w:r>
        <w:rPr>
          <w:rFonts w:ascii="Arial" w:cs="Arial" w:eastAsia="Arial" w:hAnsi="Arial"/>
          <w:sz w:val="27"/>
          <w:szCs w:val="27"/>
          <w:color w:val="auto"/>
        </w:rPr>
        <w:t>/</w:t>
      </w:r>
      <w:r>
        <w:rPr>
          <w:rFonts w:ascii="Arial" w:cs="Arial" w:eastAsia="Arial" w:hAnsi="Arial"/>
          <w:sz w:val="27"/>
          <w:szCs w:val="27"/>
          <w:color w:val="auto"/>
        </w:rPr>
        <w:t>или триглицериды</w:t>
      </w:r>
      <w:r>
        <w:rPr>
          <w:rFonts w:ascii="Arial" w:cs="Arial" w:eastAsia="Arial" w:hAnsi="Arial"/>
          <w:sz w:val="27"/>
          <w:szCs w:val="27"/>
          <w:color w:val="auto"/>
        </w:rPr>
        <w:t xml:space="preserve"> &gt;1,7 </w:t>
      </w:r>
      <w:r>
        <w:rPr>
          <w:rFonts w:ascii="Arial" w:cs="Arial" w:eastAsia="Arial" w:hAnsi="Arial"/>
          <w:sz w:val="27"/>
          <w:szCs w:val="27"/>
          <w:color w:val="auto"/>
        </w:rPr>
        <w:t>ммоль</w:t>
      </w:r>
      <w:r>
        <w:rPr>
          <w:rFonts w:ascii="Arial" w:cs="Arial" w:eastAsia="Arial" w:hAnsi="Arial"/>
          <w:sz w:val="27"/>
          <w:szCs w:val="27"/>
          <w:color w:val="auto"/>
        </w:rPr>
        <w:t>/</w:t>
      </w:r>
      <w:r>
        <w:rPr>
          <w:rFonts w:ascii="Arial" w:cs="Arial" w:eastAsia="Arial" w:hAnsi="Arial"/>
          <w:sz w:val="27"/>
          <w:szCs w:val="27"/>
          <w:color w:val="auto"/>
        </w:rPr>
        <w:t>л</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Мочевая кислота </w:t>
      </w: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360</w:t>
      </w:r>
      <w:r>
        <w:rPr>
          <w:rFonts w:ascii="Arial" w:cs="Arial" w:eastAsia="Arial" w:hAnsi="Arial"/>
          <w:sz w:val="27"/>
          <w:szCs w:val="27"/>
          <w:color w:val="auto"/>
        </w:rPr>
        <w:t xml:space="preserve"> мкмоль</w:t>
      </w:r>
      <w:r>
        <w:rPr>
          <w:rFonts w:ascii="Arial" w:cs="Arial" w:eastAsia="Arial" w:hAnsi="Arial"/>
          <w:sz w:val="27"/>
          <w:szCs w:val="27"/>
          <w:color w:val="auto"/>
        </w:rPr>
        <w:t>/</w:t>
      </w:r>
      <w:r>
        <w:rPr>
          <w:rFonts w:ascii="Arial" w:cs="Arial" w:eastAsia="Arial" w:hAnsi="Arial"/>
          <w:sz w:val="27"/>
          <w:szCs w:val="27"/>
          <w:color w:val="auto"/>
        </w:rPr>
        <w:t>л у женщин</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420</w:t>
      </w:r>
      <w:r>
        <w:rPr>
          <w:rFonts w:ascii="Arial" w:cs="Arial" w:eastAsia="Arial" w:hAnsi="Arial"/>
          <w:sz w:val="27"/>
          <w:szCs w:val="27"/>
          <w:color w:val="auto"/>
        </w:rPr>
        <w:t xml:space="preserve"> мкмоль</w:t>
      </w:r>
      <w:r>
        <w:rPr>
          <w:rFonts w:ascii="Arial" w:cs="Arial" w:eastAsia="Arial" w:hAnsi="Arial"/>
          <w:sz w:val="27"/>
          <w:szCs w:val="27"/>
          <w:color w:val="auto"/>
        </w:rPr>
        <w:t>/</w:t>
      </w:r>
      <w:r>
        <w:rPr>
          <w:rFonts w:ascii="Arial" w:cs="Arial" w:eastAsia="Arial" w:hAnsi="Arial"/>
          <w:sz w:val="27"/>
          <w:szCs w:val="27"/>
          <w:color w:val="auto"/>
        </w:rPr>
        <w:t>л у</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-117475</wp:posOffset>
            </wp:positionV>
            <wp:extent cx="82550" cy="8255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59"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мужчин</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Нарушение гликемии натощак</w:t>
      </w:r>
      <w:r>
        <w:rPr>
          <w:rFonts w:ascii="Arial" w:cs="Arial" w:eastAsia="Arial" w:hAnsi="Arial"/>
          <w:sz w:val="27"/>
          <w:szCs w:val="27"/>
          <w:color w:val="auto"/>
        </w:rPr>
        <w:t>:</w:t>
      </w:r>
      <w:r>
        <w:rPr>
          <w:rFonts w:ascii="Arial" w:cs="Arial" w:eastAsia="Arial" w:hAnsi="Arial"/>
          <w:sz w:val="27"/>
          <w:szCs w:val="27"/>
          <w:color w:val="auto"/>
        </w:rPr>
        <w:t xml:space="preserve"> глюкоза плазмы натощак </w:t>
      </w:r>
      <w:r>
        <w:rPr>
          <w:rFonts w:ascii="Arial" w:cs="Arial" w:eastAsia="Arial" w:hAnsi="Arial"/>
          <w:sz w:val="27"/>
          <w:szCs w:val="27"/>
          <w:color w:val="auto"/>
        </w:rPr>
        <w:t>5,6–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6,9 </w:t>
      </w:r>
      <w:r>
        <w:rPr>
          <w:rFonts w:ascii="Arial" w:cs="Arial" w:eastAsia="Arial" w:hAnsi="Arial"/>
          <w:sz w:val="27"/>
          <w:szCs w:val="27"/>
          <w:color w:val="auto"/>
        </w:rPr>
        <w:t>ммоль</w:t>
      </w:r>
      <w:r>
        <w:rPr>
          <w:rFonts w:ascii="Arial" w:cs="Arial" w:eastAsia="Arial" w:hAnsi="Arial"/>
          <w:sz w:val="27"/>
          <w:szCs w:val="27"/>
          <w:color w:val="auto"/>
        </w:rPr>
        <w:t>/</w:t>
      </w:r>
      <w:r>
        <w:rPr>
          <w:rFonts w:ascii="Arial" w:cs="Arial" w:eastAsia="Arial" w:hAnsi="Arial"/>
          <w:sz w:val="27"/>
          <w:szCs w:val="27"/>
          <w:color w:val="auto"/>
        </w:rPr>
        <w:t>л</w:t>
      </w:r>
      <w:r>
        <w:rPr>
          <w:rFonts w:ascii="Arial" w:cs="Arial" w:eastAsia="Arial" w:hAnsi="Arial"/>
          <w:sz w:val="27"/>
          <w:szCs w:val="27"/>
          <w:color w:val="auto"/>
        </w:rPr>
        <w:t>;</w:t>
      </w:r>
    </w:p>
    <w:p>
      <w:pPr>
        <w:spacing w:after="0" w:line="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Нарушение толерантности к глюкозе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-97790</wp:posOffset>
            </wp:positionV>
            <wp:extent cx="82550" cy="8255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line="193" w:lineRule="auto"/>
        <w:rPr>
          <w:sz w:val="20"/>
          <w:szCs w:val="20"/>
          <w:color w:val="auto"/>
        </w:rPr>
      </w:pPr>
      <w:r>
        <w:rPr>
          <w:rFonts w:ascii="Arial" w:cs="Arial" w:eastAsia="Arial" w:hAnsi="Arial"/>
          <w:sz w:val="27"/>
          <w:szCs w:val="27"/>
          <w:color w:val="auto"/>
        </w:rPr>
        <w:t xml:space="preserve">Избыточная масса тела </w:t>
      </w:r>
      <w:r>
        <w:rPr>
          <w:rFonts w:ascii="Arial" w:cs="Arial" w:eastAsia="Arial" w:hAnsi="Arial"/>
          <w:sz w:val="27"/>
          <w:szCs w:val="27"/>
          <w:color w:val="auto"/>
        </w:rPr>
        <w:t>(</w:t>
      </w:r>
      <w:r>
        <w:rPr>
          <w:rFonts w:ascii="Arial" w:cs="Arial" w:eastAsia="Arial" w:hAnsi="Arial"/>
          <w:sz w:val="27"/>
          <w:szCs w:val="27"/>
          <w:color w:val="auto"/>
        </w:rPr>
        <w:t xml:space="preserve">ИМТ </w:t>
      </w:r>
      <w:r>
        <w:rPr>
          <w:rFonts w:ascii="Arial" w:cs="Arial" w:eastAsia="Arial" w:hAnsi="Arial"/>
          <w:sz w:val="27"/>
          <w:szCs w:val="27"/>
          <w:color w:val="auto"/>
        </w:rPr>
        <w:t>25-29,9</w:t>
      </w:r>
      <w:r>
        <w:rPr>
          <w:rFonts w:ascii="Arial" w:cs="Arial" w:eastAsia="Arial" w:hAnsi="Arial"/>
          <w:sz w:val="27"/>
          <w:szCs w:val="27"/>
          <w:color w:val="auto"/>
        </w:rPr>
        <w:t xml:space="preserve"> кг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w:t>
      </w:r>
      <w:r>
        <w:rPr>
          <w:rFonts w:ascii="Arial" w:cs="Arial" w:eastAsia="Arial" w:hAnsi="Arial"/>
          <w:sz w:val="27"/>
          <w:szCs w:val="27"/>
          <w:color w:val="auto"/>
        </w:rPr>
        <w:t xml:space="preserve"> или ожирение</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-167005</wp:posOffset>
            </wp:positionV>
            <wp:extent cx="82550" cy="8255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line="181" w:lineRule="auto"/>
        <w:rPr>
          <w:sz w:val="20"/>
          <w:szCs w:val="20"/>
          <w:color w:val="auto"/>
        </w:rPr>
      </w:pPr>
      <w:r>
        <w:rPr>
          <w:rFonts w:ascii="Arial" w:cs="Arial" w:eastAsia="Arial" w:hAnsi="Arial"/>
          <w:sz w:val="24"/>
          <w:szCs w:val="24"/>
          <w:color w:val="auto"/>
        </w:rPr>
        <w:t>(</w:t>
      </w:r>
      <w:r>
        <w:rPr>
          <w:rFonts w:ascii="Arial" w:cs="Arial" w:eastAsia="Arial" w:hAnsi="Arial"/>
          <w:sz w:val="24"/>
          <w:szCs w:val="24"/>
          <w:color w:val="auto"/>
        </w:rPr>
        <w:t>ИМТ</w:t>
      </w:r>
      <w:r>
        <w:rPr>
          <w:rFonts w:ascii="Arial" w:cs="Arial" w:eastAsia="Arial" w:hAnsi="Arial"/>
          <w:sz w:val="24"/>
          <w:szCs w:val="24"/>
          <w:color w:val="auto"/>
        </w:rPr>
        <w:t xml:space="preserve"> </w:t>
      </w:r>
      <w:r>
        <w:rPr>
          <w:rFonts w:ascii="Times New Roman" w:cs="Times New Roman" w:eastAsia="Times New Roman" w:hAnsi="Times New Roman"/>
          <w:sz w:val="24"/>
          <w:szCs w:val="24"/>
          <w:color w:val="auto"/>
        </w:rPr>
        <w:t>≥</w:t>
      </w:r>
      <w:r>
        <w:rPr>
          <w:rFonts w:ascii="Arial" w:cs="Arial" w:eastAsia="Arial" w:hAnsi="Arial"/>
          <w:sz w:val="24"/>
          <w:szCs w:val="24"/>
          <w:color w:val="auto"/>
        </w:rPr>
        <w:t xml:space="preserve"> 30 </w:t>
      </w:r>
      <w:r>
        <w:rPr>
          <w:rFonts w:ascii="Arial" w:cs="Arial" w:eastAsia="Arial" w:hAnsi="Arial"/>
          <w:sz w:val="24"/>
          <w:szCs w:val="24"/>
          <w:color w:val="auto"/>
        </w:rPr>
        <w:t>кг</w:t>
      </w:r>
      <w:r>
        <w:rPr>
          <w:rFonts w:ascii="Arial" w:cs="Arial" w:eastAsia="Arial" w:hAnsi="Arial"/>
          <w:sz w:val="24"/>
          <w:szCs w:val="24"/>
          <w:color w:val="auto"/>
        </w:rPr>
        <w:t>/</w:t>
      </w:r>
      <w:r>
        <w:rPr>
          <w:rFonts w:ascii="Arial" w:cs="Arial" w:eastAsia="Arial" w:hAnsi="Arial"/>
          <w:sz w:val="24"/>
          <w:szCs w:val="24"/>
          <w:color w:val="auto"/>
        </w:rPr>
        <w:t>м</w:t>
      </w:r>
      <w:r>
        <w:rPr>
          <w:rFonts w:ascii="Arial" w:cs="Arial" w:eastAsia="Arial" w:hAnsi="Arial"/>
          <w:sz w:val="45"/>
          <w:szCs w:val="45"/>
          <w:color w:val="auto"/>
          <w:vertAlign w:val="superscript"/>
        </w:rPr>
        <w:t>2</w:t>
      </w:r>
      <w:r>
        <w:rPr>
          <w:rFonts w:ascii="Arial" w:cs="Arial" w:eastAsia="Arial" w:hAnsi="Arial"/>
          <w:sz w:val="24"/>
          <w:szCs w:val="24"/>
          <w:color w:val="auto"/>
        </w:rPr>
        <w:t>);</w:t>
      </w:r>
    </w:p>
    <w:p>
      <w:pPr>
        <w:ind w:left="680"/>
        <w:spacing w:after="0"/>
        <w:rPr>
          <w:sz w:val="20"/>
          <w:szCs w:val="20"/>
          <w:color w:val="auto"/>
        </w:rPr>
      </w:pPr>
      <w:r>
        <w:rPr>
          <w:rFonts w:ascii="Arial" w:cs="Arial" w:eastAsia="Arial" w:hAnsi="Arial"/>
          <w:sz w:val="26"/>
          <w:szCs w:val="26"/>
          <w:color w:val="auto"/>
        </w:rPr>
        <w:t xml:space="preserve">Семейный анамнез развития ССЗ в молодом возрасте </w:t>
      </w:r>
      <w:r>
        <w:rPr>
          <w:rFonts w:ascii="Arial" w:cs="Arial" w:eastAsia="Arial" w:hAnsi="Arial"/>
          <w:sz w:val="26"/>
          <w:szCs w:val="26"/>
          <w:color w:val="auto"/>
        </w:rPr>
        <w:t>(&lt; 55</w:t>
      </w:r>
      <w:r>
        <w:rPr>
          <w:rFonts w:ascii="Arial" w:cs="Arial" w:eastAsia="Arial" w:hAnsi="Arial"/>
          <w:sz w:val="26"/>
          <w:szCs w:val="26"/>
          <w:color w:val="auto"/>
        </w:rPr>
        <w:t xml:space="preserve"> лет</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-109220</wp:posOffset>
            </wp:positionV>
            <wp:extent cx="82550" cy="8255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71"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для мужчин и </w:t>
      </w:r>
      <w:r>
        <w:rPr>
          <w:rFonts w:ascii="Arial" w:cs="Arial" w:eastAsia="Arial" w:hAnsi="Arial"/>
          <w:sz w:val="27"/>
          <w:szCs w:val="27"/>
          <w:color w:val="auto"/>
        </w:rPr>
        <w:t>&lt;65</w:t>
      </w:r>
      <w:r>
        <w:rPr>
          <w:rFonts w:ascii="Arial" w:cs="Arial" w:eastAsia="Arial" w:hAnsi="Arial"/>
          <w:sz w:val="27"/>
          <w:szCs w:val="27"/>
          <w:color w:val="auto"/>
        </w:rPr>
        <w:t xml:space="preserve"> лет для женщин</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Развитие АГ в молодом возрасте у родителей или в семье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Ранняя менопауза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Малоподвижный образ жизни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right="600"/>
        <w:spacing w:after="0" w:line="356" w:lineRule="auto"/>
        <w:rPr>
          <w:sz w:val="20"/>
          <w:szCs w:val="20"/>
          <w:color w:val="auto"/>
        </w:rPr>
      </w:pPr>
      <w:r>
        <w:rPr>
          <w:rFonts w:ascii="Arial" w:cs="Arial" w:eastAsia="Arial" w:hAnsi="Arial"/>
          <w:sz w:val="26"/>
          <w:szCs w:val="26"/>
          <w:color w:val="auto"/>
        </w:rPr>
        <w:t>Психологические и социально</w:t>
      </w:r>
      <w:r>
        <w:rPr>
          <w:rFonts w:ascii="Arial" w:cs="Arial" w:eastAsia="Arial" w:hAnsi="Arial"/>
          <w:sz w:val="26"/>
          <w:szCs w:val="26"/>
          <w:color w:val="auto"/>
        </w:rPr>
        <w:t>-</w:t>
      </w:r>
      <w:r>
        <w:rPr>
          <w:rFonts w:ascii="Arial" w:cs="Arial" w:eastAsia="Arial" w:hAnsi="Arial"/>
          <w:sz w:val="26"/>
          <w:szCs w:val="26"/>
          <w:color w:val="auto"/>
        </w:rPr>
        <w:t>экономические факторы</w:t>
      </w:r>
      <w:r>
        <w:rPr>
          <w:rFonts w:ascii="Arial" w:cs="Arial" w:eastAsia="Arial" w:hAnsi="Arial"/>
          <w:sz w:val="26"/>
          <w:szCs w:val="26"/>
          <w:color w:val="auto"/>
        </w:rPr>
        <w:t>;</w:t>
      </w:r>
      <w:r>
        <w:rPr>
          <w:rFonts w:ascii="Arial" w:cs="Arial" w:eastAsia="Arial" w:hAnsi="Arial"/>
          <w:sz w:val="26"/>
          <w:szCs w:val="26"/>
          <w:color w:val="auto"/>
        </w:rPr>
        <w:t xml:space="preserve"> Частота сердечных сокращений в покое </w:t>
      </w:r>
      <w:r>
        <w:rPr>
          <w:rFonts w:ascii="Arial" w:cs="Arial" w:eastAsia="Arial" w:hAnsi="Arial"/>
          <w:sz w:val="26"/>
          <w:szCs w:val="26"/>
          <w:color w:val="auto"/>
        </w:rPr>
        <w:t>&gt;80</w:t>
      </w:r>
      <w:r>
        <w:rPr>
          <w:rFonts w:ascii="Arial" w:cs="Arial" w:eastAsia="Arial" w:hAnsi="Arial"/>
          <w:sz w:val="26"/>
          <w:szCs w:val="26"/>
          <w:color w:val="auto"/>
        </w:rPr>
        <w:t xml:space="preserve"> ударов в минуту</w:t>
      </w:r>
      <w:r>
        <w:rPr>
          <w:rFonts w:ascii="Arial" w:cs="Arial" w:eastAsia="Arial" w:hAnsi="Arial"/>
          <w:sz w:val="26"/>
          <w:szCs w:val="26"/>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-482600</wp:posOffset>
            </wp:positionV>
            <wp:extent cx="82550" cy="8255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-234950</wp:posOffset>
            </wp:positionV>
            <wp:extent cx="82550" cy="8255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43"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Стадия </w:t>
      </w:r>
      <w:r>
        <w:rPr>
          <w:rFonts w:ascii="Arial" w:cs="Arial" w:eastAsia="Arial" w:hAnsi="Arial"/>
          <w:sz w:val="27"/>
          <w:szCs w:val="27"/>
          <w:b w:val="1"/>
          <w:bCs w:val="1"/>
          <w:color w:val="auto"/>
        </w:rPr>
        <w:t>II</w:t>
      </w:r>
      <w:r>
        <w:rPr>
          <w:rFonts w:ascii="Arial" w:cs="Arial" w:eastAsia="Arial" w:hAnsi="Arial"/>
          <w:sz w:val="27"/>
          <w:szCs w:val="27"/>
          <w:b w:val="1"/>
          <w:bCs w:val="1"/>
          <w:color w:val="auto"/>
        </w:rPr>
        <w:t xml:space="preserve"> </w:t>
      </w:r>
      <w:r>
        <w:rPr>
          <w:rFonts w:ascii="Arial" w:cs="Arial" w:eastAsia="Arial" w:hAnsi="Arial"/>
          <w:sz w:val="27"/>
          <w:szCs w:val="27"/>
          <w:color w:val="auto"/>
        </w:rPr>
        <w:t>подразумевает наличие бессимптомного поражения</w:t>
      </w:r>
      <w:r>
        <w:rPr>
          <w:rFonts w:ascii="Arial" w:cs="Arial" w:eastAsia="Arial" w:hAnsi="Arial"/>
          <w:sz w:val="27"/>
          <w:szCs w:val="27"/>
          <w:b w:val="1"/>
          <w:bCs w:val="1"/>
          <w:color w:val="auto"/>
        </w:rPr>
        <w:t xml:space="preserve"> </w:t>
      </w:r>
      <w:r>
        <w:rPr>
          <w:rFonts w:ascii="Arial" w:cs="Arial" w:eastAsia="Arial" w:hAnsi="Arial"/>
          <w:sz w:val="27"/>
          <w:szCs w:val="27"/>
          <w:color w:val="auto"/>
        </w:rPr>
        <w:t>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r>
        <w:rPr>
          <w:rFonts w:ascii="Arial" w:cs="Arial" w:eastAsia="Arial" w:hAnsi="Arial"/>
          <w:sz w:val="27"/>
          <w:szCs w:val="27"/>
          <w:color w:val="auto"/>
        </w:rPr>
        <w:t xml:space="preserve"> связанного с АГ и</w:t>
      </w:r>
      <w:r>
        <w:rPr>
          <w:rFonts w:ascii="Arial" w:cs="Arial" w:eastAsia="Arial" w:hAnsi="Arial"/>
          <w:sz w:val="27"/>
          <w:szCs w:val="27"/>
          <w:color w:val="auto"/>
        </w:rPr>
        <w:t>/</w:t>
      </w:r>
      <w:r>
        <w:rPr>
          <w:rFonts w:ascii="Arial" w:cs="Arial" w:eastAsia="Arial" w:hAnsi="Arial"/>
          <w:sz w:val="27"/>
          <w:szCs w:val="27"/>
          <w:color w:val="auto"/>
        </w:rPr>
        <w:t>или ХБП С</w:t>
      </w:r>
      <w:r>
        <w:rPr>
          <w:rFonts w:ascii="Arial" w:cs="Arial" w:eastAsia="Arial" w:hAnsi="Arial"/>
          <w:sz w:val="27"/>
          <w:szCs w:val="27"/>
          <w:color w:val="auto"/>
        </w:rPr>
        <w:t>3 (</w:t>
      </w:r>
      <w:r>
        <w:rPr>
          <w:rFonts w:ascii="Arial" w:cs="Arial" w:eastAsia="Arial" w:hAnsi="Arial"/>
          <w:sz w:val="27"/>
          <w:szCs w:val="27"/>
          <w:color w:val="auto"/>
        </w:rPr>
        <w:t xml:space="preserve">СКФ </w:t>
      </w:r>
      <w:r>
        <w:rPr>
          <w:rFonts w:ascii="Arial" w:cs="Arial" w:eastAsia="Arial" w:hAnsi="Arial"/>
          <w:sz w:val="27"/>
          <w:szCs w:val="27"/>
          <w:color w:val="auto"/>
        </w:rPr>
        <w:t>30–59</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 xml:space="preserve"> мин</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или СД без поражения органов</w:t>
      </w:r>
      <w:r>
        <w:rPr>
          <w:rFonts w:ascii="Arial" w:cs="Arial" w:eastAsia="Arial" w:hAnsi="Arial"/>
          <w:sz w:val="27"/>
          <w:szCs w:val="27"/>
          <w:color w:val="auto"/>
        </w:rPr>
        <w:t>-</w:t>
      </w:r>
      <w:r>
        <w:rPr>
          <w:rFonts w:ascii="Arial" w:cs="Arial" w:eastAsia="Arial" w:hAnsi="Arial"/>
          <w:sz w:val="27"/>
          <w:szCs w:val="27"/>
          <w:color w:val="auto"/>
        </w:rPr>
        <w:t>мишеней и предполагает отсутствие АКС</w:t>
      </w:r>
      <w:r>
        <w:rPr>
          <w:rFonts w:ascii="Arial" w:cs="Arial" w:eastAsia="Arial" w:hAnsi="Arial"/>
          <w:sz w:val="27"/>
          <w:szCs w:val="27"/>
          <w:color w:val="auto"/>
        </w:rPr>
        <w:t>.</w:t>
      </w:r>
    </w:p>
    <w:p>
      <w:pPr>
        <w:spacing w:after="0" w:line="21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Бессимптомное ПОМ</w:t>
      </w:r>
      <w:r>
        <w:rPr>
          <w:rFonts w:ascii="Arial" w:cs="Arial" w:eastAsia="Arial" w:hAnsi="Arial"/>
          <w:sz w:val="27"/>
          <w:szCs w:val="27"/>
          <w:color w:val="auto"/>
        </w:rPr>
        <w:t>:</w:t>
      </w:r>
    </w:p>
    <w:p>
      <w:pPr>
        <w:spacing w:after="0" w:line="350" w:lineRule="exact"/>
        <w:rPr>
          <w:sz w:val="20"/>
          <w:szCs w:val="20"/>
          <w:color w:val="auto"/>
        </w:rPr>
      </w:pPr>
    </w:p>
    <w:p>
      <w:pPr>
        <w:ind w:left="540" w:hanging="179"/>
        <w:spacing w:after="0"/>
        <w:tabs>
          <w:tab w:leader="none" w:pos="540" w:val="left"/>
        </w:tabs>
        <w:numPr>
          <w:ilvl w:val="0"/>
          <w:numId w:val="5"/>
        </w:numPr>
        <w:rPr>
          <w:rFonts w:ascii="Arial" w:cs="Arial" w:eastAsia="Arial" w:hAnsi="Arial"/>
          <w:sz w:val="27"/>
          <w:szCs w:val="27"/>
          <w:color w:val="auto"/>
        </w:rPr>
      </w:pPr>
      <w:r>
        <w:rPr>
          <w:rFonts w:ascii="Arial" w:cs="Arial" w:eastAsia="Arial" w:hAnsi="Arial"/>
          <w:sz w:val="27"/>
          <w:szCs w:val="27"/>
          <w:color w:val="auto"/>
        </w:rPr>
        <w:t>Артериальная жесткость</w:t>
      </w:r>
      <w:r>
        <w:rPr>
          <w:rFonts w:ascii="Arial" w:cs="Arial" w:eastAsia="Arial" w:hAnsi="Arial"/>
          <w:sz w:val="27"/>
          <w:szCs w:val="27"/>
          <w:color w:val="auto"/>
        </w:rPr>
        <w:t>:</w:t>
      </w:r>
    </w:p>
    <w:p>
      <w:pPr>
        <w:sectPr>
          <w:pgSz w:w="11900" w:h="16857" w:orient="portrait"/>
          <w:cols w:equalWidth="0" w:num="1">
            <w:col w:w="9020"/>
          </w:cols>
          <w:pgMar w:left="1440" w:top="19" w:right="1440" w:bottom="0" w:gutter="0" w:footer="0" w:header="0"/>
        </w:sectPr>
      </w:pPr>
    </w:p>
    <w:bookmarkStart w:id="20" w:name="page21"/>
    <w:bookmarkEnd w:id="20"/>
    <w:p>
      <w:pPr>
        <w:spacing w:after="0" w:line="56" w:lineRule="exact"/>
        <w:rPr>
          <w:sz w:val="20"/>
          <w:szCs w:val="20"/>
          <w:color w:val="auto"/>
        </w:rPr>
      </w:pPr>
    </w:p>
    <w:p>
      <w:pPr>
        <w:ind w:left="360" w:right="660"/>
        <w:spacing w:after="0" w:line="509" w:lineRule="auto"/>
        <w:rPr>
          <w:sz w:val="20"/>
          <w:szCs w:val="20"/>
          <w:color w:val="auto"/>
        </w:rPr>
      </w:pPr>
      <w:r>
        <w:rPr>
          <w:rFonts w:ascii="Arial" w:cs="Arial" w:eastAsia="Arial" w:hAnsi="Arial"/>
          <w:sz w:val="27"/>
          <w:szCs w:val="27"/>
          <w:color w:val="auto"/>
        </w:rPr>
        <w:t xml:space="preserve">Пульсовое давление </w:t>
      </w:r>
      <w:r>
        <w:rPr>
          <w:rFonts w:ascii="Arial" w:cs="Arial" w:eastAsia="Arial" w:hAnsi="Arial"/>
          <w:sz w:val="27"/>
          <w:szCs w:val="27"/>
          <w:color w:val="auto"/>
        </w:rPr>
        <w:t>(</w:t>
      </w:r>
      <w:r>
        <w:rPr>
          <w:rFonts w:ascii="Arial" w:cs="Arial" w:eastAsia="Arial" w:hAnsi="Arial"/>
          <w:sz w:val="27"/>
          <w:szCs w:val="27"/>
          <w:color w:val="auto"/>
        </w:rPr>
        <w:t>ПД</w:t>
      </w:r>
      <w:r>
        <w:rPr>
          <w:rFonts w:ascii="Arial" w:cs="Arial" w:eastAsia="Arial" w:hAnsi="Arial"/>
          <w:sz w:val="27"/>
          <w:szCs w:val="27"/>
          <w:color w:val="auto"/>
        </w:rPr>
        <w:t>) (</w:t>
      </w:r>
      <w:r>
        <w:rPr>
          <w:rFonts w:ascii="Arial" w:cs="Arial" w:eastAsia="Arial" w:hAnsi="Arial"/>
          <w:sz w:val="27"/>
          <w:szCs w:val="27"/>
          <w:color w:val="auto"/>
        </w:rPr>
        <w:t>у пожилых пациентов</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60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Каротидно</w:t>
      </w:r>
      <w:r>
        <w:rPr>
          <w:rFonts w:ascii="Arial" w:cs="Arial" w:eastAsia="Arial" w:hAnsi="Arial"/>
          <w:sz w:val="27"/>
          <w:szCs w:val="27"/>
          <w:color w:val="auto"/>
        </w:rPr>
        <w:t>-</w:t>
      </w:r>
      <w:r>
        <w:rPr>
          <w:rFonts w:ascii="Arial" w:cs="Arial" w:eastAsia="Arial" w:hAnsi="Arial"/>
          <w:sz w:val="27"/>
          <w:szCs w:val="27"/>
          <w:color w:val="auto"/>
        </w:rPr>
        <w:t xml:space="preserve">феморальная СПВ </w:t>
      </w:r>
      <w:r>
        <w:rPr>
          <w:rFonts w:ascii="Arial" w:cs="Arial" w:eastAsia="Arial" w:hAnsi="Arial"/>
          <w:sz w:val="27"/>
          <w:szCs w:val="27"/>
          <w:color w:val="auto"/>
        </w:rPr>
        <w:t>&gt;10</w:t>
      </w:r>
      <w:r>
        <w:rPr>
          <w:rFonts w:ascii="Arial" w:cs="Arial" w:eastAsia="Arial" w:hAnsi="Arial"/>
          <w:sz w:val="27"/>
          <w:szCs w:val="27"/>
          <w:color w:val="auto"/>
        </w:rPr>
        <w:t xml:space="preserve"> м</w:t>
      </w:r>
      <w:r>
        <w:rPr>
          <w:rFonts w:ascii="Arial" w:cs="Arial" w:eastAsia="Arial" w:hAnsi="Arial"/>
          <w:sz w:val="27"/>
          <w:szCs w:val="27"/>
          <w:color w:val="auto"/>
        </w:rPr>
        <w:t>/</w:t>
      </w:r>
      <w:r>
        <w:rPr>
          <w:rFonts w:ascii="Arial" w:cs="Arial" w:eastAsia="Arial" w:hAnsi="Arial"/>
          <w:sz w:val="27"/>
          <w:szCs w:val="27"/>
          <w:color w:val="auto"/>
        </w:rPr>
        <w:t>с</w:t>
      </w:r>
    </w:p>
    <w:p>
      <w:pPr>
        <w:spacing w:after="0" w:line="1"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w:t>
      </w:r>
      <w:r>
        <w:rPr>
          <w:rFonts w:ascii="Arial" w:cs="Arial" w:eastAsia="Arial" w:hAnsi="Arial"/>
          <w:sz w:val="27"/>
          <w:szCs w:val="27"/>
          <w:color w:val="auto"/>
        </w:rPr>
        <w:t>Электрокардиографические</w:t>
      </w:r>
      <w:r>
        <w:rPr>
          <w:rFonts w:ascii="Arial" w:cs="Arial" w:eastAsia="Arial" w:hAnsi="Arial"/>
          <w:sz w:val="27"/>
          <w:szCs w:val="27"/>
          <w:color w:val="auto"/>
        </w:rPr>
        <w:t xml:space="preserve"> (</w:t>
      </w:r>
      <w:r>
        <w:rPr>
          <w:rFonts w:ascii="Arial" w:cs="Arial" w:eastAsia="Arial" w:hAnsi="Arial"/>
          <w:sz w:val="27"/>
          <w:szCs w:val="27"/>
          <w:color w:val="auto"/>
        </w:rPr>
        <w:t>ЭКГ</w:t>
      </w:r>
      <w:r>
        <w:rPr>
          <w:rFonts w:ascii="Arial" w:cs="Arial" w:eastAsia="Arial" w:hAnsi="Arial"/>
          <w:sz w:val="27"/>
          <w:szCs w:val="27"/>
          <w:color w:val="auto"/>
        </w:rPr>
        <w:t xml:space="preserve">) </w:t>
      </w:r>
      <w:r>
        <w:rPr>
          <w:rFonts w:ascii="Arial" w:cs="Arial" w:eastAsia="Arial" w:hAnsi="Arial"/>
          <w:sz w:val="27"/>
          <w:szCs w:val="27"/>
          <w:color w:val="auto"/>
        </w:rPr>
        <w:t>признаки ГЛЖ на</w:t>
      </w:r>
      <w:r>
        <w:rPr>
          <w:rFonts w:ascii="Arial" w:cs="Arial" w:eastAsia="Arial" w:hAnsi="Arial"/>
          <w:sz w:val="27"/>
          <w:szCs w:val="27"/>
          <w:color w:val="auto"/>
        </w:rPr>
        <w:t xml:space="preserve"> (</w:t>
      </w:r>
      <w:r>
        <w:rPr>
          <w:rFonts w:ascii="Arial" w:cs="Arial" w:eastAsia="Arial" w:hAnsi="Arial"/>
          <w:sz w:val="27"/>
          <w:szCs w:val="27"/>
          <w:color w:val="auto"/>
        </w:rPr>
        <w:t>индекс</w:t>
      </w:r>
      <w:r>
        <w:rPr>
          <w:rFonts w:ascii="Arial" w:cs="Arial" w:eastAsia="Arial" w:hAnsi="Arial"/>
          <w:sz w:val="27"/>
          <w:szCs w:val="27"/>
          <w:color w:val="auto"/>
        </w:rPr>
        <w:t xml:space="preserve"> </w:t>
      </w:r>
      <w:r>
        <w:rPr>
          <w:rFonts w:ascii="Arial" w:cs="Arial" w:eastAsia="Arial" w:hAnsi="Arial"/>
          <w:sz w:val="27"/>
          <w:szCs w:val="27"/>
          <w:color w:val="auto"/>
        </w:rPr>
        <w:t>Соколова</w:t>
      </w:r>
      <w:r>
        <w:rPr>
          <w:rFonts w:ascii="Arial" w:cs="Arial" w:eastAsia="Arial" w:hAnsi="Arial"/>
          <w:sz w:val="27"/>
          <w:szCs w:val="27"/>
          <w:color w:val="auto"/>
        </w:rPr>
        <w:t>–</w:t>
      </w:r>
      <w:r>
        <w:rPr>
          <w:rFonts w:ascii="Arial" w:cs="Arial" w:eastAsia="Arial" w:hAnsi="Arial"/>
          <w:sz w:val="27"/>
          <w:szCs w:val="27"/>
          <w:color w:val="auto"/>
        </w:rPr>
        <w:t xml:space="preserve">Лайона </w:t>
      </w:r>
      <w:r>
        <w:rPr>
          <w:rFonts w:ascii="Arial" w:cs="Arial" w:eastAsia="Arial" w:hAnsi="Arial"/>
          <w:sz w:val="27"/>
          <w:szCs w:val="27"/>
          <w:color w:val="auto"/>
        </w:rPr>
        <w:t>&gt; 35</w:t>
      </w:r>
      <w:r>
        <w:rPr>
          <w:rFonts w:ascii="Arial" w:cs="Arial" w:eastAsia="Arial" w:hAnsi="Arial"/>
          <w:sz w:val="27"/>
          <w:szCs w:val="27"/>
          <w:color w:val="auto"/>
        </w:rPr>
        <w:t xml:space="preserve"> мм</w:t>
      </w:r>
      <w:r>
        <w:rPr>
          <w:rFonts w:ascii="Arial" w:cs="Arial" w:eastAsia="Arial" w:hAnsi="Arial"/>
          <w:sz w:val="27"/>
          <w:szCs w:val="27"/>
          <w:color w:val="auto"/>
        </w:rPr>
        <w:t>,</w:t>
      </w:r>
      <w:r>
        <w:rPr>
          <w:rFonts w:ascii="Arial" w:cs="Arial" w:eastAsia="Arial" w:hAnsi="Arial"/>
          <w:sz w:val="27"/>
          <w:szCs w:val="27"/>
          <w:color w:val="auto"/>
        </w:rPr>
        <w:t xml:space="preserve"> или амплитуда зубца </w:t>
      </w:r>
      <w:r>
        <w:rPr>
          <w:rFonts w:ascii="Arial" w:cs="Arial" w:eastAsia="Arial" w:hAnsi="Arial"/>
          <w:sz w:val="27"/>
          <w:szCs w:val="27"/>
          <w:color w:val="auto"/>
        </w:rPr>
        <w:t>R</w:t>
      </w:r>
      <w:r>
        <w:rPr>
          <w:rFonts w:ascii="Arial" w:cs="Arial" w:eastAsia="Arial" w:hAnsi="Arial"/>
          <w:sz w:val="27"/>
          <w:szCs w:val="27"/>
          <w:color w:val="auto"/>
        </w:rPr>
        <w:t xml:space="preserve"> в отведении </w:t>
      </w:r>
      <w:r>
        <w:rPr>
          <w:rFonts w:ascii="Arial" w:cs="Arial" w:eastAsia="Arial" w:hAnsi="Arial"/>
          <w:sz w:val="27"/>
          <w:szCs w:val="27"/>
          <w:color w:val="auto"/>
        </w:rPr>
        <w:t xml:space="preserve">aVL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11 </w:t>
      </w:r>
      <w:r>
        <w:rPr>
          <w:rFonts w:ascii="Arial" w:cs="Arial" w:eastAsia="Arial" w:hAnsi="Arial"/>
          <w:sz w:val="27"/>
          <w:szCs w:val="27"/>
          <w:color w:val="auto"/>
        </w:rPr>
        <w:t>мм</w:t>
      </w:r>
      <w:r>
        <w:rPr>
          <w:rFonts w:ascii="Arial" w:cs="Arial" w:eastAsia="Arial" w:hAnsi="Arial"/>
          <w:sz w:val="27"/>
          <w:szCs w:val="27"/>
          <w:color w:val="auto"/>
        </w:rPr>
        <w:t xml:space="preserve">, </w:t>
      </w:r>
      <w:r>
        <w:rPr>
          <w:rFonts w:ascii="Arial" w:cs="Arial" w:eastAsia="Arial" w:hAnsi="Arial"/>
          <w:sz w:val="27"/>
          <w:szCs w:val="27"/>
          <w:color w:val="auto"/>
        </w:rPr>
        <w:t>корнельское произведение</w:t>
      </w:r>
      <w:r>
        <w:rPr>
          <w:rFonts w:ascii="Arial" w:cs="Arial" w:eastAsia="Arial" w:hAnsi="Arial"/>
          <w:sz w:val="27"/>
          <w:szCs w:val="27"/>
          <w:color w:val="auto"/>
        </w:rPr>
        <w:t xml:space="preserve"> &gt;2440 </w:t>
      </w:r>
      <w:r>
        <w:rPr>
          <w:rFonts w:ascii="Arial" w:cs="Arial" w:eastAsia="Arial" w:hAnsi="Arial"/>
          <w:sz w:val="27"/>
          <w:szCs w:val="27"/>
          <w:color w:val="auto"/>
        </w:rPr>
        <w:t>мм</w:t>
      </w:r>
      <w:r>
        <w:rPr>
          <w:rFonts w:ascii="Arial" w:cs="Arial" w:eastAsia="Arial" w:hAnsi="Arial"/>
          <w:sz w:val="27"/>
          <w:szCs w:val="27"/>
          <w:color w:val="auto"/>
        </w:rPr>
        <w:t xml:space="preserve"> x </w:t>
      </w:r>
      <w:r>
        <w:rPr>
          <w:rFonts w:ascii="Arial" w:cs="Arial" w:eastAsia="Arial" w:hAnsi="Arial"/>
          <w:sz w:val="27"/>
          <w:szCs w:val="27"/>
          <w:color w:val="auto"/>
        </w:rPr>
        <w:t>мс или</w:t>
      </w:r>
      <w:r>
        <w:rPr>
          <w:rFonts w:ascii="Arial" w:cs="Arial" w:eastAsia="Arial" w:hAnsi="Arial"/>
          <w:sz w:val="27"/>
          <w:szCs w:val="27"/>
          <w:color w:val="auto"/>
        </w:rPr>
        <w:t xml:space="preserve"> </w:t>
      </w:r>
      <w:r>
        <w:rPr>
          <w:rFonts w:ascii="Arial" w:cs="Arial" w:eastAsia="Arial" w:hAnsi="Arial"/>
          <w:sz w:val="27"/>
          <w:szCs w:val="27"/>
          <w:color w:val="auto"/>
        </w:rPr>
        <w:t xml:space="preserve">корнельский вольтажный индекс </w:t>
      </w:r>
      <w:r>
        <w:rPr>
          <w:rFonts w:ascii="Arial" w:cs="Arial" w:eastAsia="Arial" w:hAnsi="Arial"/>
          <w:sz w:val="27"/>
          <w:szCs w:val="27"/>
          <w:color w:val="auto"/>
        </w:rPr>
        <w:t>&gt;28</w:t>
      </w:r>
      <w:r>
        <w:rPr>
          <w:rFonts w:ascii="Arial" w:cs="Arial" w:eastAsia="Arial" w:hAnsi="Arial"/>
          <w:sz w:val="27"/>
          <w:szCs w:val="27"/>
          <w:color w:val="auto"/>
        </w:rPr>
        <w:t xml:space="preserve"> мм для мужчин и </w:t>
      </w:r>
      <w:r>
        <w:rPr>
          <w:rFonts w:ascii="Arial" w:cs="Arial" w:eastAsia="Arial" w:hAnsi="Arial"/>
          <w:sz w:val="27"/>
          <w:szCs w:val="27"/>
          <w:color w:val="auto"/>
        </w:rPr>
        <w:t>&gt;20</w:t>
      </w:r>
      <w:r>
        <w:rPr>
          <w:rFonts w:ascii="Arial" w:cs="Arial" w:eastAsia="Arial" w:hAnsi="Arial"/>
          <w:sz w:val="27"/>
          <w:szCs w:val="27"/>
          <w:color w:val="auto"/>
        </w:rPr>
        <w:t xml:space="preserve"> мм для женщин</w:t>
      </w:r>
      <w:r>
        <w:rPr>
          <w:rFonts w:ascii="Arial" w:cs="Arial" w:eastAsia="Arial" w:hAnsi="Arial"/>
          <w:sz w:val="27"/>
          <w:szCs w:val="27"/>
          <w:color w:val="auto"/>
        </w:rPr>
        <w:t>);</w:t>
      </w:r>
    </w:p>
    <w:p>
      <w:pPr>
        <w:spacing w:after="0" w:line="221" w:lineRule="exact"/>
        <w:rPr>
          <w:sz w:val="20"/>
          <w:szCs w:val="20"/>
          <w:color w:val="auto"/>
        </w:rPr>
      </w:pPr>
    </w:p>
    <w:p>
      <w:pPr>
        <w:jc w:val="both"/>
        <w:ind w:left="360" w:right="220" w:firstLine="1"/>
        <w:spacing w:after="0" w:line="200" w:lineRule="auto"/>
        <w:tabs>
          <w:tab w:leader="none" w:pos="561" w:val="left"/>
        </w:tabs>
        <w:numPr>
          <w:ilvl w:val="0"/>
          <w:numId w:val="6"/>
        </w:numPr>
        <w:rPr>
          <w:rFonts w:ascii="Arial" w:cs="Arial" w:eastAsia="Arial" w:hAnsi="Arial"/>
          <w:sz w:val="27"/>
          <w:szCs w:val="27"/>
          <w:color w:val="auto"/>
        </w:rPr>
      </w:pPr>
      <w:r>
        <w:rPr>
          <w:rFonts w:ascii="Arial" w:cs="Arial" w:eastAsia="Arial" w:hAnsi="Arial"/>
          <w:sz w:val="27"/>
          <w:szCs w:val="27"/>
          <w:color w:val="auto"/>
        </w:rPr>
        <w:t xml:space="preserve">Эхокардиографические признаки ГЛЖ </w:t>
      </w:r>
      <w:r>
        <w:rPr>
          <w:rFonts w:ascii="Arial" w:cs="Arial" w:eastAsia="Arial" w:hAnsi="Arial"/>
          <w:sz w:val="27"/>
          <w:szCs w:val="27"/>
          <w:color w:val="auto"/>
        </w:rPr>
        <w:t>(</w:t>
      </w:r>
      <w:r>
        <w:rPr>
          <w:rFonts w:ascii="Arial" w:cs="Arial" w:eastAsia="Arial" w:hAnsi="Arial"/>
          <w:sz w:val="27"/>
          <w:szCs w:val="27"/>
          <w:color w:val="auto"/>
        </w:rPr>
        <w:t xml:space="preserve">индекс массы ЛЖ </w:t>
      </w:r>
      <w:r>
        <w:rPr>
          <w:rFonts w:ascii="Arial" w:cs="Arial" w:eastAsia="Arial" w:hAnsi="Arial"/>
          <w:sz w:val="27"/>
          <w:szCs w:val="27"/>
          <w:color w:val="auto"/>
        </w:rPr>
        <w:t>(</w:t>
      </w:r>
      <w:r>
        <w:rPr>
          <w:rFonts w:ascii="Arial" w:cs="Arial" w:eastAsia="Arial" w:hAnsi="Arial"/>
          <w:sz w:val="27"/>
          <w:szCs w:val="27"/>
          <w:color w:val="auto"/>
        </w:rPr>
        <w:t>масса ЛЖ</w:t>
      </w:r>
      <w:r>
        <w:rPr>
          <w:rFonts w:ascii="Arial" w:cs="Arial" w:eastAsia="Arial" w:hAnsi="Arial"/>
          <w:sz w:val="27"/>
          <w:szCs w:val="27"/>
          <w:color w:val="auto"/>
        </w:rPr>
        <w:t>,</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рост</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r>
        <w:rPr>
          <w:rFonts w:ascii="Arial" w:cs="Arial" w:eastAsia="Arial" w:hAnsi="Arial"/>
          <w:sz w:val="27"/>
          <w:szCs w:val="27"/>
          <w:color w:val="auto"/>
        </w:rPr>
        <w:t xml:space="preserve"> формула </w:t>
      </w:r>
      <w:r>
        <w:rPr>
          <w:rFonts w:ascii="Arial" w:cs="Arial" w:eastAsia="Arial" w:hAnsi="Arial"/>
          <w:sz w:val="27"/>
          <w:szCs w:val="27"/>
          <w:color w:val="auto"/>
        </w:rPr>
        <w:t>ASE</w:t>
      </w:r>
      <w:r>
        <w:rPr>
          <w:rFonts w:ascii="Arial" w:cs="Arial" w:eastAsia="Arial" w:hAnsi="Arial"/>
          <w:sz w:val="27"/>
          <w:szCs w:val="27"/>
          <w:color w:val="auto"/>
        </w:rPr>
        <w:t xml:space="preserve"> для пациентов с избыточной массой тела и ожирением</w:t>
      </w:r>
      <w:r>
        <w:rPr>
          <w:rFonts w:ascii="Arial" w:cs="Arial" w:eastAsia="Arial" w:hAnsi="Arial"/>
          <w:sz w:val="27"/>
          <w:szCs w:val="27"/>
          <w:color w:val="auto"/>
        </w:rPr>
        <w:t>:</w:t>
      </w:r>
      <w:r>
        <w:rPr>
          <w:rFonts w:ascii="Arial" w:cs="Arial" w:eastAsia="Arial" w:hAnsi="Arial"/>
          <w:sz w:val="27"/>
          <w:szCs w:val="27"/>
          <w:color w:val="auto"/>
        </w:rPr>
        <w:t xml:space="preserve"> для мужчин </w:t>
      </w:r>
      <w:r>
        <w:rPr>
          <w:rFonts w:ascii="Arial" w:cs="Arial" w:eastAsia="Arial" w:hAnsi="Arial"/>
          <w:sz w:val="27"/>
          <w:szCs w:val="27"/>
          <w:color w:val="auto"/>
        </w:rPr>
        <w:t>&gt;50</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2,7</w:t>
      </w:r>
      <w:r>
        <w:rPr>
          <w:rFonts w:ascii="Arial" w:cs="Arial" w:eastAsia="Arial" w:hAnsi="Arial"/>
          <w:sz w:val="27"/>
          <w:szCs w:val="27"/>
          <w:color w:val="auto"/>
        </w:rPr>
        <w:t>,</w:t>
      </w:r>
      <w:r>
        <w:rPr>
          <w:rFonts w:ascii="Arial" w:cs="Arial" w:eastAsia="Arial" w:hAnsi="Arial"/>
          <w:sz w:val="27"/>
          <w:szCs w:val="27"/>
          <w:color w:val="auto"/>
        </w:rPr>
        <w:t xml:space="preserve"> для женщин </w:t>
      </w:r>
      <w:r>
        <w:rPr>
          <w:rFonts w:ascii="Arial" w:cs="Arial" w:eastAsia="Arial" w:hAnsi="Arial"/>
          <w:sz w:val="27"/>
          <w:szCs w:val="27"/>
          <w:color w:val="auto"/>
        </w:rPr>
        <w:t>&gt;47</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2,7</w:t>
      </w:r>
      <w:r>
        <w:rPr>
          <w:rFonts w:ascii="Arial" w:cs="Arial" w:eastAsia="Arial" w:hAnsi="Arial"/>
          <w:sz w:val="27"/>
          <w:szCs w:val="27"/>
          <w:color w:val="auto"/>
        </w:rPr>
        <w:t>;</w:t>
      </w:r>
      <w:r>
        <w:rPr>
          <w:rFonts w:ascii="Arial" w:cs="Arial" w:eastAsia="Arial" w:hAnsi="Arial"/>
          <w:sz w:val="27"/>
          <w:szCs w:val="27"/>
          <w:color w:val="auto"/>
        </w:rPr>
        <w:t xml:space="preserve"> индексация на площадь поверхности тела </w:t>
      </w:r>
      <w:r>
        <w:rPr>
          <w:rFonts w:ascii="Arial" w:cs="Arial" w:eastAsia="Arial" w:hAnsi="Arial"/>
          <w:sz w:val="27"/>
          <w:szCs w:val="27"/>
          <w:color w:val="auto"/>
        </w:rPr>
        <w:t>(</w:t>
      </w:r>
      <w:r>
        <w:rPr>
          <w:rFonts w:ascii="Arial" w:cs="Arial" w:eastAsia="Arial" w:hAnsi="Arial"/>
          <w:sz w:val="27"/>
          <w:szCs w:val="27"/>
          <w:color w:val="auto"/>
        </w:rPr>
        <w:t>масса ЛЖ</w:t>
      </w:r>
      <w:r>
        <w:rPr>
          <w:rFonts w:ascii="Arial" w:cs="Arial" w:eastAsia="Arial" w:hAnsi="Arial"/>
          <w:sz w:val="27"/>
          <w:szCs w:val="27"/>
          <w:color w:val="auto"/>
        </w:rPr>
        <w:t>/</w:t>
      </w:r>
      <w:r>
        <w:rPr>
          <w:rFonts w:ascii="Arial" w:cs="Arial" w:eastAsia="Arial" w:hAnsi="Arial"/>
          <w:sz w:val="27"/>
          <w:szCs w:val="27"/>
          <w:color w:val="auto"/>
        </w:rPr>
        <w:t>рост</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54"/>
          <w:szCs w:val="54"/>
          <w:color w:val="auto"/>
          <w:vertAlign w:val="superscript"/>
        </w:rPr>
        <w:t>2</w:t>
      </w:r>
      <w:r>
        <w:rPr>
          <w:rFonts w:ascii="Arial" w:cs="Arial" w:eastAsia="Arial" w:hAnsi="Arial"/>
          <w:sz w:val="27"/>
          <w:szCs w:val="27"/>
          <w:color w:val="auto"/>
        </w:rPr>
        <w:t>)</w:t>
      </w:r>
      <w:r>
        <w:rPr>
          <w:rFonts w:ascii="Arial" w:cs="Arial" w:eastAsia="Arial" w:hAnsi="Arial"/>
          <w:sz w:val="27"/>
          <w:szCs w:val="27"/>
          <w:color w:val="auto"/>
        </w:rPr>
        <w:t xml:space="preserve"> для пациентов с нормальной массой тела</w:t>
      </w:r>
      <w:r>
        <w:rPr>
          <w:rFonts w:ascii="Arial" w:cs="Arial" w:eastAsia="Arial" w:hAnsi="Arial"/>
          <w:sz w:val="27"/>
          <w:szCs w:val="27"/>
          <w:color w:val="auto"/>
        </w:rPr>
        <w:t>: &gt;115</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w:t>
      </w:r>
      <w:r>
        <w:rPr>
          <w:rFonts w:ascii="Arial" w:cs="Arial" w:eastAsia="Arial" w:hAnsi="Arial"/>
          <w:sz w:val="27"/>
          <w:szCs w:val="27"/>
          <w:color w:val="auto"/>
        </w:rPr>
        <w:t>мужчины</w:t>
      </w:r>
      <w:r>
        <w:rPr>
          <w:rFonts w:ascii="Arial" w:cs="Arial" w:eastAsia="Arial" w:hAnsi="Arial"/>
          <w:sz w:val="27"/>
          <w:szCs w:val="27"/>
          <w:color w:val="auto"/>
        </w:rPr>
        <w:t>)</w:t>
      </w:r>
      <w:r>
        <w:rPr>
          <w:rFonts w:ascii="Arial" w:cs="Arial" w:eastAsia="Arial" w:hAnsi="Arial"/>
          <w:sz w:val="27"/>
          <w:szCs w:val="27"/>
          <w:color w:val="auto"/>
        </w:rPr>
        <w:t xml:space="preserve"> и </w:t>
      </w:r>
      <w:r>
        <w:rPr>
          <w:rFonts w:ascii="Arial" w:cs="Arial" w:eastAsia="Arial" w:hAnsi="Arial"/>
          <w:sz w:val="27"/>
          <w:szCs w:val="27"/>
          <w:color w:val="auto"/>
        </w:rPr>
        <w:t>&gt;</w:t>
      </w:r>
      <w:r>
        <w:rPr>
          <w:rFonts w:ascii="Arial" w:cs="Arial" w:eastAsia="Arial" w:hAnsi="Arial"/>
          <w:sz w:val="27"/>
          <w:szCs w:val="27"/>
          <w:color w:val="auto"/>
        </w:rPr>
        <w:t xml:space="preserve"> </w:t>
      </w:r>
      <w:r>
        <w:rPr>
          <w:rFonts w:ascii="Arial" w:cs="Arial" w:eastAsia="Arial" w:hAnsi="Arial"/>
          <w:sz w:val="27"/>
          <w:szCs w:val="27"/>
          <w:color w:val="auto"/>
        </w:rPr>
        <w:t xml:space="preserve">95 </w:t>
      </w:r>
      <w:r>
        <w:rPr>
          <w:rFonts w:ascii="Arial" w:cs="Arial" w:eastAsia="Arial" w:hAnsi="Arial"/>
          <w:sz w:val="27"/>
          <w:szCs w:val="27"/>
          <w:color w:val="auto"/>
        </w:rPr>
        <w:t>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w:t>
      </w:r>
      <w:r>
        <w:rPr>
          <w:rFonts w:ascii="Arial" w:cs="Arial" w:eastAsia="Arial" w:hAnsi="Arial"/>
          <w:sz w:val="27"/>
          <w:szCs w:val="27"/>
          <w:color w:val="auto"/>
        </w:rPr>
        <w:t>женщины</w:t>
      </w:r>
      <w:r>
        <w:rPr>
          <w:rFonts w:ascii="Arial" w:cs="Arial" w:eastAsia="Arial" w:hAnsi="Arial"/>
          <w:sz w:val="27"/>
          <w:szCs w:val="27"/>
          <w:color w:val="auto"/>
        </w:rPr>
        <w:t>);</w:t>
      </w:r>
    </w:p>
    <w:p>
      <w:pPr>
        <w:spacing w:after="0" w:line="23" w:lineRule="exact"/>
        <w:rPr>
          <w:rFonts w:ascii="Arial" w:cs="Arial" w:eastAsia="Arial" w:hAnsi="Arial"/>
          <w:sz w:val="27"/>
          <w:szCs w:val="27"/>
          <w:color w:val="auto"/>
        </w:rPr>
      </w:pPr>
    </w:p>
    <w:p>
      <w:pPr>
        <w:jc w:val="both"/>
        <w:ind w:left="360" w:right="220" w:firstLine="1"/>
        <w:spacing w:after="0" w:line="317" w:lineRule="auto"/>
        <w:tabs>
          <w:tab w:leader="none" w:pos="692" w:val="left"/>
        </w:tabs>
        <w:numPr>
          <w:ilvl w:val="0"/>
          <w:numId w:val="6"/>
        </w:numPr>
        <w:rPr>
          <w:rFonts w:ascii="Arial" w:cs="Arial" w:eastAsia="Arial" w:hAnsi="Arial"/>
          <w:sz w:val="27"/>
          <w:szCs w:val="27"/>
          <w:color w:val="auto"/>
        </w:rPr>
      </w:pPr>
      <w:r>
        <w:rPr>
          <w:rFonts w:ascii="Arial" w:cs="Arial" w:eastAsia="Arial" w:hAnsi="Arial"/>
          <w:sz w:val="27"/>
          <w:szCs w:val="27"/>
          <w:color w:val="auto"/>
        </w:rPr>
        <w:t xml:space="preserve">Альбуминурия </w:t>
      </w:r>
      <w:r>
        <w:rPr>
          <w:rFonts w:ascii="Arial" w:cs="Arial" w:eastAsia="Arial" w:hAnsi="Arial"/>
          <w:sz w:val="27"/>
          <w:szCs w:val="27"/>
          <w:color w:val="auto"/>
        </w:rPr>
        <w:t>30–300</w:t>
      </w:r>
      <w:r>
        <w:rPr>
          <w:rFonts w:ascii="Arial" w:cs="Arial" w:eastAsia="Arial" w:hAnsi="Arial"/>
          <w:sz w:val="27"/>
          <w:szCs w:val="27"/>
          <w:color w:val="auto"/>
        </w:rPr>
        <w:t xml:space="preserve"> мг</w:t>
      </w:r>
      <w:r>
        <w:rPr>
          <w:rFonts w:ascii="Arial" w:cs="Arial" w:eastAsia="Arial" w:hAnsi="Arial"/>
          <w:sz w:val="27"/>
          <w:szCs w:val="27"/>
          <w:color w:val="auto"/>
        </w:rPr>
        <w:t>/24</w:t>
      </w:r>
      <w:r>
        <w:rPr>
          <w:rFonts w:ascii="Arial" w:cs="Arial" w:eastAsia="Arial" w:hAnsi="Arial"/>
          <w:sz w:val="27"/>
          <w:szCs w:val="27"/>
          <w:color w:val="auto"/>
        </w:rPr>
        <w:t xml:space="preserve"> ч или отношения альбумин</w:t>
      </w:r>
      <w:r>
        <w:rPr>
          <w:rFonts w:ascii="Arial" w:cs="Arial" w:eastAsia="Arial" w:hAnsi="Arial"/>
          <w:sz w:val="27"/>
          <w:szCs w:val="27"/>
          <w:color w:val="auto"/>
        </w:rPr>
        <w:t>-</w:t>
      </w:r>
      <w:r>
        <w:rPr>
          <w:rFonts w:ascii="Arial" w:cs="Arial" w:eastAsia="Arial" w:hAnsi="Arial"/>
          <w:sz w:val="27"/>
          <w:szCs w:val="27"/>
          <w:color w:val="auto"/>
        </w:rPr>
        <w:t xml:space="preserve">креатинин </w:t>
      </w:r>
      <w:r>
        <w:rPr>
          <w:rFonts w:ascii="Arial" w:cs="Arial" w:eastAsia="Arial" w:hAnsi="Arial"/>
          <w:sz w:val="27"/>
          <w:szCs w:val="27"/>
          <w:color w:val="auto"/>
        </w:rPr>
        <w:t>30–300</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 xml:space="preserve">г или </w:t>
      </w:r>
      <w:r>
        <w:rPr>
          <w:rFonts w:ascii="Arial" w:cs="Arial" w:eastAsia="Arial" w:hAnsi="Arial"/>
          <w:sz w:val="27"/>
          <w:szCs w:val="27"/>
          <w:color w:val="auto"/>
        </w:rPr>
        <w:t>3,4-34</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 xml:space="preserve">ммоль </w:t>
      </w:r>
      <w:r>
        <w:rPr>
          <w:rFonts w:ascii="Arial" w:cs="Arial" w:eastAsia="Arial" w:hAnsi="Arial"/>
          <w:sz w:val="27"/>
          <w:szCs w:val="27"/>
          <w:color w:val="auto"/>
        </w:rPr>
        <w:t>(</w:t>
      </w:r>
      <w:r>
        <w:rPr>
          <w:rFonts w:ascii="Arial" w:cs="Arial" w:eastAsia="Arial" w:hAnsi="Arial"/>
          <w:sz w:val="27"/>
          <w:szCs w:val="27"/>
          <w:color w:val="auto"/>
        </w:rPr>
        <w:t>предпочтительно в утренней порции мочи</w:t>
      </w:r>
      <w:r>
        <w:rPr>
          <w:rFonts w:ascii="Arial" w:cs="Arial" w:eastAsia="Arial" w:hAnsi="Arial"/>
          <w:sz w:val="27"/>
          <w:szCs w:val="27"/>
          <w:color w:val="auto"/>
        </w:rPr>
        <w:t>);</w:t>
      </w:r>
    </w:p>
    <w:p>
      <w:pPr>
        <w:spacing w:after="0" w:line="75" w:lineRule="exact"/>
        <w:rPr>
          <w:rFonts w:ascii="Arial" w:cs="Arial" w:eastAsia="Arial" w:hAnsi="Arial"/>
          <w:sz w:val="27"/>
          <w:szCs w:val="27"/>
          <w:color w:val="auto"/>
        </w:rPr>
      </w:pPr>
    </w:p>
    <w:p>
      <w:pPr>
        <w:ind w:left="540" w:hanging="179"/>
        <w:spacing w:after="0"/>
        <w:tabs>
          <w:tab w:leader="none" w:pos="540" w:val="left"/>
        </w:tabs>
        <w:numPr>
          <w:ilvl w:val="0"/>
          <w:numId w:val="6"/>
        </w:numPr>
        <w:rPr>
          <w:rFonts w:ascii="Arial" w:cs="Arial" w:eastAsia="Arial" w:hAnsi="Arial"/>
          <w:sz w:val="27"/>
          <w:szCs w:val="27"/>
          <w:color w:val="auto"/>
        </w:rPr>
      </w:pPr>
      <w:r>
        <w:rPr>
          <w:rFonts w:ascii="Arial" w:cs="Arial" w:eastAsia="Arial" w:hAnsi="Arial"/>
          <w:sz w:val="27"/>
          <w:szCs w:val="27"/>
          <w:color w:val="auto"/>
        </w:rPr>
        <w:t>ХБП С</w:t>
      </w:r>
      <w:r>
        <w:rPr>
          <w:rFonts w:ascii="Arial" w:cs="Arial" w:eastAsia="Arial" w:hAnsi="Arial"/>
          <w:sz w:val="27"/>
          <w:szCs w:val="27"/>
          <w:color w:val="auto"/>
        </w:rPr>
        <w:t>3</w:t>
      </w:r>
      <w:r>
        <w:rPr>
          <w:rFonts w:ascii="Arial" w:cs="Arial" w:eastAsia="Arial" w:hAnsi="Arial"/>
          <w:sz w:val="27"/>
          <w:szCs w:val="27"/>
          <w:color w:val="auto"/>
        </w:rPr>
        <w:t xml:space="preserve"> стадии с СКФ </w:t>
      </w:r>
      <w:r>
        <w:rPr>
          <w:rFonts w:ascii="Arial" w:cs="Arial" w:eastAsia="Arial" w:hAnsi="Arial"/>
          <w:sz w:val="27"/>
          <w:szCs w:val="27"/>
          <w:color w:val="auto"/>
        </w:rPr>
        <w:t>&gt;30–59</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мин</w:t>
      </w:r>
      <w:r>
        <w:rPr>
          <w:rFonts w:ascii="Arial" w:cs="Arial" w:eastAsia="Arial" w:hAnsi="Arial"/>
          <w:sz w:val="27"/>
          <w:szCs w:val="27"/>
          <w:color w:val="auto"/>
        </w:rPr>
        <w:t>/1,73</w:t>
      </w:r>
      <w:r>
        <w:rPr>
          <w:rFonts w:ascii="Arial" w:cs="Arial" w:eastAsia="Arial" w:hAnsi="Arial"/>
          <w:sz w:val="27"/>
          <w:szCs w:val="27"/>
          <w:color w:val="auto"/>
        </w:rPr>
        <w:t xml:space="preserve"> м</w:t>
      </w:r>
      <w:r>
        <w:rPr>
          <w:rFonts w:ascii="Arial" w:cs="Arial" w:eastAsia="Arial" w:hAnsi="Arial"/>
          <w:sz w:val="54"/>
          <w:szCs w:val="54"/>
          <w:color w:val="auto"/>
          <w:vertAlign w:val="superscript"/>
        </w:rPr>
        <w:t>2</w:t>
      </w:r>
      <w:r>
        <w:rPr>
          <w:rFonts w:ascii="Arial" w:cs="Arial" w:eastAsia="Arial" w:hAnsi="Arial"/>
          <w:sz w:val="27"/>
          <w:szCs w:val="27"/>
          <w:color w:val="auto"/>
        </w:rPr>
        <w:t>;</w:t>
      </w:r>
    </w:p>
    <w:p>
      <w:pPr>
        <w:spacing w:after="0" w:line="174" w:lineRule="exact"/>
        <w:rPr>
          <w:rFonts w:ascii="Arial" w:cs="Arial" w:eastAsia="Arial" w:hAnsi="Arial"/>
          <w:sz w:val="27"/>
          <w:szCs w:val="27"/>
          <w:color w:val="auto"/>
        </w:rPr>
      </w:pPr>
    </w:p>
    <w:p>
      <w:pPr>
        <w:ind w:left="540" w:hanging="179"/>
        <w:spacing w:after="0"/>
        <w:tabs>
          <w:tab w:leader="none" w:pos="540" w:val="left"/>
        </w:tabs>
        <w:numPr>
          <w:ilvl w:val="0"/>
          <w:numId w:val="6"/>
        </w:numPr>
        <w:rPr>
          <w:rFonts w:ascii="Arial" w:cs="Arial" w:eastAsia="Arial" w:hAnsi="Arial"/>
          <w:sz w:val="27"/>
          <w:szCs w:val="27"/>
          <w:color w:val="auto"/>
        </w:rPr>
      </w:pPr>
      <w:r>
        <w:rPr>
          <w:rFonts w:ascii="Arial" w:cs="Arial" w:eastAsia="Arial" w:hAnsi="Arial"/>
          <w:sz w:val="27"/>
          <w:szCs w:val="27"/>
          <w:color w:val="auto"/>
        </w:rPr>
        <w:t>Лодыжечно</w:t>
      </w:r>
      <w:r>
        <w:rPr>
          <w:rFonts w:ascii="Arial" w:cs="Arial" w:eastAsia="Arial" w:hAnsi="Arial"/>
          <w:sz w:val="27"/>
          <w:szCs w:val="27"/>
          <w:color w:val="auto"/>
        </w:rPr>
        <w:t>-</w:t>
      </w:r>
      <w:r>
        <w:rPr>
          <w:rFonts w:ascii="Arial" w:cs="Arial" w:eastAsia="Arial" w:hAnsi="Arial"/>
          <w:sz w:val="27"/>
          <w:szCs w:val="27"/>
          <w:color w:val="auto"/>
        </w:rPr>
        <w:t xml:space="preserve">плечевой индекс </w:t>
      </w:r>
      <w:r>
        <w:rPr>
          <w:rFonts w:ascii="Arial" w:cs="Arial" w:eastAsia="Arial" w:hAnsi="Arial"/>
          <w:sz w:val="27"/>
          <w:szCs w:val="27"/>
          <w:color w:val="auto"/>
        </w:rPr>
        <w:t>&lt;0,9;</w:t>
      </w:r>
    </w:p>
    <w:p>
      <w:pPr>
        <w:spacing w:after="0" w:line="349" w:lineRule="exact"/>
        <w:rPr>
          <w:rFonts w:ascii="Arial" w:cs="Arial" w:eastAsia="Arial" w:hAnsi="Arial"/>
          <w:sz w:val="27"/>
          <w:szCs w:val="27"/>
          <w:color w:val="auto"/>
        </w:rPr>
      </w:pPr>
    </w:p>
    <w:p>
      <w:pPr>
        <w:ind w:left="360" w:right="220" w:firstLine="1"/>
        <w:spacing w:after="0" w:line="334" w:lineRule="auto"/>
        <w:tabs>
          <w:tab w:leader="none" w:pos="582" w:val="left"/>
        </w:tabs>
        <w:numPr>
          <w:ilvl w:val="0"/>
          <w:numId w:val="6"/>
        </w:numPr>
        <w:rPr>
          <w:rFonts w:ascii="Arial" w:cs="Arial" w:eastAsia="Arial" w:hAnsi="Arial"/>
          <w:sz w:val="27"/>
          <w:szCs w:val="27"/>
          <w:color w:val="auto"/>
        </w:rPr>
      </w:pPr>
      <w:r>
        <w:rPr>
          <w:rFonts w:ascii="Arial" w:cs="Arial" w:eastAsia="Arial" w:hAnsi="Arial"/>
          <w:sz w:val="27"/>
          <w:szCs w:val="27"/>
          <w:color w:val="auto"/>
        </w:rPr>
        <w:t>Выраженная ретинопатия</w:t>
      </w:r>
      <w:r>
        <w:rPr>
          <w:rFonts w:ascii="Arial" w:cs="Arial" w:eastAsia="Arial" w:hAnsi="Arial"/>
          <w:sz w:val="27"/>
          <w:szCs w:val="27"/>
          <w:color w:val="auto"/>
        </w:rPr>
        <w:t>:</w:t>
      </w:r>
      <w:r>
        <w:rPr>
          <w:rFonts w:ascii="Arial" w:cs="Arial" w:eastAsia="Arial" w:hAnsi="Arial"/>
          <w:sz w:val="27"/>
          <w:szCs w:val="27"/>
          <w:color w:val="auto"/>
        </w:rPr>
        <w:t xml:space="preserve"> наличие кровоизлияний</w:t>
      </w:r>
      <w:r>
        <w:rPr>
          <w:rFonts w:ascii="Arial" w:cs="Arial" w:eastAsia="Arial" w:hAnsi="Arial"/>
          <w:sz w:val="27"/>
          <w:szCs w:val="27"/>
          <w:color w:val="auto"/>
        </w:rPr>
        <w:t>,</w:t>
      </w:r>
      <w:r>
        <w:rPr>
          <w:rFonts w:ascii="Arial" w:cs="Arial" w:eastAsia="Arial" w:hAnsi="Arial"/>
          <w:sz w:val="27"/>
          <w:szCs w:val="27"/>
          <w:color w:val="auto"/>
        </w:rPr>
        <w:t xml:space="preserve"> экссудатов или отека соска зрительного нерва</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Стадия </w:t>
      </w:r>
      <w:r>
        <w:rPr>
          <w:rFonts w:ascii="Arial" w:cs="Arial" w:eastAsia="Arial" w:hAnsi="Arial"/>
          <w:sz w:val="27"/>
          <w:szCs w:val="27"/>
          <w:b w:val="1"/>
          <w:bCs w:val="1"/>
          <w:color w:val="auto"/>
        </w:rPr>
        <w:t>III</w:t>
      </w:r>
      <w:r>
        <w:rPr>
          <w:rFonts w:ascii="Arial" w:cs="Arial" w:eastAsia="Arial" w:hAnsi="Arial"/>
          <w:sz w:val="27"/>
          <w:szCs w:val="27"/>
          <w:b w:val="1"/>
          <w:bCs w:val="1"/>
          <w:color w:val="auto"/>
        </w:rPr>
        <w:t xml:space="preserve"> </w:t>
      </w:r>
      <w:r>
        <w:rPr>
          <w:rFonts w:ascii="Arial" w:cs="Arial" w:eastAsia="Arial" w:hAnsi="Arial"/>
          <w:sz w:val="27"/>
          <w:szCs w:val="27"/>
          <w:color w:val="auto"/>
        </w:rPr>
        <w:t>определяется наличием АКС</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 том числе ХБП С</w:t>
      </w:r>
      <w:r>
        <w:rPr>
          <w:rFonts w:ascii="Arial" w:cs="Arial" w:eastAsia="Arial" w:hAnsi="Arial"/>
          <w:sz w:val="27"/>
          <w:szCs w:val="27"/>
          <w:color w:val="auto"/>
        </w:rPr>
        <w:t>4–</w:t>
      </w:r>
      <w:r>
        <w:rPr>
          <w:rFonts w:ascii="Arial" w:cs="Arial" w:eastAsia="Arial" w:hAnsi="Arial"/>
          <w:sz w:val="27"/>
          <w:szCs w:val="27"/>
          <w:color w:val="auto"/>
        </w:rPr>
        <w:t>С</w:t>
      </w:r>
      <w:r>
        <w:rPr>
          <w:rFonts w:ascii="Arial" w:cs="Arial" w:eastAsia="Arial" w:hAnsi="Arial"/>
          <w:sz w:val="27"/>
          <w:szCs w:val="27"/>
          <w:color w:val="auto"/>
        </w:rPr>
        <w:t>5</w:t>
      </w:r>
      <w:r>
        <w:rPr>
          <w:rFonts w:ascii="Arial" w:cs="Arial" w:eastAsia="Arial" w:hAnsi="Arial"/>
          <w:sz w:val="27"/>
          <w:szCs w:val="27"/>
          <w:b w:val="1"/>
          <w:bCs w:val="1"/>
          <w:color w:val="auto"/>
        </w:rPr>
        <w:t xml:space="preserve"> </w:t>
      </w:r>
      <w:r>
        <w:rPr>
          <w:rFonts w:ascii="Arial" w:cs="Arial" w:eastAsia="Arial" w:hAnsi="Arial"/>
          <w:sz w:val="27"/>
          <w:szCs w:val="27"/>
          <w:color w:val="auto"/>
        </w:rPr>
        <w:t>стадии</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или СД с поражением 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10" w:lineRule="auto"/>
        <w:rPr>
          <w:sz w:val="20"/>
          <w:szCs w:val="20"/>
          <w:color w:val="auto"/>
        </w:rPr>
      </w:pPr>
      <w:r>
        <w:rPr>
          <w:rFonts w:ascii="Arial" w:cs="Arial" w:eastAsia="Arial" w:hAnsi="Arial"/>
          <w:sz w:val="27"/>
          <w:szCs w:val="27"/>
          <w:color w:val="auto"/>
        </w:rPr>
        <w:t xml:space="preserve">СД </w:t>
      </w:r>
      <w:r>
        <w:rPr>
          <w:rFonts w:ascii="Arial" w:cs="Arial" w:eastAsia="Arial" w:hAnsi="Arial"/>
          <w:sz w:val="27"/>
          <w:szCs w:val="27"/>
          <w:color w:val="auto"/>
        </w:rPr>
        <w:t>(</w:t>
      </w:r>
      <w:r>
        <w:rPr>
          <w:rFonts w:ascii="Arial" w:cs="Arial" w:eastAsia="Arial" w:hAnsi="Arial"/>
          <w:sz w:val="27"/>
          <w:szCs w:val="27"/>
          <w:color w:val="auto"/>
        </w:rPr>
        <w:t>рассматривается как дополнительное состояние</w:t>
      </w:r>
      <w:r>
        <w:rPr>
          <w:rFonts w:ascii="Arial" w:cs="Arial" w:eastAsia="Arial" w:hAnsi="Arial"/>
          <w:sz w:val="27"/>
          <w:szCs w:val="27"/>
          <w:color w:val="auto"/>
        </w:rPr>
        <w:t>,</w:t>
      </w:r>
      <w:r>
        <w:rPr>
          <w:rFonts w:ascii="Arial" w:cs="Arial" w:eastAsia="Arial" w:hAnsi="Arial"/>
          <w:sz w:val="27"/>
          <w:szCs w:val="27"/>
          <w:color w:val="auto"/>
        </w:rPr>
        <w:t xml:space="preserve"> усугубляющее риск</w:t>
      </w:r>
      <w:r>
        <w:rPr>
          <w:rFonts w:ascii="Arial" w:cs="Arial" w:eastAsia="Arial" w:hAnsi="Arial"/>
          <w:sz w:val="27"/>
          <w:szCs w:val="27"/>
          <w:color w:val="auto"/>
        </w:rPr>
        <w:t>) [31]:</w:t>
      </w:r>
      <w:r>
        <w:rPr>
          <w:rFonts w:ascii="Arial" w:cs="Arial" w:eastAsia="Arial" w:hAnsi="Arial"/>
          <w:sz w:val="27"/>
          <w:szCs w:val="27"/>
          <w:color w:val="auto"/>
        </w:rPr>
        <w:t xml:space="preserve"> глюкоза плазмы натощак </w:t>
      </w:r>
      <w:r>
        <w:rPr>
          <w:rFonts w:ascii="Times New Roman" w:cs="Times New Roman" w:eastAsia="Times New Roman" w:hAnsi="Times New Roman"/>
          <w:sz w:val="27"/>
          <w:szCs w:val="27"/>
          <w:color w:val="auto"/>
        </w:rPr>
        <w:t>≥</w:t>
      </w:r>
      <w:r>
        <w:rPr>
          <w:rFonts w:ascii="Arial" w:cs="Arial" w:eastAsia="Arial" w:hAnsi="Arial"/>
          <w:sz w:val="27"/>
          <w:szCs w:val="27"/>
          <w:color w:val="auto"/>
        </w:rPr>
        <w:t>7,0</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 при двух последовательных измерениях и</w:t>
      </w:r>
      <w:r>
        <w:rPr>
          <w:rFonts w:ascii="Arial" w:cs="Arial" w:eastAsia="Arial" w:hAnsi="Arial"/>
          <w:sz w:val="27"/>
          <w:szCs w:val="27"/>
          <w:color w:val="auto"/>
        </w:rPr>
        <w:t>/</w:t>
      </w:r>
      <w:r>
        <w:rPr>
          <w:rFonts w:ascii="Arial" w:cs="Arial" w:eastAsia="Arial" w:hAnsi="Arial"/>
          <w:sz w:val="27"/>
          <w:szCs w:val="27"/>
          <w:color w:val="auto"/>
        </w:rPr>
        <w:t xml:space="preserve">или </w:t>
      </w:r>
      <w:r>
        <w:rPr>
          <w:rFonts w:ascii="Arial" w:cs="Arial" w:eastAsia="Arial" w:hAnsi="Arial"/>
          <w:sz w:val="27"/>
          <w:szCs w:val="27"/>
          <w:color w:val="auto"/>
        </w:rPr>
        <w:t>HbA1c</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6,5%,</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 или глюкоза плазмы после нагрузки или при случайном определении </w:t>
      </w:r>
      <w:r>
        <w:rPr>
          <w:rFonts w:ascii="Times New Roman" w:cs="Times New Roman" w:eastAsia="Times New Roman" w:hAnsi="Times New Roman"/>
          <w:sz w:val="27"/>
          <w:szCs w:val="27"/>
          <w:color w:val="auto"/>
        </w:rPr>
        <w:t>≥</w:t>
      </w:r>
      <w:r>
        <w:rPr>
          <w:rFonts w:ascii="Arial" w:cs="Arial" w:eastAsia="Arial" w:hAnsi="Arial"/>
          <w:sz w:val="27"/>
          <w:szCs w:val="27"/>
          <w:color w:val="auto"/>
        </w:rPr>
        <w:t>11,1</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r>
        <w:rPr>
          <w:rFonts w:ascii="Arial" w:cs="Arial" w:eastAsia="Arial" w:hAnsi="Arial"/>
          <w:sz w:val="27"/>
          <w:szCs w:val="27"/>
          <w:color w:val="auto"/>
        </w:rPr>
        <w:t>.</w:t>
      </w:r>
    </w:p>
    <w:p>
      <w:pPr>
        <w:spacing w:after="0" w:line="211"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Стадии АГ имеют уточняющий характер по поражениям органов</w:t>
      </w:r>
      <w:r>
        <w:rPr>
          <w:rFonts w:ascii="Arial" w:cs="Arial" w:eastAsia="Arial" w:hAnsi="Arial"/>
          <w:sz w:val="27"/>
          <w:szCs w:val="27"/>
          <w:color w:val="auto"/>
        </w:rPr>
        <w:t>-</w:t>
      </w:r>
      <w:r>
        <w:rPr>
          <w:rFonts w:ascii="Arial" w:cs="Arial" w:eastAsia="Arial" w:hAnsi="Arial"/>
          <w:sz w:val="27"/>
          <w:szCs w:val="27"/>
          <w:color w:val="auto"/>
        </w:rPr>
        <w:t>мишеней и сопутствующей патологии</w:t>
      </w:r>
      <w:r>
        <w:rPr>
          <w:rFonts w:ascii="Arial" w:cs="Arial" w:eastAsia="Arial" w:hAnsi="Arial"/>
          <w:sz w:val="27"/>
          <w:szCs w:val="27"/>
          <w:color w:val="auto"/>
        </w:rPr>
        <w:t>.</w:t>
      </w:r>
    </w:p>
    <w:p>
      <w:pPr>
        <w:spacing w:after="0" w:line="186" w:lineRule="exact"/>
        <w:rPr>
          <w:sz w:val="20"/>
          <w:szCs w:val="20"/>
          <w:color w:val="auto"/>
        </w:rPr>
      </w:pPr>
    </w:p>
    <w:p>
      <w:pPr>
        <w:jc w:val="both"/>
        <w:ind w:left="360" w:right="220"/>
        <w:spacing w:after="0" w:line="308" w:lineRule="auto"/>
        <w:rPr>
          <w:sz w:val="20"/>
          <w:szCs w:val="20"/>
          <w:color w:val="auto"/>
        </w:rPr>
      </w:pPr>
      <w:r>
        <w:rPr>
          <w:rFonts w:ascii="Arial" w:cs="Arial" w:eastAsia="Arial" w:hAnsi="Arial"/>
          <w:sz w:val="27"/>
          <w:szCs w:val="27"/>
          <w:color w:val="auto"/>
        </w:rPr>
        <w:t>На основании уровня АД</w:t>
      </w:r>
      <w:r>
        <w:rPr>
          <w:rFonts w:ascii="Arial" w:cs="Arial" w:eastAsia="Arial" w:hAnsi="Arial"/>
          <w:sz w:val="27"/>
          <w:szCs w:val="27"/>
          <w:color w:val="auto"/>
        </w:rPr>
        <w:t>,</w:t>
      </w:r>
      <w:r>
        <w:rPr>
          <w:rFonts w:ascii="Arial" w:cs="Arial" w:eastAsia="Arial" w:hAnsi="Arial"/>
          <w:sz w:val="27"/>
          <w:szCs w:val="27"/>
          <w:color w:val="auto"/>
        </w:rPr>
        <w:t xml:space="preserve"> наличия ФР</w:t>
      </w:r>
      <w:r>
        <w:rPr>
          <w:rFonts w:ascii="Arial" w:cs="Arial" w:eastAsia="Arial" w:hAnsi="Arial"/>
          <w:sz w:val="27"/>
          <w:szCs w:val="27"/>
          <w:color w:val="auto"/>
        </w:rPr>
        <w:t>,</w:t>
      </w:r>
      <w:r>
        <w:rPr>
          <w:rFonts w:ascii="Arial" w:cs="Arial" w:eastAsia="Arial" w:hAnsi="Arial"/>
          <w:sz w:val="27"/>
          <w:szCs w:val="27"/>
          <w:color w:val="auto"/>
        </w:rPr>
        <w:t xml:space="preserve"> ПОМ</w:t>
      </w:r>
      <w:r>
        <w:rPr>
          <w:rFonts w:ascii="Arial" w:cs="Arial" w:eastAsia="Arial" w:hAnsi="Arial"/>
          <w:sz w:val="27"/>
          <w:szCs w:val="27"/>
          <w:color w:val="auto"/>
        </w:rPr>
        <w:t>,</w:t>
      </w:r>
      <w:r>
        <w:rPr>
          <w:rFonts w:ascii="Arial" w:cs="Arial" w:eastAsia="Arial" w:hAnsi="Arial"/>
          <w:sz w:val="27"/>
          <w:szCs w:val="27"/>
          <w:color w:val="auto"/>
        </w:rPr>
        <w:t xml:space="preserve"> АКС</w:t>
      </w:r>
      <w:r>
        <w:rPr>
          <w:rFonts w:ascii="Arial" w:cs="Arial" w:eastAsia="Arial" w:hAnsi="Arial"/>
          <w:sz w:val="27"/>
          <w:szCs w:val="27"/>
          <w:color w:val="auto"/>
        </w:rPr>
        <w:t>,</w:t>
      </w:r>
      <w:r>
        <w:rPr>
          <w:rFonts w:ascii="Arial" w:cs="Arial" w:eastAsia="Arial" w:hAnsi="Arial"/>
          <w:sz w:val="27"/>
          <w:szCs w:val="27"/>
          <w:color w:val="auto"/>
        </w:rPr>
        <w:t xml:space="preserve"> СД выделяют </w:t>
      </w:r>
      <w:r>
        <w:rPr>
          <w:rFonts w:ascii="Arial" w:cs="Arial" w:eastAsia="Arial" w:hAnsi="Arial"/>
          <w:sz w:val="27"/>
          <w:szCs w:val="27"/>
          <w:color w:val="auto"/>
        </w:rPr>
        <w:t>4</w:t>
      </w:r>
      <w:r>
        <w:rPr>
          <w:rFonts w:ascii="Arial" w:cs="Arial" w:eastAsia="Arial" w:hAnsi="Arial"/>
          <w:sz w:val="27"/>
          <w:szCs w:val="27"/>
          <w:color w:val="auto"/>
        </w:rPr>
        <w:t xml:space="preserve"> категории риска СС осложнений</w:t>
      </w:r>
      <w:r>
        <w:rPr>
          <w:rFonts w:ascii="Arial" w:cs="Arial" w:eastAsia="Arial" w:hAnsi="Arial"/>
          <w:sz w:val="27"/>
          <w:szCs w:val="27"/>
          <w:color w:val="auto"/>
        </w:rPr>
        <w:t>:</w:t>
      </w:r>
      <w:r>
        <w:rPr>
          <w:rFonts w:ascii="Arial" w:cs="Arial" w:eastAsia="Arial" w:hAnsi="Arial"/>
          <w:sz w:val="27"/>
          <w:szCs w:val="27"/>
          <w:color w:val="auto"/>
        </w:rPr>
        <w:t xml:space="preserve"> низкий </w:t>
      </w:r>
      <w:r>
        <w:rPr>
          <w:rFonts w:ascii="Arial" w:cs="Arial" w:eastAsia="Arial" w:hAnsi="Arial"/>
          <w:sz w:val="27"/>
          <w:szCs w:val="27"/>
          <w:color w:val="auto"/>
        </w:rPr>
        <w:t>(</w:t>
      </w:r>
      <w:r>
        <w:rPr>
          <w:rFonts w:ascii="Arial" w:cs="Arial" w:eastAsia="Arial" w:hAnsi="Arial"/>
          <w:sz w:val="27"/>
          <w:szCs w:val="27"/>
          <w:color w:val="auto"/>
        </w:rPr>
        <w:t xml:space="preserve">риск </w:t>
      </w:r>
      <w:r>
        <w:rPr>
          <w:rFonts w:ascii="Arial" w:cs="Arial" w:eastAsia="Arial" w:hAnsi="Arial"/>
          <w:sz w:val="27"/>
          <w:szCs w:val="27"/>
          <w:color w:val="auto"/>
        </w:rPr>
        <w:t>1),</w:t>
      </w:r>
      <w:r>
        <w:rPr>
          <w:rFonts w:ascii="Arial" w:cs="Arial" w:eastAsia="Arial" w:hAnsi="Arial"/>
          <w:sz w:val="27"/>
          <w:szCs w:val="27"/>
          <w:color w:val="auto"/>
        </w:rPr>
        <w:t xml:space="preserve"> умеренный </w:t>
      </w:r>
      <w:r>
        <w:rPr>
          <w:rFonts w:ascii="Arial" w:cs="Arial" w:eastAsia="Arial" w:hAnsi="Arial"/>
          <w:sz w:val="27"/>
          <w:szCs w:val="27"/>
          <w:color w:val="auto"/>
        </w:rPr>
        <w:t>(</w:t>
      </w:r>
      <w:r>
        <w:rPr>
          <w:rFonts w:ascii="Arial" w:cs="Arial" w:eastAsia="Arial" w:hAnsi="Arial"/>
          <w:sz w:val="27"/>
          <w:szCs w:val="27"/>
          <w:color w:val="auto"/>
        </w:rPr>
        <w:t>риск</w:t>
      </w:r>
      <w:r>
        <w:rPr>
          <w:rFonts w:ascii="Arial" w:cs="Arial" w:eastAsia="Arial" w:hAnsi="Arial"/>
          <w:sz w:val="27"/>
          <w:szCs w:val="27"/>
          <w:color w:val="auto"/>
        </w:rPr>
        <w:t xml:space="preserve"> 2), </w:t>
      </w:r>
      <w:r>
        <w:rPr>
          <w:rFonts w:ascii="Arial" w:cs="Arial" w:eastAsia="Arial" w:hAnsi="Arial"/>
          <w:sz w:val="27"/>
          <w:szCs w:val="27"/>
          <w:color w:val="auto"/>
        </w:rPr>
        <w:t>высокий</w:t>
      </w:r>
      <w:r>
        <w:rPr>
          <w:rFonts w:ascii="Arial" w:cs="Arial" w:eastAsia="Arial" w:hAnsi="Arial"/>
          <w:sz w:val="27"/>
          <w:szCs w:val="27"/>
          <w:color w:val="auto"/>
        </w:rPr>
        <w:t xml:space="preserve"> (</w:t>
      </w:r>
      <w:r>
        <w:rPr>
          <w:rFonts w:ascii="Arial" w:cs="Arial" w:eastAsia="Arial" w:hAnsi="Arial"/>
          <w:sz w:val="27"/>
          <w:szCs w:val="27"/>
          <w:color w:val="auto"/>
        </w:rPr>
        <w:t>риск</w:t>
      </w:r>
      <w:r>
        <w:rPr>
          <w:rFonts w:ascii="Arial" w:cs="Arial" w:eastAsia="Arial" w:hAnsi="Arial"/>
          <w:sz w:val="27"/>
          <w:szCs w:val="27"/>
          <w:color w:val="auto"/>
        </w:rPr>
        <w:t xml:space="preserve"> 3) </w:t>
      </w:r>
      <w:r>
        <w:rPr>
          <w:rFonts w:ascii="Arial" w:cs="Arial" w:eastAsia="Arial" w:hAnsi="Arial"/>
          <w:sz w:val="27"/>
          <w:szCs w:val="27"/>
          <w:color w:val="auto"/>
        </w:rPr>
        <w:t>и очень высокий</w:t>
      </w:r>
      <w:r>
        <w:rPr>
          <w:rFonts w:ascii="Arial" w:cs="Arial" w:eastAsia="Arial" w:hAnsi="Arial"/>
          <w:sz w:val="27"/>
          <w:szCs w:val="27"/>
          <w:color w:val="auto"/>
        </w:rPr>
        <w:t xml:space="preserve"> (</w:t>
      </w:r>
      <w:r>
        <w:rPr>
          <w:rFonts w:ascii="Arial" w:cs="Arial" w:eastAsia="Arial" w:hAnsi="Arial"/>
          <w:sz w:val="27"/>
          <w:szCs w:val="27"/>
          <w:color w:val="auto"/>
        </w:rPr>
        <w:t>риск</w:t>
      </w:r>
      <w:r>
        <w:rPr>
          <w:rFonts w:ascii="Arial" w:cs="Arial" w:eastAsia="Arial" w:hAnsi="Arial"/>
          <w:sz w:val="27"/>
          <w:szCs w:val="27"/>
          <w:color w:val="auto"/>
        </w:rPr>
        <w:t xml:space="preserve"> 4) (</w:t>
      </w:r>
      <w:r>
        <w:rPr>
          <w:rFonts w:ascii="Arial" w:cs="Arial" w:eastAsia="Arial" w:hAnsi="Arial"/>
          <w:sz w:val="27"/>
          <w:szCs w:val="27"/>
          <w:color w:val="auto"/>
        </w:rPr>
        <w:t>Приложение</w:t>
      </w:r>
      <w:r>
        <w:rPr>
          <w:rFonts w:ascii="Arial" w:cs="Arial" w:eastAsia="Arial" w:hAnsi="Arial"/>
          <w:sz w:val="27"/>
          <w:szCs w:val="27"/>
          <w:color w:val="auto"/>
        </w:rPr>
        <w:t xml:space="preserve"> </w:t>
      </w:r>
      <w:r>
        <w:rPr>
          <w:rFonts w:ascii="Arial" w:cs="Arial" w:eastAsia="Arial" w:hAnsi="Arial"/>
          <w:sz w:val="27"/>
          <w:szCs w:val="27"/>
          <w:color w:val="auto"/>
        </w:rPr>
        <w:t>Г</w:t>
      </w:r>
      <w:r>
        <w:rPr>
          <w:rFonts w:ascii="Arial" w:cs="Arial" w:eastAsia="Arial" w:hAnsi="Arial"/>
          <w:sz w:val="27"/>
          <w:szCs w:val="27"/>
          <w:color w:val="auto"/>
        </w:rPr>
        <w:t>2,</w:t>
      </w:r>
      <w:r>
        <w:rPr>
          <w:rFonts w:ascii="Arial" w:cs="Arial" w:eastAsia="Arial" w:hAnsi="Arial"/>
          <w:sz w:val="27"/>
          <w:szCs w:val="27"/>
          <w:color w:val="auto"/>
        </w:rPr>
        <w:t xml:space="preserve"> таблица П</w:t>
      </w:r>
      <w:r>
        <w:rPr>
          <w:rFonts w:ascii="Arial" w:cs="Arial" w:eastAsia="Arial" w:hAnsi="Arial"/>
          <w:sz w:val="27"/>
          <w:szCs w:val="27"/>
          <w:color w:val="auto"/>
        </w:rPr>
        <w:t>12).</w:t>
      </w:r>
      <w:r>
        <w:rPr>
          <w:rFonts w:ascii="Arial" w:cs="Arial" w:eastAsia="Arial" w:hAnsi="Arial"/>
          <w:sz w:val="27"/>
          <w:szCs w:val="27"/>
          <w:color w:val="auto"/>
        </w:rPr>
        <w:t xml:space="preserve"> Наиболее значимым является определение категории риска у пациентов с гипертонической болезнью </w:t>
      </w:r>
      <w:r>
        <w:rPr>
          <w:rFonts w:ascii="Arial" w:cs="Arial" w:eastAsia="Arial" w:hAnsi="Arial"/>
          <w:sz w:val="27"/>
          <w:szCs w:val="27"/>
          <w:color w:val="auto"/>
        </w:rPr>
        <w:t>I</w:t>
      </w:r>
      <w:r>
        <w:rPr>
          <w:rFonts w:ascii="Arial" w:cs="Arial" w:eastAsia="Arial" w:hAnsi="Arial"/>
          <w:sz w:val="27"/>
          <w:szCs w:val="27"/>
          <w:color w:val="auto"/>
        </w:rPr>
        <w:t xml:space="preserve"> и </w:t>
      </w:r>
      <w:r>
        <w:rPr>
          <w:rFonts w:ascii="Arial" w:cs="Arial" w:eastAsia="Arial" w:hAnsi="Arial"/>
          <w:sz w:val="27"/>
          <w:szCs w:val="27"/>
          <w:color w:val="auto"/>
        </w:rPr>
        <w:t>II</w:t>
      </w:r>
      <w:r>
        <w:rPr>
          <w:rFonts w:ascii="Arial" w:cs="Arial" w:eastAsia="Arial" w:hAnsi="Arial"/>
          <w:sz w:val="27"/>
          <w:szCs w:val="27"/>
          <w:color w:val="auto"/>
        </w:rPr>
        <w:t xml:space="preserve"> стадий</w:t>
      </w:r>
      <w:r>
        <w:rPr>
          <w:rFonts w:ascii="Arial" w:cs="Arial" w:eastAsia="Arial" w:hAnsi="Arial"/>
          <w:sz w:val="27"/>
          <w:szCs w:val="27"/>
          <w:color w:val="auto"/>
        </w:rPr>
        <w:t>.</w:t>
      </w:r>
    </w:p>
    <w:p>
      <w:pPr>
        <w:sectPr>
          <w:pgSz w:w="11900" w:h="16896" w:orient="portrait"/>
          <w:cols w:equalWidth="0" w:num="1">
            <w:col w:w="9020"/>
          </w:cols>
          <w:pgMar w:left="1440" w:top="19" w:right="1440" w:bottom="0" w:gutter="0" w:footer="0" w:header="0"/>
        </w:sectPr>
      </w:pPr>
    </w:p>
    <w:bookmarkStart w:id="21" w:name="page22"/>
    <w:bookmarkEnd w:id="21"/>
    <w:p>
      <w:pPr>
        <w:ind w:left="360" w:right="1240"/>
        <w:spacing w:after="0" w:line="224" w:lineRule="auto"/>
        <w:rPr>
          <w:sz w:val="20"/>
          <w:szCs w:val="20"/>
          <w:color w:val="auto"/>
        </w:rPr>
      </w:pPr>
      <w:r>
        <w:rPr>
          <w:rFonts w:ascii="Arial" w:cs="Arial" w:eastAsia="Arial" w:hAnsi="Arial"/>
          <w:sz w:val="33"/>
          <w:szCs w:val="33"/>
          <w:b w:val="1"/>
          <w:bCs w:val="1"/>
          <w:color w:val="auto"/>
        </w:rPr>
        <w:t xml:space="preserve">1.6 </w:t>
      </w:r>
      <w:r>
        <w:rPr>
          <w:rFonts w:ascii="Arial" w:cs="Arial" w:eastAsia="Arial" w:hAnsi="Arial"/>
          <w:sz w:val="33"/>
          <w:szCs w:val="33"/>
          <w:b w:val="1"/>
          <w:bCs w:val="1"/>
          <w:color w:val="auto"/>
        </w:rPr>
        <w:t>Клиническая картина заболевания или</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 xml:space="preserve">состояния </w:t>
      </w:r>
      <w:r>
        <w:rPr>
          <w:rFonts w:ascii="Arial" w:cs="Arial" w:eastAsia="Arial" w:hAnsi="Arial"/>
          <w:sz w:val="33"/>
          <w:szCs w:val="33"/>
          <w:b w:val="1"/>
          <w:bCs w:val="1"/>
          <w:color w:val="auto"/>
        </w:rPr>
        <w:t>(</w:t>
      </w:r>
      <w:r>
        <w:rPr>
          <w:rFonts w:ascii="Arial" w:cs="Arial" w:eastAsia="Arial" w:hAnsi="Arial"/>
          <w:sz w:val="33"/>
          <w:szCs w:val="33"/>
          <w:b w:val="1"/>
          <w:bCs w:val="1"/>
          <w:color w:val="auto"/>
        </w:rPr>
        <w:t>группы заболеваний</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состояний</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22" w:lineRule="exact"/>
        <w:rPr>
          <w:sz w:val="20"/>
          <w:szCs w:val="20"/>
          <w:color w:val="auto"/>
        </w:rPr>
      </w:pPr>
    </w:p>
    <w:p>
      <w:pPr>
        <w:jc w:val="both"/>
        <w:ind w:left="360" w:right="220" w:firstLine="1"/>
        <w:spacing w:after="0" w:line="301" w:lineRule="auto"/>
        <w:tabs>
          <w:tab w:leader="none" w:pos="712" w:val="left"/>
        </w:tabs>
        <w:numPr>
          <w:ilvl w:val="0"/>
          <w:numId w:val="7"/>
        </w:numPr>
        <w:rPr>
          <w:rFonts w:ascii="Arial" w:cs="Arial" w:eastAsia="Arial" w:hAnsi="Arial"/>
          <w:sz w:val="27"/>
          <w:szCs w:val="27"/>
          <w:color w:val="auto"/>
        </w:rPr>
      </w:pPr>
      <w:r>
        <w:rPr>
          <w:rFonts w:ascii="Arial" w:cs="Arial" w:eastAsia="Arial" w:hAnsi="Arial"/>
          <w:sz w:val="27"/>
          <w:szCs w:val="27"/>
          <w:color w:val="auto"/>
        </w:rPr>
        <w:t>большинстве случаев АД повышается бессимптомно</w:t>
      </w:r>
      <w:r>
        <w:rPr>
          <w:rFonts w:ascii="Arial" w:cs="Arial" w:eastAsia="Arial" w:hAnsi="Arial"/>
          <w:sz w:val="27"/>
          <w:szCs w:val="27"/>
          <w:color w:val="auto"/>
        </w:rPr>
        <w:t>,</w:t>
      </w:r>
      <w:r>
        <w:rPr>
          <w:rFonts w:ascii="Arial" w:cs="Arial" w:eastAsia="Arial" w:hAnsi="Arial"/>
          <w:sz w:val="27"/>
          <w:szCs w:val="27"/>
          <w:color w:val="auto"/>
        </w:rPr>
        <w:t xml:space="preserve"> и АГ обнаруживают лишь в ходе объективного исследования пациента</w:t>
      </w:r>
      <w:r>
        <w:rPr>
          <w:rFonts w:ascii="Arial" w:cs="Arial" w:eastAsia="Arial" w:hAnsi="Arial"/>
          <w:sz w:val="27"/>
          <w:szCs w:val="27"/>
          <w:color w:val="auto"/>
        </w:rPr>
        <w:t>.</w:t>
      </w:r>
    </w:p>
    <w:p>
      <w:pPr>
        <w:spacing w:after="0" w:line="1" w:lineRule="exact"/>
        <w:rPr>
          <w:rFonts w:ascii="Arial" w:cs="Arial" w:eastAsia="Arial" w:hAnsi="Arial"/>
          <w:sz w:val="27"/>
          <w:szCs w:val="27"/>
          <w:color w:val="auto"/>
        </w:rPr>
      </w:pPr>
    </w:p>
    <w:p>
      <w:pPr>
        <w:jc w:val="both"/>
        <w:ind w:left="360" w:right="220" w:firstLine="1"/>
        <w:spacing w:after="0" w:line="312" w:lineRule="auto"/>
        <w:tabs>
          <w:tab w:leader="none" w:pos="639" w:val="left"/>
        </w:tabs>
        <w:numPr>
          <w:ilvl w:val="0"/>
          <w:numId w:val="7"/>
        </w:numPr>
        <w:rPr>
          <w:rFonts w:ascii="Arial" w:cs="Arial" w:eastAsia="Arial" w:hAnsi="Arial"/>
          <w:sz w:val="27"/>
          <w:szCs w:val="27"/>
          <w:color w:val="auto"/>
        </w:rPr>
      </w:pPr>
      <w:r>
        <w:rPr>
          <w:rFonts w:ascii="Arial" w:cs="Arial" w:eastAsia="Arial" w:hAnsi="Arial"/>
          <w:sz w:val="27"/>
          <w:szCs w:val="27"/>
          <w:color w:val="auto"/>
        </w:rPr>
        <w:t>тех случаях</w:t>
      </w:r>
      <w:r>
        <w:rPr>
          <w:rFonts w:ascii="Arial" w:cs="Arial" w:eastAsia="Arial" w:hAnsi="Arial"/>
          <w:sz w:val="27"/>
          <w:szCs w:val="27"/>
          <w:color w:val="auto"/>
        </w:rPr>
        <w:t>,</w:t>
      </w:r>
      <w:r>
        <w:rPr>
          <w:rFonts w:ascii="Arial" w:cs="Arial" w:eastAsia="Arial" w:hAnsi="Arial"/>
          <w:sz w:val="27"/>
          <w:szCs w:val="27"/>
          <w:color w:val="auto"/>
        </w:rPr>
        <w:t xml:space="preserve"> когда жалобы есть</w:t>
      </w:r>
      <w:r>
        <w:rPr>
          <w:rFonts w:ascii="Arial" w:cs="Arial" w:eastAsia="Arial" w:hAnsi="Arial"/>
          <w:sz w:val="27"/>
          <w:szCs w:val="27"/>
          <w:color w:val="auto"/>
        </w:rPr>
        <w:t>,</w:t>
      </w:r>
      <w:r>
        <w:rPr>
          <w:rFonts w:ascii="Arial" w:cs="Arial" w:eastAsia="Arial" w:hAnsi="Arial"/>
          <w:sz w:val="27"/>
          <w:szCs w:val="27"/>
          <w:color w:val="auto"/>
        </w:rPr>
        <w:t xml:space="preserve"> они неспецифичны </w:t>
      </w:r>
      <w:r>
        <w:rPr>
          <w:rFonts w:ascii="Arial" w:cs="Arial" w:eastAsia="Arial" w:hAnsi="Arial"/>
          <w:sz w:val="27"/>
          <w:szCs w:val="27"/>
          <w:color w:val="auto"/>
        </w:rPr>
        <w:t>(</w:t>
      </w:r>
      <w:r>
        <w:rPr>
          <w:rFonts w:ascii="Arial" w:cs="Arial" w:eastAsia="Arial" w:hAnsi="Arial"/>
          <w:sz w:val="27"/>
          <w:szCs w:val="27"/>
          <w:color w:val="auto"/>
        </w:rPr>
        <w:t>головная боль</w:t>
      </w:r>
      <w:r>
        <w:rPr>
          <w:rFonts w:ascii="Arial" w:cs="Arial" w:eastAsia="Arial" w:hAnsi="Arial"/>
          <w:sz w:val="27"/>
          <w:szCs w:val="27"/>
          <w:color w:val="auto"/>
        </w:rPr>
        <w:t>,</w:t>
      </w:r>
      <w:r>
        <w:rPr>
          <w:rFonts w:ascii="Arial" w:cs="Arial" w:eastAsia="Arial" w:hAnsi="Arial"/>
          <w:sz w:val="27"/>
          <w:szCs w:val="27"/>
          <w:color w:val="auto"/>
        </w:rPr>
        <w:t xml:space="preserve"> головокружение</w:t>
      </w:r>
      <w:r>
        <w:rPr>
          <w:rFonts w:ascii="Arial" w:cs="Arial" w:eastAsia="Arial" w:hAnsi="Arial"/>
          <w:sz w:val="27"/>
          <w:szCs w:val="27"/>
          <w:color w:val="auto"/>
        </w:rPr>
        <w:t>,</w:t>
      </w:r>
      <w:r>
        <w:rPr>
          <w:rFonts w:ascii="Arial" w:cs="Arial" w:eastAsia="Arial" w:hAnsi="Arial"/>
          <w:sz w:val="27"/>
          <w:szCs w:val="27"/>
          <w:color w:val="auto"/>
        </w:rPr>
        <w:t xml:space="preserve"> сердцебиение и т</w:t>
      </w:r>
      <w:r>
        <w:rPr>
          <w:rFonts w:ascii="Arial" w:cs="Arial" w:eastAsia="Arial" w:hAnsi="Arial"/>
          <w:sz w:val="27"/>
          <w:szCs w:val="27"/>
          <w:color w:val="auto"/>
        </w:rPr>
        <w:t>.</w:t>
      </w:r>
      <w:r>
        <w:rPr>
          <w:rFonts w:ascii="Arial" w:cs="Arial" w:eastAsia="Arial" w:hAnsi="Arial"/>
          <w:sz w:val="27"/>
          <w:szCs w:val="27"/>
          <w:color w:val="auto"/>
        </w:rPr>
        <w:t>д</w:t>
      </w:r>
      <w:r>
        <w:rPr>
          <w:rFonts w:ascii="Arial" w:cs="Arial" w:eastAsia="Arial" w:hAnsi="Arial"/>
          <w:sz w:val="27"/>
          <w:szCs w:val="27"/>
          <w:color w:val="auto"/>
        </w:rPr>
        <w:t>.).</w:t>
      </w:r>
      <w:r>
        <w:rPr>
          <w:rFonts w:ascii="Arial" w:cs="Arial" w:eastAsia="Arial" w:hAnsi="Arial"/>
          <w:sz w:val="27"/>
          <w:szCs w:val="27"/>
          <w:color w:val="auto"/>
        </w:rPr>
        <w:t xml:space="preserve"> При симптоматической гипертонии жалобы обусловлены основным заболеванием</w:t>
      </w:r>
      <w:r>
        <w:rPr>
          <w:rFonts w:ascii="Arial" w:cs="Arial" w:eastAsia="Arial" w:hAnsi="Arial"/>
          <w:sz w:val="27"/>
          <w:szCs w:val="27"/>
          <w:color w:val="auto"/>
        </w:rPr>
        <w:t>:</w:t>
      </w:r>
    </w:p>
    <w:p>
      <w:pPr>
        <w:spacing w:after="0" w:line="216"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Синдром обструктивного апноэ во сне</w:t>
      </w:r>
      <w:r>
        <w:rPr>
          <w:rFonts w:ascii="Arial" w:cs="Arial" w:eastAsia="Arial" w:hAnsi="Arial"/>
          <w:sz w:val="27"/>
          <w:szCs w:val="27"/>
          <w:color w:val="auto"/>
        </w:rPr>
        <w:t>:</w:t>
      </w:r>
      <w:r>
        <w:rPr>
          <w:rFonts w:ascii="Arial" w:cs="Arial" w:eastAsia="Arial" w:hAnsi="Arial"/>
          <w:sz w:val="27"/>
          <w:szCs w:val="27"/>
          <w:color w:val="auto"/>
        </w:rPr>
        <w:t xml:space="preserve"> храп</w:t>
      </w:r>
      <w:r>
        <w:rPr>
          <w:rFonts w:ascii="Arial" w:cs="Arial" w:eastAsia="Arial" w:hAnsi="Arial"/>
          <w:sz w:val="27"/>
          <w:szCs w:val="27"/>
          <w:color w:val="auto"/>
        </w:rPr>
        <w:t>,</w:t>
      </w:r>
      <w:r>
        <w:rPr>
          <w:rFonts w:ascii="Arial" w:cs="Arial" w:eastAsia="Arial" w:hAnsi="Arial"/>
          <w:sz w:val="27"/>
          <w:szCs w:val="27"/>
          <w:color w:val="auto"/>
        </w:rPr>
        <w:t xml:space="preserve"> головная боль по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утрам</w:t>
      </w:r>
      <w:r>
        <w:rPr>
          <w:rFonts w:ascii="Arial" w:cs="Arial" w:eastAsia="Arial" w:hAnsi="Arial"/>
          <w:sz w:val="27"/>
          <w:szCs w:val="27"/>
          <w:color w:val="auto"/>
        </w:rPr>
        <w:t>,</w:t>
      </w:r>
      <w:r>
        <w:rPr>
          <w:rFonts w:ascii="Arial" w:cs="Arial" w:eastAsia="Arial" w:hAnsi="Arial"/>
          <w:sz w:val="27"/>
          <w:szCs w:val="27"/>
          <w:color w:val="auto"/>
        </w:rPr>
        <w:t xml:space="preserve">  сонливость  в  дневное  время</w:t>
      </w:r>
      <w:r>
        <w:rPr>
          <w:rFonts w:ascii="Arial" w:cs="Arial" w:eastAsia="Arial" w:hAnsi="Arial"/>
          <w:sz w:val="27"/>
          <w:szCs w:val="27"/>
          <w:color w:val="auto"/>
        </w:rPr>
        <w:t>,</w:t>
      </w:r>
      <w:r>
        <w:rPr>
          <w:rFonts w:ascii="Arial" w:cs="Arial" w:eastAsia="Arial" w:hAnsi="Arial"/>
          <w:sz w:val="27"/>
          <w:szCs w:val="27"/>
          <w:color w:val="auto"/>
        </w:rPr>
        <w:t xml:space="preserve">  нарушение  памяти</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внимания</w:t>
      </w:r>
      <w:r>
        <w:rPr>
          <w:rFonts w:ascii="Arial" w:cs="Arial" w:eastAsia="Arial" w:hAnsi="Arial"/>
          <w:sz w:val="27"/>
          <w:szCs w:val="27"/>
          <w:color w:val="auto"/>
        </w:rPr>
        <w:t>,</w:t>
      </w:r>
      <w:r>
        <w:rPr>
          <w:rFonts w:ascii="Arial" w:cs="Arial" w:eastAsia="Arial" w:hAnsi="Arial"/>
          <w:sz w:val="27"/>
          <w:szCs w:val="27"/>
          <w:color w:val="auto"/>
        </w:rPr>
        <w:t xml:space="preserve"> неполноценный ночной сон</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540" w:val="left"/>
          <w:tab w:leader="none" w:pos="5860" w:val="left"/>
          <w:tab w:leader="none" w:pos="7620" w:val="left"/>
        </w:tabs>
        <w:rPr>
          <w:sz w:val="20"/>
          <w:szCs w:val="20"/>
          <w:color w:val="auto"/>
        </w:rPr>
      </w:pPr>
      <w:r>
        <w:rPr>
          <w:rFonts w:ascii="Arial" w:cs="Arial" w:eastAsia="Arial" w:hAnsi="Arial"/>
          <w:sz w:val="27"/>
          <w:szCs w:val="27"/>
          <w:color w:val="auto"/>
        </w:rPr>
        <w:t>Первичный</w:t>
        <w:tab/>
        <w:t>гиперальдостеронизм</w:t>
      </w:r>
      <w:r>
        <w:rPr>
          <w:rFonts w:ascii="Arial" w:cs="Arial" w:eastAsia="Arial" w:hAnsi="Arial"/>
          <w:sz w:val="27"/>
          <w:szCs w:val="27"/>
          <w:color w:val="auto"/>
        </w:rPr>
        <w:t>:</w:t>
      </w:r>
      <w:r>
        <w:rPr>
          <w:rFonts w:ascii="Arial" w:cs="Arial" w:eastAsia="Arial" w:hAnsi="Arial"/>
          <w:sz w:val="27"/>
          <w:szCs w:val="27"/>
          <w:color w:val="auto"/>
        </w:rPr>
        <w:tab/>
        <w:t>мышечная</w:t>
      </w:r>
      <w:r>
        <w:rPr>
          <w:sz w:val="20"/>
          <w:szCs w:val="20"/>
          <w:color w:val="auto"/>
        </w:rPr>
        <w:tab/>
      </w:r>
      <w:r>
        <w:rPr>
          <w:rFonts w:ascii="Arial" w:cs="Arial" w:eastAsia="Arial" w:hAnsi="Arial"/>
          <w:sz w:val="25"/>
          <w:szCs w:val="25"/>
          <w:color w:val="auto"/>
        </w:rPr>
        <w:t>слабость</w:t>
      </w:r>
      <w:r>
        <w:rPr>
          <w:rFonts w:ascii="Arial" w:cs="Arial" w:eastAsia="Arial" w:hAnsi="Arial"/>
          <w:sz w:val="25"/>
          <w:szCs w:val="25"/>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полиурия</w:t>
      </w:r>
      <w:r>
        <w:rPr>
          <w:rFonts w:ascii="Arial" w:cs="Arial" w:eastAsia="Arial" w:hAnsi="Arial"/>
          <w:sz w:val="27"/>
          <w:szCs w:val="27"/>
          <w:color w:val="auto"/>
        </w:rPr>
        <w:t>,</w:t>
      </w:r>
      <w:r>
        <w:rPr>
          <w:rFonts w:ascii="Arial" w:cs="Arial" w:eastAsia="Arial" w:hAnsi="Arial"/>
          <w:sz w:val="27"/>
          <w:szCs w:val="27"/>
          <w:color w:val="auto"/>
        </w:rPr>
        <w:t xml:space="preserve"> полидипсия</w:t>
      </w:r>
      <w:r>
        <w:rPr>
          <w:rFonts w:ascii="Arial" w:cs="Arial" w:eastAsia="Arial" w:hAnsi="Arial"/>
          <w:sz w:val="27"/>
          <w:szCs w:val="27"/>
          <w:color w:val="auto"/>
        </w:rPr>
        <w:t>,</w:t>
      </w:r>
      <w:r>
        <w:rPr>
          <w:rFonts w:ascii="Arial" w:cs="Arial" w:eastAsia="Arial" w:hAnsi="Arial"/>
          <w:sz w:val="27"/>
          <w:szCs w:val="27"/>
          <w:color w:val="auto"/>
        </w:rPr>
        <w:t xml:space="preserve"> запоры</w:t>
      </w:r>
      <w:r>
        <w:rPr>
          <w:rFonts w:ascii="Arial" w:cs="Arial" w:eastAsia="Arial" w:hAnsi="Arial"/>
          <w:sz w:val="27"/>
          <w:szCs w:val="27"/>
          <w:color w:val="auto"/>
        </w:rPr>
        <w:t>;</w:t>
      </w:r>
    </w:p>
    <w:p>
      <w:pPr>
        <w:spacing w:after="0" w:line="8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Феохромоцитома</w:t>
      </w:r>
      <w:r>
        <w:rPr>
          <w:rFonts w:ascii="Arial" w:cs="Arial" w:eastAsia="Arial" w:hAnsi="Arial"/>
          <w:sz w:val="27"/>
          <w:szCs w:val="27"/>
          <w:color w:val="auto"/>
        </w:rPr>
        <w:t>:</w:t>
      </w:r>
      <w:r>
        <w:rPr>
          <w:rFonts w:ascii="Arial" w:cs="Arial" w:eastAsia="Arial" w:hAnsi="Arial"/>
          <w:sz w:val="27"/>
          <w:szCs w:val="27"/>
          <w:color w:val="auto"/>
        </w:rPr>
        <w:t xml:space="preserve"> пароксизмальная АГ</w:t>
      </w:r>
      <w:r>
        <w:rPr>
          <w:rFonts w:ascii="Arial" w:cs="Arial" w:eastAsia="Arial" w:hAnsi="Arial"/>
          <w:sz w:val="27"/>
          <w:szCs w:val="27"/>
          <w:color w:val="auto"/>
        </w:rPr>
        <w:t>,</w:t>
      </w:r>
      <w:r>
        <w:rPr>
          <w:rFonts w:ascii="Arial" w:cs="Arial" w:eastAsia="Arial" w:hAnsi="Arial"/>
          <w:sz w:val="27"/>
          <w:szCs w:val="27"/>
          <w:color w:val="auto"/>
        </w:rPr>
        <w:t xml:space="preserve"> головная боль</w:t>
      </w:r>
      <w:r>
        <w:rPr>
          <w:rFonts w:ascii="Arial" w:cs="Arial" w:eastAsia="Arial" w:hAnsi="Arial"/>
          <w:sz w:val="27"/>
          <w:szCs w:val="27"/>
          <w:color w:val="auto"/>
        </w:rPr>
        <w:t>,</w:t>
      </w:r>
      <w:r>
        <w:rPr>
          <w:rFonts w:ascii="Arial" w:cs="Arial" w:eastAsia="Arial" w:hAnsi="Arial"/>
          <w:sz w:val="27"/>
          <w:szCs w:val="27"/>
          <w:color w:val="auto"/>
        </w:rPr>
        <w:t xml:space="preserve"> профузная потливость</w:t>
      </w:r>
      <w:r>
        <w:rPr>
          <w:rFonts w:ascii="Arial" w:cs="Arial" w:eastAsia="Arial" w:hAnsi="Arial"/>
          <w:sz w:val="27"/>
          <w:szCs w:val="27"/>
          <w:color w:val="auto"/>
        </w:rPr>
        <w:t>,</w:t>
      </w:r>
      <w:r>
        <w:rPr>
          <w:rFonts w:ascii="Arial" w:cs="Arial" w:eastAsia="Arial" w:hAnsi="Arial"/>
          <w:sz w:val="27"/>
          <w:szCs w:val="27"/>
          <w:color w:val="auto"/>
        </w:rPr>
        <w:t xml:space="preserve"> сердцебиение</w:t>
      </w:r>
      <w:r>
        <w:rPr>
          <w:rFonts w:ascii="Arial" w:cs="Arial" w:eastAsia="Arial" w:hAnsi="Arial"/>
          <w:sz w:val="27"/>
          <w:szCs w:val="27"/>
          <w:color w:val="auto"/>
        </w:rPr>
        <w:t>,</w:t>
      </w:r>
      <w:r>
        <w:rPr>
          <w:rFonts w:ascii="Arial" w:cs="Arial" w:eastAsia="Arial" w:hAnsi="Arial"/>
          <w:sz w:val="27"/>
          <w:szCs w:val="27"/>
          <w:color w:val="auto"/>
        </w:rPr>
        <w:t xml:space="preserve"> лабильное повышение АД</w:t>
      </w:r>
      <w:r>
        <w:rPr>
          <w:rFonts w:ascii="Arial" w:cs="Arial" w:eastAsia="Arial" w:hAnsi="Arial"/>
          <w:sz w:val="27"/>
          <w:szCs w:val="27"/>
          <w:color w:val="auto"/>
        </w:rPr>
        <w:t>,</w:t>
      </w:r>
      <w:r>
        <w:rPr>
          <w:rFonts w:ascii="Arial" w:cs="Arial" w:eastAsia="Arial" w:hAnsi="Arial"/>
          <w:sz w:val="27"/>
          <w:szCs w:val="27"/>
          <w:color w:val="auto"/>
        </w:rPr>
        <w:t xml:space="preserve"> ортостатическая гипотония</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Синдром Иценко</w:t>
      </w:r>
      <w:r>
        <w:rPr>
          <w:rFonts w:ascii="Arial" w:cs="Arial" w:eastAsia="Arial" w:hAnsi="Arial"/>
          <w:sz w:val="27"/>
          <w:szCs w:val="27"/>
          <w:color w:val="auto"/>
        </w:rPr>
        <w:t>–</w:t>
      </w:r>
      <w:r>
        <w:rPr>
          <w:rFonts w:ascii="Arial" w:cs="Arial" w:eastAsia="Arial" w:hAnsi="Arial"/>
          <w:sz w:val="27"/>
          <w:szCs w:val="27"/>
          <w:color w:val="auto"/>
        </w:rPr>
        <w:t>Кушинга</w:t>
      </w:r>
      <w:r>
        <w:rPr>
          <w:rFonts w:ascii="Arial" w:cs="Arial" w:eastAsia="Arial" w:hAnsi="Arial"/>
          <w:sz w:val="27"/>
          <w:szCs w:val="27"/>
          <w:color w:val="auto"/>
        </w:rPr>
        <w:t>:</w:t>
      </w:r>
      <w:r>
        <w:rPr>
          <w:rFonts w:ascii="Arial" w:cs="Arial" w:eastAsia="Arial" w:hAnsi="Arial"/>
          <w:sz w:val="27"/>
          <w:szCs w:val="27"/>
          <w:color w:val="auto"/>
        </w:rPr>
        <w:t xml:space="preserve"> лунообразное лицо</w:t>
      </w:r>
      <w:r>
        <w:rPr>
          <w:rFonts w:ascii="Arial" w:cs="Arial" w:eastAsia="Arial" w:hAnsi="Arial"/>
          <w:sz w:val="27"/>
          <w:szCs w:val="27"/>
          <w:color w:val="auto"/>
        </w:rPr>
        <w:t>,</w:t>
      </w:r>
      <w:r>
        <w:rPr>
          <w:rFonts w:ascii="Arial" w:cs="Arial" w:eastAsia="Arial" w:hAnsi="Arial"/>
          <w:sz w:val="27"/>
          <w:szCs w:val="27"/>
          <w:color w:val="auto"/>
        </w:rPr>
        <w:t xml:space="preserve"> плетора</w:t>
      </w:r>
      <w:r>
        <w:rPr>
          <w:rFonts w:ascii="Arial" w:cs="Arial" w:eastAsia="Arial" w:hAnsi="Arial"/>
          <w:sz w:val="27"/>
          <w:szCs w:val="27"/>
          <w:color w:val="auto"/>
        </w:rPr>
        <w:t>,</w:t>
      </w:r>
      <w:r>
        <w:rPr>
          <w:rFonts w:ascii="Arial" w:cs="Arial" w:eastAsia="Arial" w:hAnsi="Arial"/>
          <w:sz w:val="27"/>
          <w:szCs w:val="27"/>
          <w:color w:val="auto"/>
        </w:rPr>
        <w:t xml:space="preserve"> жировой горбик</w:t>
      </w:r>
      <w:r>
        <w:rPr>
          <w:rFonts w:ascii="Arial" w:cs="Arial" w:eastAsia="Arial" w:hAnsi="Arial"/>
          <w:sz w:val="27"/>
          <w:szCs w:val="27"/>
          <w:color w:val="auto"/>
        </w:rPr>
        <w:t>,</w:t>
      </w:r>
      <w:r>
        <w:rPr>
          <w:rFonts w:ascii="Arial" w:cs="Arial" w:eastAsia="Arial" w:hAnsi="Arial"/>
          <w:sz w:val="27"/>
          <w:szCs w:val="27"/>
          <w:color w:val="auto"/>
        </w:rPr>
        <w:t xml:space="preserve"> гирсутизм</w:t>
      </w:r>
      <w:r>
        <w:rPr>
          <w:rFonts w:ascii="Arial" w:cs="Arial" w:eastAsia="Arial" w:hAnsi="Arial"/>
          <w:sz w:val="27"/>
          <w:szCs w:val="27"/>
          <w:color w:val="auto"/>
        </w:rPr>
        <w:t>,</w:t>
      </w:r>
      <w:r>
        <w:rPr>
          <w:rFonts w:ascii="Arial" w:cs="Arial" w:eastAsia="Arial" w:hAnsi="Arial"/>
          <w:sz w:val="27"/>
          <w:szCs w:val="27"/>
          <w:color w:val="auto"/>
        </w:rPr>
        <w:t xml:space="preserve"> центральное ожирение</w:t>
      </w:r>
      <w:r>
        <w:rPr>
          <w:rFonts w:ascii="Arial" w:cs="Arial" w:eastAsia="Arial" w:hAnsi="Arial"/>
          <w:sz w:val="27"/>
          <w:szCs w:val="27"/>
          <w:color w:val="auto"/>
        </w:rPr>
        <w:t>,</w:t>
      </w:r>
      <w:r>
        <w:rPr>
          <w:rFonts w:ascii="Arial" w:cs="Arial" w:eastAsia="Arial" w:hAnsi="Arial"/>
          <w:sz w:val="27"/>
          <w:szCs w:val="27"/>
          <w:color w:val="auto"/>
        </w:rPr>
        <w:t xml:space="preserve"> атрофия кожи</w:t>
      </w:r>
      <w:r>
        <w:rPr>
          <w:rFonts w:ascii="Arial" w:cs="Arial" w:eastAsia="Arial" w:hAnsi="Arial"/>
          <w:sz w:val="27"/>
          <w:szCs w:val="27"/>
          <w:color w:val="auto"/>
        </w:rPr>
        <w:t>,</w:t>
      </w:r>
      <w:r>
        <w:rPr>
          <w:rFonts w:ascii="Arial" w:cs="Arial" w:eastAsia="Arial" w:hAnsi="Arial"/>
          <w:sz w:val="27"/>
          <w:szCs w:val="27"/>
          <w:color w:val="auto"/>
        </w:rPr>
        <w:t xml:space="preserve"> багровые стрии</w:t>
      </w:r>
      <w:r>
        <w:rPr>
          <w:rFonts w:ascii="Arial" w:cs="Arial" w:eastAsia="Arial" w:hAnsi="Arial"/>
          <w:sz w:val="27"/>
          <w:szCs w:val="27"/>
          <w:color w:val="auto"/>
        </w:rPr>
        <w:t>,</w:t>
      </w:r>
      <w:r>
        <w:rPr>
          <w:rFonts w:ascii="Arial" w:cs="Arial" w:eastAsia="Arial" w:hAnsi="Arial"/>
          <w:sz w:val="27"/>
          <w:szCs w:val="27"/>
          <w:color w:val="auto"/>
        </w:rPr>
        <w:t xml:space="preserve"> синяки</w:t>
      </w:r>
      <w:r>
        <w:rPr>
          <w:rFonts w:ascii="Arial" w:cs="Arial" w:eastAsia="Arial" w:hAnsi="Arial"/>
          <w:sz w:val="27"/>
          <w:szCs w:val="27"/>
          <w:color w:val="auto"/>
        </w:rPr>
        <w:t>,</w:t>
      </w:r>
      <w:r>
        <w:rPr>
          <w:rFonts w:ascii="Arial" w:cs="Arial" w:eastAsia="Arial" w:hAnsi="Arial"/>
          <w:sz w:val="27"/>
          <w:szCs w:val="27"/>
          <w:color w:val="auto"/>
        </w:rPr>
        <w:t xml:space="preserve"> нарушения углеводного обмена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Заболевания щитовидной железы</w:t>
      </w:r>
      <w:r>
        <w:rPr>
          <w:rFonts w:ascii="Arial" w:cs="Arial" w:eastAsia="Arial" w:hAnsi="Arial"/>
          <w:sz w:val="27"/>
          <w:szCs w:val="27"/>
          <w:color w:val="auto"/>
        </w:rPr>
        <w:t>:</w:t>
      </w:r>
      <w:r>
        <w:rPr>
          <w:rFonts w:ascii="Arial" w:cs="Arial" w:eastAsia="Arial" w:hAnsi="Arial"/>
          <w:sz w:val="27"/>
          <w:szCs w:val="27"/>
          <w:color w:val="auto"/>
        </w:rPr>
        <w:t xml:space="preserve"> симптомы тиреотоксикоза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или гипотиреоза</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6"/>
          <w:szCs w:val="26"/>
          <w:color w:val="auto"/>
        </w:rPr>
        <w:t>Коарктация аорты</w:t>
      </w:r>
      <w:r>
        <w:rPr>
          <w:rFonts w:ascii="Arial" w:cs="Arial" w:eastAsia="Arial" w:hAnsi="Arial"/>
          <w:sz w:val="26"/>
          <w:szCs w:val="26"/>
          <w:color w:val="auto"/>
        </w:rPr>
        <w:t>:</w:t>
      </w:r>
      <w:r>
        <w:rPr>
          <w:rFonts w:ascii="Arial" w:cs="Arial" w:eastAsia="Arial" w:hAnsi="Arial"/>
          <w:sz w:val="26"/>
          <w:szCs w:val="26"/>
          <w:color w:val="auto"/>
        </w:rPr>
        <w:t xml:space="preserve"> головная боль</w:t>
      </w:r>
      <w:r>
        <w:rPr>
          <w:rFonts w:ascii="Arial" w:cs="Arial" w:eastAsia="Arial" w:hAnsi="Arial"/>
          <w:sz w:val="26"/>
          <w:szCs w:val="26"/>
          <w:color w:val="auto"/>
        </w:rPr>
        <w:t>,</w:t>
      </w:r>
      <w:r>
        <w:rPr>
          <w:rFonts w:ascii="Arial" w:cs="Arial" w:eastAsia="Arial" w:hAnsi="Arial"/>
          <w:sz w:val="26"/>
          <w:szCs w:val="26"/>
          <w:color w:val="auto"/>
        </w:rPr>
        <w:t xml:space="preserve"> холодные конечности</w:t>
      </w:r>
      <w:r>
        <w:rPr>
          <w:rFonts w:ascii="Arial" w:cs="Arial" w:eastAsia="Arial" w:hAnsi="Arial"/>
          <w:sz w:val="26"/>
          <w:szCs w:val="26"/>
          <w:color w:val="auto"/>
        </w:rPr>
        <w:t>,</w:t>
      </w:r>
      <w:r>
        <w:rPr>
          <w:rFonts w:ascii="Arial" w:cs="Arial" w:eastAsia="Arial" w:hAnsi="Arial"/>
          <w:sz w:val="26"/>
          <w:szCs w:val="26"/>
          <w:color w:val="auto"/>
        </w:rPr>
        <w:t xml:space="preserve"> боль в</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-109220</wp:posOffset>
            </wp:positionV>
            <wp:extent cx="82550" cy="8255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71"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ногах при физических нагрузках</w:t>
      </w:r>
      <w:r>
        <w:rPr>
          <w:rFonts w:ascii="Arial" w:cs="Arial" w:eastAsia="Arial" w:hAnsi="Arial"/>
          <w:sz w:val="27"/>
          <w:szCs w:val="27"/>
          <w:color w:val="auto"/>
        </w:rPr>
        <w:t>,</w:t>
      </w:r>
      <w:r>
        <w:rPr>
          <w:rFonts w:ascii="Arial" w:cs="Arial" w:eastAsia="Arial" w:hAnsi="Arial"/>
          <w:sz w:val="27"/>
          <w:szCs w:val="27"/>
          <w:color w:val="auto"/>
        </w:rPr>
        <w:t xml:space="preserve"> носовые кровотечения</w:t>
      </w:r>
      <w:r>
        <w:rPr>
          <w:rFonts w:ascii="Arial" w:cs="Arial" w:eastAsia="Arial" w:hAnsi="Arial"/>
          <w:sz w:val="27"/>
          <w:szCs w:val="27"/>
          <w:color w:val="auto"/>
        </w:rPr>
        <w:t>.</w:t>
      </w:r>
    </w:p>
    <w:p>
      <w:pPr>
        <w:sectPr>
          <w:pgSz w:w="11900" w:h="16840" w:orient="portrait"/>
          <w:cols w:equalWidth="0" w:num="1">
            <w:col w:w="9020"/>
          </w:cols>
          <w:pgMar w:left="1440" w:top="0" w:right="1440" w:bottom="1440" w:gutter="0" w:footer="0" w:header="0"/>
        </w:sectPr>
      </w:pPr>
    </w:p>
    <w:bookmarkStart w:id="22" w:name="page23"/>
    <w:bookmarkEnd w:id="22"/>
    <w:p>
      <w:pPr>
        <w:spacing w:after="0" w:line="56" w:lineRule="exact"/>
        <w:rPr>
          <w:sz w:val="20"/>
          <w:szCs w:val="20"/>
          <w:color w:val="auto"/>
        </w:rPr>
      </w:pPr>
    </w:p>
    <w:p>
      <w:pPr>
        <w:ind w:left="900" w:hanging="539"/>
        <w:spacing w:after="0"/>
        <w:tabs>
          <w:tab w:leader="none" w:pos="900" w:val="left"/>
        </w:tabs>
        <w:numPr>
          <w:ilvl w:val="0"/>
          <w:numId w:val="8"/>
        </w:numPr>
        <w:rPr>
          <w:rFonts w:ascii="Arial" w:cs="Arial" w:eastAsia="Arial" w:hAnsi="Arial"/>
          <w:sz w:val="48"/>
          <w:szCs w:val="48"/>
          <w:b w:val="1"/>
          <w:bCs w:val="1"/>
          <w:color w:val="auto"/>
        </w:rPr>
      </w:pPr>
      <w:r>
        <w:rPr>
          <w:rFonts w:ascii="Arial" w:cs="Arial" w:eastAsia="Arial" w:hAnsi="Arial"/>
          <w:sz w:val="48"/>
          <w:szCs w:val="48"/>
          <w:b w:val="1"/>
          <w:bCs w:val="1"/>
          <w:color w:val="auto"/>
        </w:rPr>
        <w:t>Диагностика</w:t>
      </w:r>
    </w:p>
    <w:p>
      <w:pPr>
        <w:spacing w:after="0" w:line="200" w:lineRule="exact"/>
        <w:rPr>
          <w:sz w:val="20"/>
          <w:szCs w:val="20"/>
          <w:color w:val="auto"/>
        </w:rPr>
      </w:pPr>
    </w:p>
    <w:p>
      <w:pPr>
        <w:spacing w:after="0" w:line="200" w:lineRule="exact"/>
        <w:rPr>
          <w:sz w:val="20"/>
          <w:szCs w:val="20"/>
          <w:color w:val="auto"/>
        </w:rPr>
      </w:pPr>
    </w:p>
    <w:p>
      <w:pPr>
        <w:spacing w:after="0" w:line="299"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2.1.</w:t>
      </w:r>
      <w:r>
        <w:rPr>
          <w:rFonts w:ascii="Arial" w:cs="Arial" w:eastAsia="Arial" w:hAnsi="Arial"/>
          <w:sz w:val="33"/>
          <w:szCs w:val="33"/>
          <w:b w:val="1"/>
          <w:bCs w:val="1"/>
          <w:color w:val="auto"/>
        </w:rPr>
        <w:t>Критерии установления диагноза</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Диагноз АГ на основании СМАД устанавливается в соответствии с пороговыми значениями</w:t>
      </w:r>
      <w:r>
        <w:rPr>
          <w:rFonts w:ascii="Arial" w:cs="Arial" w:eastAsia="Arial" w:hAnsi="Arial"/>
          <w:sz w:val="27"/>
          <w:szCs w:val="27"/>
          <w:color w:val="auto"/>
        </w:rPr>
        <w:t>,</w:t>
      </w:r>
      <w:r>
        <w:rPr>
          <w:rFonts w:ascii="Arial" w:cs="Arial" w:eastAsia="Arial" w:hAnsi="Arial"/>
          <w:sz w:val="27"/>
          <w:szCs w:val="27"/>
          <w:color w:val="auto"/>
        </w:rPr>
        <w:t xml:space="preserve"> указанными в таблице П</w:t>
      </w:r>
      <w:r>
        <w:rPr>
          <w:rFonts w:ascii="Arial" w:cs="Arial" w:eastAsia="Arial" w:hAnsi="Arial"/>
          <w:sz w:val="27"/>
          <w:szCs w:val="27"/>
          <w:color w:val="auto"/>
        </w:rPr>
        <w:t>9,</w:t>
      </w:r>
      <w:r>
        <w:rPr>
          <w:rFonts w:ascii="Arial" w:cs="Arial" w:eastAsia="Arial" w:hAnsi="Arial"/>
          <w:sz w:val="27"/>
          <w:szCs w:val="27"/>
          <w:color w:val="auto"/>
        </w:rPr>
        <w:t xml:space="preserve"> Приложение Г</w:t>
      </w:r>
      <w:r>
        <w:rPr>
          <w:rFonts w:ascii="Arial" w:cs="Arial" w:eastAsia="Arial" w:hAnsi="Arial"/>
          <w:sz w:val="27"/>
          <w:szCs w:val="27"/>
          <w:color w:val="auto"/>
        </w:rPr>
        <w:t>2 [32].</w:t>
      </w:r>
      <w:r>
        <w:rPr>
          <w:rFonts w:ascii="Arial" w:cs="Arial" w:eastAsia="Arial" w:hAnsi="Arial"/>
          <w:sz w:val="27"/>
          <w:szCs w:val="27"/>
          <w:color w:val="auto"/>
        </w:rPr>
        <w:t xml:space="preserve"> Мониторинг АД в домашних условиях рекомендуется при недоступности метода СМАД или из</w:t>
      </w:r>
      <w:r>
        <w:rPr>
          <w:rFonts w:ascii="Arial" w:cs="Arial" w:eastAsia="Arial" w:hAnsi="Arial"/>
          <w:sz w:val="27"/>
          <w:szCs w:val="27"/>
          <w:color w:val="auto"/>
        </w:rPr>
        <w:t>-</w:t>
      </w:r>
      <w:r>
        <w:rPr>
          <w:rFonts w:ascii="Arial" w:cs="Arial" w:eastAsia="Arial" w:hAnsi="Arial"/>
          <w:sz w:val="27"/>
          <w:szCs w:val="27"/>
          <w:color w:val="auto"/>
        </w:rPr>
        <w:t>за предпочтений пациента</w:t>
      </w:r>
      <w:r>
        <w:rPr>
          <w:rFonts w:ascii="Arial" w:cs="Arial" w:eastAsia="Arial" w:hAnsi="Arial"/>
          <w:sz w:val="27"/>
          <w:szCs w:val="27"/>
          <w:color w:val="auto"/>
        </w:rPr>
        <w:t>.</w:t>
      </w:r>
      <w:r>
        <w:rPr>
          <w:rFonts w:ascii="Arial" w:cs="Arial" w:eastAsia="Arial" w:hAnsi="Arial"/>
          <w:sz w:val="27"/>
          <w:szCs w:val="27"/>
          <w:color w:val="auto"/>
        </w:rPr>
        <w:t xml:space="preserve"> При этом диагноз АГ устанавливается в соответствии с пороговыми значениями</w:t>
      </w:r>
      <w:r>
        <w:rPr>
          <w:rFonts w:ascii="Arial" w:cs="Arial" w:eastAsia="Arial" w:hAnsi="Arial"/>
          <w:sz w:val="27"/>
          <w:szCs w:val="27"/>
          <w:color w:val="auto"/>
        </w:rPr>
        <w:t>,</w:t>
      </w:r>
      <w:r>
        <w:rPr>
          <w:rFonts w:ascii="Arial" w:cs="Arial" w:eastAsia="Arial" w:hAnsi="Arial"/>
          <w:sz w:val="27"/>
          <w:szCs w:val="27"/>
          <w:color w:val="auto"/>
        </w:rPr>
        <w:t xml:space="preserve"> указанными в таблице П</w:t>
      </w:r>
      <w:r>
        <w:rPr>
          <w:rFonts w:ascii="Arial" w:cs="Arial" w:eastAsia="Arial" w:hAnsi="Arial"/>
          <w:sz w:val="27"/>
          <w:szCs w:val="27"/>
          <w:color w:val="auto"/>
        </w:rPr>
        <w:t>9,</w:t>
      </w:r>
      <w:r>
        <w:rPr>
          <w:rFonts w:ascii="Arial" w:cs="Arial" w:eastAsia="Arial" w:hAnsi="Arial"/>
          <w:sz w:val="27"/>
          <w:szCs w:val="27"/>
          <w:color w:val="auto"/>
        </w:rPr>
        <w:t xml:space="preserve"> Приложение Г</w:t>
      </w:r>
      <w:r>
        <w:rPr>
          <w:rFonts w:ascii="Arial" w:cs="Arial" w:eastAsia="Arial" w:hAnsi="Arial"/>
          <w:sz w:val="27"/>
          <w:szCs w:val="27"/>
          <w:color w:val="auto"/>
        </w:rPr>
        <w:t>2 [32].</w:t>
      </w:r>
    </w:p>
    <w:p>
      <w:pPr>
        <w:spacing w:after="0" w:line="221" w:lineRule="exact"/>
        <w:rPr>
          <w:sz w:val="20"/>
          <w:szCs w:val="20"/>
          <w:color w:val="auto"/>
        </w:rPr>
      </w:pPr>
    </w:p>
    <w:p>
      <w:pPr>
        <w:jc w:val="both"/>
        <w:ind w:left="680" w:right="220" w:hanging="4"/>
        <w:spacing w:after="0" w:line="301" w:lineRule="auto"/>
        <w:tabs>
          <w:tab w:leader="none" w:pos="925" w:val="left"/>
        </w:tabs>
        <w:numPr>
          <w:ilvl w:val="0"/>
          <w:numId w:val="9"/>
        </w:numPr>
        <w:rPr>
          <w:rFonts w:ascii="Arial" w:cs="Arial" w:eastAsia="Arial" w:hAnsi="Arial"/>
          <w:sz w:val="27"/>
          <w:szCs w:val="27"/>
          <w:color w:val="auto"/>
        </w:rPr>
      </w:pPr>
      <w:r>
        <w:rPr>
          <w:rFonts w:ascii="Arial" w:cs="Arial" w:eastAsia="Arial" w:hAnsi="Arial"/>
          <w:sz w:val="27"/>
          <w:szCs w:val="27"/>
          <w:color w:val="auto"/>
        </w:rPr>
        <w:t>случае если диагноз важен для экспертизы трудоспособности или определения годности к военной службе</w:t>
      </w:r>
      <w:r>
        <w:rPr>
          <w:rFonts w:ascii="Arial" w:cs="Arial" w:eastAsia="Arial" w:hAnsi="Arial"/>
          <w:sz w:val="27"/>
          <w:szCs w:val="27"/>
          <w:color w:val="auto"/>
        </w:rPr>
        <w:t>,</w:t>
      </w:r>
      <w:r>
        <w:rPr>
          <w:rFonts w:ascii="Arial" w:cs="Arial" w:eastAsia="Arial" w:hAnsi="Arial"/>
          <w:sz w:val="27"/>
          <w:szCs w:val="27"/>
          <w:color w:val="auto"/>
        </w:rPr>
        <w:t xml:space="preserve"> а также годности</w:t>
      </w:r>
    </w:p>
    <w:p>
      <w:pPr>
        <w:spacing w:after="0" w:line="1" w:lineRule="exact"/>
        <w:rPr>
          <w:rFonts w:ascii="Arial" w:cs="Arial" w:eastAsia="Arial" w:hAnsi="Arial"/>
          <w:sz w:val="27"/>
          <w:szCs w:val="27"/>
          <w:color w:val="auto"/>
        </w:rPr>
      </w:pPr>
    </w:p>
    <w:p>
      <w:pPr>
        <w:ind w:left="680" w:right="220"/>
        <w:spacing w:after="0" w:line="334" w:lineRule="auto"/>
        <w:rPr>
          <w:rFonts w:ascii="Arial" w:cs="Arial" w:eastAsia="Arial" w:hAnsi="Arial"/>
          <w:sz w:val="27"/>
          <w:szCs w:val="27"/>
          <w:color w:val="auto"/>
        </w:rPr>
      </w:pPr>
      <w:r>
        <w:rPr>
          <w:rFonts w:ascii="Arial" w:cs="Arial" w:eastAsia="Arial" w:hAnsi="Arial"/>
          <w:sz w:val="27"/>
          <w:szCs w:val="27"/>
          <w:color w:val="auto"/>
        </w:rPr>
        <w:t>к профессиональной деятельности</w:t>
      </w:r>
      <w:r>
        <w:rPr>
          <w:rFonts w:ascii="Arial" w:cs="Arial" w:eastAsia="Arial" w:hAnsi="Arial"/>
          <w:sz w:val="27"/>
          <w:szCs w:val="27"/>
          <w:color w:val="auto"/>
        </w:rPr>
        <w:t>,</w:t>
      </w:r>
      <w:r>
        <w:rPr>
          <w:rFonts w:ascii="Arial" w:cs="Arial" w:eastAsia="Arial" w:hAnsi="Arial"/>
          <w:sz w:val="27"/>
          <w:szCs w:val="27"/>
          <w:color w:val="auto"/>
        </w:rPr>
        <w:t xml:space="preserve"> необходима объективизация с помощью постановки СМАД</w:t>
      </w:r>
      <w:r>
        <w:rPr>
          <w:rFonts w:ascii="Arial" w:cs="Arial" w:eastAsia="Arial" w:hAnsi="Arial"/>
          <w:sz w:val="27"/>
          <w:szCs w:val="27"/>
          <w:color w:val="auto"/>
        </w:rPr>
        <w:t>.</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Диагностика АГ включает следующие этапы</w:t>
      </w:r>
      <w:r>
        <w:rPr>
          <w:rFonts w:ascii="Arial" w:cs="Arial" w:eastAsia="Arial" w:hAnsi="Arial"/>
          <w:sz w:val="27"/>
          <w:szCs w:val="27"/>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выяснение жалоб и сбор анамнеза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повторные измерения АД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объективное обследование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5400" w:val="left"/>
          <w:tab w:leader="none" w:pos="6960" w:val="left"/>
        </w:tabs>
        <w:rPr>
          <w:sz w:val="20"/>
          <w:szCs w:val="20"/>
          <w:color w:val="auto"/>
        </w:rPr>
      </w:pPr>
      <w:r>
        <w:rPr>
          <w:rFonts w:ascii="Arial" w:cs="Arial" w:eastAsia="Arial" w:hAnsi="Arial"/>
          <w:sz w:val="27"/>
          <w:szCs w:val="27"/>
          <w:color w:val="auto"/>
        </w:rPr>
        <w:t>лабораторно</w:t>
      </w:r>
      <w:r>
        <w:rPr>
          <w:rFonts w:ascii="Arial" w:cs="Arial" w:eastAsia="Arial" w:hAnsi="Arial"/>
          <w:sz w:val="27"/>
          <w:szCs w:val="27"/>
          <w:color w:val="auto"/>
        </w:rPr>
        <w:t>-</w:t>
      </w:r>
      <w:r>
        <w:rPr>
          <w:rFonts w:ascii="Arial" w:cs="Arial" w:eastAsia="Arial" w:hAnsi="Arial"/>
          <w:sz w:val="27"/>
          <w:szCs w:val="27"/>
          <w:color w:val="auto"/>
        </w:rPr>
        <w:t>инструментальные</w:t>
      </w:r>
      <w:r>
        <w:rPr>
          <w:sz w:val="20"/>
          <w:szCs w:val="20"/>
          <w:color w:val="auto"/>
        </w:rPr>
        <w:tab/>
      </w:r>
      <w:r>
        <w:rPr>
          <w:rFonts w:ascii="Arial" w:cs="Arial" w:eastAsia="Arial" w:hAnsi="Arial"/>
          <w:sz w:val="27"/>
          <w:szCs w:val="27"/>
          <w:color w:val="auto"/>
        </w:rPr>
        <w:t>методы</w:t>
      </w:r>
      <w:r>
        <w:rPr>
          <w:sz w:val="20"/>
          <w:szCs w:val="20"/>
          <w:color w:val="auto"/>
        </w:rPr>
        <w:tab/>
      </w:r>
      <w:r>
        <w:rPr>
          <w:rFonts w:ascii="Arial" w:cs="Arial" w:eastAsia="Arial" w:hAnsi="Arial"/>
          <w:sz w:val="26"/>
          <w:szCs w:val="26"/>
          <w:color w:val="auto"/>
        </w:rPr>
        <w:t>исследования</w:t>
      </w:r>
      <w:r>
        <w:rPr>
          <w:rFonts w:ascii="Arial" w:cs="Arial" w:eastAsia="Arial" w:hAnsi="Arial"/>
          <w:sz w:val="26"/>
          <w:szCs w:val="26"/>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рутинные на первом этапе и сложные </w:t>
      </w:r>
      <w:r>
        <w:rPr>
          <w:rFonts w:ascii="Arial" w:cs="Arial" w:eastAsia="Arial" w:hAnsi="Arial"/>
          <w:sz w:val="27"/>
          <w:szCs w:val="27"/>
          <w:color w:val="auto"/>
        </w:rPr>
        <w:t>—</w:t>
      </w:r>
      <w:r>
        <w:rPr>
          <w:rFonts w:ascii="Arial" w:cs="Arial" w:eastAsia="Arial" w:hAnsi="Arial"/>
          <w:sz w:val="27"/>
          <w:szCs w:val="27"/>
          <w:color w:val="auto"/>
        </w:rPr>
        <w:t xml:space="preserve"> на втором этапе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обследования </w:t>
      </w:r>
      <w:r>
        <w:rPr>
          <w:rFonts w:ascii="Arial" w:cs="Arial" w:eastAsia="Arial" w:hAnsi="Arial"/>
          <w:sz w:val="27"/>
          <w:szCs w:val="27"/>
          <w:color w:val="auto"/>
        </w:rPr>
        <w:t>(</w:t>
      </w:r>
      <w:r>
        <w:rPr>
          <w:rFonts w:ascii="Arial" w:cs="Arial" w:eastAsia="Arial" w:hAnsi="Arial"/>
          <w:sz w:val="27"/>
          <w:szCs w:val="27"/>
          <w:color w:val="auto"/>
        </w:rPr>
        <w:t>по показаниям</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640" w:val="left"/>
          <w:tab w:leader="none" w:pos="4480" w:val="left"/>
          <w:tab w:leader="none" w:pos="7540" w:val="left"/>
          <w:tab w:leader="none" w:pos="8300" w:val="left"/>
        </w:tabs>
        <w:rPr>
          <w:sz w:val="20"/>
          <w:szCs w:val="20"/>
          <w:color w:val="auto"/>
        </w:rPr>
      </w:pPr>
      <w:r>
        <w:rPr>
          <w:rFonts w:ascii="Arial" w:cs="Arial" w:eastAsia="Arial" w:hAnsi="Arial"/>
          <w:sz w:val="27"/>
          <w:szCs w:val="27"/>
          <w:color w:val="auto"/>
        </w:rPr>
        <w:t>исключение</w:t>
        <w:tab/>
        <w:t>вторичных</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симптоматических</w:t>
      </w:r>
      <w:r>
        <w:rPr>
          <w:rFonts w:ascii="Arial" w:cs="Arial" w:eastAsia="Arial" w:hAnsi="Arial"/>
          <w:sz w:val="27"/>
          <w:szCs w:val="27"/>
          <w:color w:val="auto"/>
        </w:rPr>
        <w:t>)</w:t>
      </w:r>
      <w:r>
        <w:rPr>
          <w:sz w:val="20"/>
          <w:szCs w:val="20"/>
          <w:color w:val="auto"/>
        </w:rPr>
        <w:tab/>
      </w:r>
      <w:r>
        <w:rPr>
          <w:rFonts w:ascii="Arial" w:cs="Arial" w:eastAsia="Arial" w:hAnsi="Arial"/>
          <w:sz w:val="27"/>
          <w:szCs w:val="27"/>
          <w:color w:val="auto"/>
        </w:rPr>
        <w:t>АГ</w:t>
        <w:tab/>
        <w:t>при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необходимости</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оценка общего сердечно</w:t>
      </w:r>
      <w:r>
        <w:rPr>
          <w:rFonts w:ascii="Arial" w:cs="Arial" w:eastAsia="Arial" w:hAnsi="Arial"/>
          <w:sz w:val="27"/>
          <w:szCs w:val="27"/>
          <w:color w:val="auto"/>
        </w:rPr>
        <w:t>-</w:t>
      </w:r>
      <w:r>
        <w:rPr>
          <w:rFonts w:ascii="Arial" w:cs="Arial" w:eastAsia="Arial" w:hAnsi="Arial"/>
          <w:sz w:val="27"/>
          <w:szCs w:val="27"/>
          <w:color w:val="auto"/>
        </w:rPr>
        <w:t>сосудистого риска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Всем пациентам при измерении уровня АД в медицинском учреждении рекомендуется классифицировать его на оптимальное</w:t>
      </w:r>
      <w:r>
        <w:rPr>
          <w:rFonts w:ascii="Arial" w:cs="Arial" w:eastAsia="Arial" w:hAnsi="Arial"/>
          <w:sz w:val="27"/>
          <w:szCs w:val="27"/>
          <w:color w:val="auto"/>
        </w:rPr>
        <w:t>,</w:t>
      </w:r>
      <w:r>
        <w:rPr>
          <w:rFonts w:ascii="Arial" w:cs="Arial" w:eastAsia="Arial" w:hAnsi="Arial"/>
          <w:sz w:val="27"/>
          <w:szCs w:val="27"/>
          <w:color w:val="auto"/>
        </w:rPr>
        <w:t xml:space="preserve"> нормальное</w:t>
      </w:r>
      <w:r>
        <w:rPr>
          <w:rFonts w:ascii="Arial" w:cs="Arial" w:eastAsia="Arial" w:hAnsi="Arial"/>
          <w:sz w:val="27"/>
          <w:szCs w:val="27"/>
          <w:color w:val="auto"/>
        </w:rPr>
        <w:t>,</w:t>
      </w:r>
      <w:r>
        <w:rPr>
          <w:rFonts w:ascii="Arial" w:cs="Arial" w:eastAsia="Arial" w:hAnsi="Arial"/>
          <w:sz w:val="27"/>
          <w:szCs w:val="27"/>
          <w:color w:val="auto"/>
        </w:rPr>
        <w:t xml:space="preserve"> высокое нормальное артериальное давление или артериальную гипертензию </w:t>
      </w:r>
      <w:r>
        <w:rPr>
          <w:rFonts w:ascii="Arial" w:cs="Arial" w:eastAsia="Arial" w:hAnsi="Arial"/>
          <w:sz w:val="27"/>
          <w:szCs w:val="27"/>
          <w:color w:val="auto"/>
        </w:rPr>
        <w:t>1–3-</w:t>
      </w:r>
      <w:r>
        <w:rPr>
          <w:rFonts w:ascii="Arial" w:cs="Arial" w:eastAsia="Arial" w:hAnsi="Arial"/>
          <w:sz w:val="27"/>
          <w:szCs w:val="27"/>
          <w:color w:val="auto"/>
        </w:rPr>
        <w:t xml:space="preserve">й степени </w:t>
      </w:r>
      <w:r>
        <w:rPr>
          <w:rFonts w:ascii="Arial" w:cs="Arial" w:eastAsia="Arial" w:hAnsi="Arial"/>
          <w:sz w:val="27"/>
          <w:szCs w:val="27"/>
          <w:color w:val="auto"/>
        </w:rPr>
        <w:t>[21,</w:t>
      </w:r>
      <w:r>
        <w:rPr>
          <w:rFonts w:ascii="Arial" w:cs="Arial" w:eastAsia="Arial" w:hAnsi="Arial"/>
          <w:sz w:val="27"/>
          <w:szCs w:val="27"/>
          <w:color w:val="auto"/>
        </w:rPr>
        <w:t xml:space="preserve">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УУД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5"/>
          <w:szCs w:val="25"/>
          <w:b w:val="1"/>
          <w:bCs w:val="1"/>
          <w:color w:val="auto"/>
        </w:rPr>
        <w:t>Комментарий</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Повышение АД</w:t>
      </w:r>
      <w:r>
        <w:rPr>
          <w:rFonts w:ascii="Arial" w:cs="Arial" w:eastAsia="Arial" w:hAnsi="Arial"/>
          <w:sz w:val="25"/>
          <w:szCs w:val="25"/>
          <w:b w:val="1"/>
          <w:bCs w:val="1"/>
          <w:i w:val="1"/>
          <w:i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измеренного в медицинском</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 xml:space="preserve">учреждении выше </w:t>
      </w:r>
      <w:r>
        <w:rPr>
          <w:rFonts w:ascii="Arial" w:cs="Arial" w:eastAsia="Arial" w:hAnsi="Arial"/>
          <w:sz w:val="25"/>
          <w:szCs w:val="25"/>
          <w:b w:val="1"/>
          <w:bCs w:val="1"/>
          <w:i w:val="1"/>
          <w:iCs w:val="1"/>
          <w:color w:val="auto"/>
        </w:rPr>
        <w:t>140</w:t>
      </w:r>
      <w:r>
        <w:rPr>
          <w:rFonts w:ascii="Arial" w:cs="Arial" w:eastAsia="Arial" w:hAnsi="Arial"/>
          <w:sz w:val="25"/>
          <w:szCs w:val="25"/>
          <w:b w:val="1"/>
          <w:bCs w:val="1"/>
          <w:i w:val="1"/>
          <w:iCs w:val="1"/>
          <w:color w:val="auto"/>
        </w:rPr>
        <w:t xml:space="preserve"> 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или </w:t>
      </w:r>
      <w:r>
        <w:rPr>
          <w:rFonts w:ascii="Arial" w:cs="Arial" w:eastAsia="Arial" w:hAnsi="Arial"/>
          <w:sz w:val="25"/>
          <w:szCs w:val="25"/>
          <w:b w:val="1"/>
          <w:bCs w:val="1"/>
          <w:i w:val="1"/>
          <w:iCs w:val="1"/>
          <w:color w:val="auto"/>
        </w:rPr>
        <w:t>90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 (</w:t>
      </w:r>
      <w:r>
        <w:rPr>
          <w:rFonts w:ascii="Arial" w:cs="Arial" w:eastAsia="Arial" w:hAnsi="Arial"/>
          <w:sz w:val="25"/>
          <w:szCs w:val="25"/>
          <w:b w:val="1"/>
          <w:bCs w:val="1"/>
          <w:i w:val="1"/>
          <w:iCs w:val="1"/>
          <w:color w:val="auto"/>
        </w:rPr>
        <w:t>таблица П</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1)</w:t>
      </w:r>
      <w:r>
        <w:rPr>
          <w:rFonts w:ascii="Arial" w:cs="Arial" w:eastAsia="Arial" w:hAnsi="Arial"/>
          <w:sz w:val="25"/>
          <w:szCs w:val="25"/>
          <w:b w:val="1"/>
          <w:bCs w:val="1"/>
          <w:i w:val="1"/>
          <w:iCs w:val="1"/>
          <w:color w:val="auto"/>
        </w:rPr>
        <w:t xml:space="preserve"> на двух разных визитах</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за исключением тяжелой АГ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АГ </w:t>
      </w:r>
      <w:r>
        <w:rPr>
          <w:rFonts w:ascii="Arial" w:cs="Arial" w:eastAsia="Arial" w:hAnsi="Arial"/>
          <w:sz w:val="25"/>
          <w:szCs w:val="25"/>
          <w:b w:val="1"/>
          <w:bCs w:val="1"/>
          <w:i w:val="1"/>
          <w:iCs w:val="1"/>
          <w:color w:val="auto"/>
        </w:rPr>
        <w:t>3-</w:t>
      </w:r>
      <w:r>
        <w:rPr>
          <w:rFonts w:ascii="Arial" w:cs="Arial" w:eastAsia="Arial" w:hAnsi="Arial"/>
          <w:sz w:val="25"/>
          <w:szCs w:val="25"/>
          <w:b w:val="1"/>
          <w:bCs w:val="1"/>
          <w:i w:val="1"/>
          <w:iCs w:val="1"/>
          <w:color w:val="auto"/>
        </w:rPr>
        <w:t>й степени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особенно у пациентов высокого риска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или повышения АД при измерении вне медицинского</w:t>
      </w:r>
    </w:p>
    <w:p>
      <w:pPr>
        <w:sectPr>
          <w:pgSz w:w="11900" w:h="16896" w:orient="portrait"/>
          <w:cols w:equalWidth="0" w:num="1">
            <w:col w:w="9020"/>
          </w:cols>
          <w:pgMar w:left="1440" w:top="671" w:right="1440" w:bottom="0" w:gutter="0" w:footer="0" w:header="0"/>
        </w:sectPr>
      </w:pPr>
    </w:p>
    <w:bookmarkStart w:id="23" w:name="page24"/>
    <w:bookmarkEnd w:id="23"/>
    <w:p>
      <w:pPr>
        <w:spacing w:after="0" w:line="17"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 xml:space="preserve">учреждения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по данным СМАД 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или ДМАД</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при условии экономической и логистической целесообразности </w:t>
      </w:r>
      <w:r>
        <w:rPr>
          <w:rFonts w:ascii="Arial" w:cs="Arial" w:eastAsia="Arial" w:hAnsi="Arial"/>
          <w:sz w:val="27"/>
          <w:szCs w:val="27"/>
          <w:b w:val="1"/>
          <w:bCs w:val="1"/>
          <w:i w:val="1"/>
          <w:iCs w:val="1"/>
          <w:color w:val="auto"/>
        </w:rPr>
        <w:t>[32–37]</w:t>
      </w:r>
      <w:r>
        <w:rPr>
          <w:rFonts w:ascii="Arial" w:cs="Arial" w:eastAsia="Arial" w:hAnsi="Arial"/>
          <w:sz w:val="27"/>
          <w:szCs w:val="27"/>
          <w:b w:val="1"/>
          <w:bCs w:val="1"/>
          <w:i w:val="1"/>
          <w:iCs w:val="1"/>
          <w:color w:val="auto"/>
        </w:rPr>
        <w:t xml:space="preserve">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таблица П</w:t>
      </w:r>
      <w:r>
        <w:rPr>
          <w:rFonts w:ascii="Arial" w:cs="Arial" w:eastAsia="Arial" w:hAnsi="Arial"/>
          <w:sz w:val="27"/>
          <w:szCs w:val="27"/>
          <w:b w:val="1"/>
          <w:bCs w:val="1"/>
          <w:i w:val="1"/>
          <w:iCs w:val="1"/>
          <w:color w:val="auto"/>
        </w:rPr>
        <w:t xml:space="preserve">7, </w:t>
      </w:r>
      <w:r>
        <w:rPr>
          <w:rFonts w:ascii="Arial" w:cs="Arial" w:eastAsia="Arial" w:hAnsi="Arial"/>
          <w:sz w:val="27"/>
          <w:szCs w:val="27"/>
          <w:b w:val="1"/>
          <w:bCs w:val="1"/>
          <w:i w:val="1"/>
          <w:iCs w:val="1"/>
          <w:color w:val="auto"/>
        </w:rPr>
        <w:t>Приложение Г</w:t>
      </w:r>
      <w:r>
        <w:rPr>
          <w:rFonts w:ascii="Arial" w:cs="Arial" w:eastAsia="Arial" w:hAnsi="Arial"/>
          <w:sz w:val="27"/>
          <w:szCs w:val="27"/>
          <w:b w:val="1"/>
          <w:bCs w:val="1"/>
          <w:i w:val="1"/>
          <w:iCs w:val="1"/>
          <w:color w:val="auto"/>
        </w:rPr>
        <w:t>2).</w:t>
      </w:r>
    </w:p>
    <w:p>
      <w:pPr>
        <w:spacing w:after="0" w:line="21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У всех пациентов с впервые диагностированным гипертоническим кризом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необходимо выявить причину повышения АД</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 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ч</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симптоматическую АГ</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hanging="4"/>
        <w:spacing w:after="0" w:line="394" w:lineRule="auto"/>
        <w:tabs>
          <w:tab w:leader="none" w:pos="970" w:val="left"/>
        </w:tabs>
        <w:numPr>
          <w:ilvl w:val="0"/>
          <w:numId w:val="10"/>
        </w:numPr>
        <w:rPr>
          <w:rFonts w:ascii="Arial" w:cs="Arial" w:eastAsia="Arial" w:hAnsi="Arial"/>
          <w:sz w:val="23"/>
          <w:szCs w:val="23"/>
          <w:b w:val="1"/>
          <w:bCs w:val="1"/>
          <w:i w:val="1"/>
          <w:iCs w:val="1"/>
          <w:color w:val="auto"/>
        </w:rPr>
      </w:pPr>
      <w:r>
        <w:rPr>
          <w:rFonts w:ascii="Arial" w:cs="Arial" w:eastAsia="Arial" w:hAnsi="Arial"/>
          <w:sz w:val="23"/>
          <w:szCs w:val="23"/>
          <w:b w:val="1"/>
          <w:bCs w:val="1"/>
          <w:i w:val="1"/>
          <w:iCs w:val="1"/>
          <w:color w:val="auto"/>
        </w:rPr>
        <w:t xml:space="preserve">всех пациентов при выявлении повышения АД в медицинском учреждении необходимо два измерения АД на двух разных визитах для постановки диагноза АГ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таблица П</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 xml:space="preserve"> Приложение Г</w:t>
      </w:r>
      <w:r>
        <w:rPr>
          <w:rFonts w:ascii="Arial" w:cs="Arial" w:eastAsia="Arial" w:hAnsi="Arial"/>
          <w:sz w:val="23"/>
          <w:szCs w:val="23"/>
          <w:b w:val="1"/>
          <w:bCs w:val="1"/>
          <w:i w:val="1"/>
          <w:iCs w:val="1"/>
          <w:color w:val="auto"/>
        </w:rPr>
        <w:t>1) [21;32].</w:t>
      </w:r>
    </w:p>
    <w:p>
      <w:pPr>
        <w:spacing w:after="0" w:line="138" w:lineRule="exact"/>
        <w:rPr>
          <w:sz w:val="20"/>
          <w:szCs w:val="20"/>
          <w:color w:val="auto"/>
        </w:rPr>
      </w:pPr>
    </w:p>
    <w:p>
      <w:pPr>
        <w:jc w:val="both"/>
        <w:ind w:left="680" w:right="220"/>
        <w:spacing w:after="0" w:line="380" w:lineRule="auto"/>
        <w:rPr>
          <w:sz w:val="20"/>
          <w:szCs w:val="20"/>
          <w:color w:val="auto"/>
        </w:rPr>
      </w:pPr>
      <w:r>
        <w:rPr>
          <w:rFonts w:ascii="Arial" w:cs="Arial" w:eastAsia="Arial" w:hAnsi="Arial"/>
          <w:sz w:val="23"/>
          <w:szCs w:val="23"/>
          <w:b w:val="1"/>
          <w:bCs w:val="1"/>
          <w:i w:val="1"/>
          <w:iCs w:val="1"/>
          <w:color w:val="auto"/>
        </w:rPr>
        <w:t xml:space="preserve">На каждом визите должно быть проведено не менее двух измерений АД с интервалом в </w:t>
      </w:r>
      <w:r>
        <w:rPr>
          <w:rFonts w:ascii="Arial" w:cs="Arial" w:eastAsia="Arial" w:hAnsi="Arial"/>
          <w:sz w:val="23"/>
          <w:szCs w:val="23"/>
          <w:b w:val="1"/>
          <w:bCs w:val="1"/>
          <w:i w:val="1"/>
          <w:iCs w:val="1"/>
          <w:color w:val="auto"/>
        </w:rPr>
        <w:t>1-2</w:t>
      </w:r>
      <w:r>
        <w:rPr>
          <w:rFonts w:ascii="Arial" w:cs="Arial" w:eastAsia="Arial" w:hAnsi="Arial"/>
          <w:sz w:val="23"/>
          <w:szCs w:val="23"/>
          <w:b w:val="1"/>
          <w:bCs w:val="1"/>
          <w:i w:val="1"/>
          <w:iCs w:val="1"/>
          <w:color w:val="auto"/>
        </w:rPr>
        <w:t xml:space="preserve"> мин и еще одно дополнительное измерение при разнице между первыми двумя более </w:t>
      </w:r>
      <w:r>
        <w:rPr>
          <w:rFonts w:ascii="Arial" w:cs="Arial" w:eastAsia="Arial" w:hAnsi="Arial"/>
          <w:sz w:val="23"/>
          <w:szCs w:val="23"/>
          <w:b w:val="1"/>
          <w:bCs w:val="1"/>
          <w:i w:val="1"/>
          <w:iCs w:val="1"/>
          <w:color w:val="auto"/>
        </w:rPr>
        <w:t>10</w:t>
      </w:r>
      <w:r>
        <w:rPr>
          <w:rFonts w:ascii="Arial" w:cs="Arial" w:eastAsia="Arial" w:hAnsi="Arial"/>
          <w:sz w:val="23"/>
          <w:szCs w:val="23"/>
          <w:b w:val="1"/>
          <w:bCs w:val="1"/>
          <w:i w:val="1"/>
          <w:iCs w:val="1"/>
          <w:color w:val="auto"/>
        </w:rPr>
        <w:t xml:space="preserve"> мм рт</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ст</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Уровень АД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это среднее из последних двух измерений</w:t>
      </w:r>
      <w:r>
        <w:rPr>
          <w:rFonts w:ascii="Arial" w:cs="Arial" w:eastAsia="Arial" w:hAnsi="Arial"/>
          <w:sz w:val="23"/>
          <w:szCs w:val="23"/>
          <w:b w:val="1"/>
          <w:bCs w:val="1"/>
          <w:i w:val="1"/>
          <w:iCs w:val="1"/>
          <w:color w:val="auto"/>
        </w:rPr>
        <w:t>.</w:t>
      </w:r>
    </w:p>
    <w:p>
      <w:pPr>
        <w:spacing w:after="0" w:line="156"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Проведение методов измерения АД вне медицинского учреждения </w:t>
      </w:r>
      <w:r>
        <w:rPr>
          <w:rFonts w:ascii="Arial" w:cs="Arial" w:eastAsia="Arial" w:hAnsi="Arial"/>
          <w:sz w:val="27"/>
          <w:szCs w:val="27"/>
          <w:color w:val="auto"/>
        </w:rPr>
        <w:t>(</w:t>
      </w:r>
      <w:r>
        <w:rPr>
          <w:rFonts w:ascii="Arial" w:cs="Arial" w:eastAsia="Arial" w:hAnsi="Arial"/>
          <w:sz w:val="27"/>
          <w:szCs w:val="27"/>
          <w:color w:val="auto"/>
        </w:rPr>
        <w:t>СМАД и ДМАД</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в отдельных клинических ситуациях</w:t>
      </w:r>
      <w:r>
        <w:rPr>
          <w:rFonts w:ascii="Arial" w:cs="Arial" w:eastAsia="Arial" w:hAnsi="Arial"/>
          <w:sz w:val="27"/>
          <w:szCs w:val="27"/>
          <w:color w:val="auto"/>
        </w:rPr>
        <w:t>:</w:t>
      </w:r>
      <w:r>
        <w:rPr>
          <w:rFonts w:ascii="Arial" w:cs="Arial" w:eastAsia="Arial" w:hAnsi="Arial"/>
          <w:sz w:val="27"/>
          <w:szCs w:val="27"/>
          <w:color w:val="auto"/>
        </w:rPr>
        <w:t xml:space="preserve"> при выявлении гипертонии белого халата и маскированной АГ с целью оценки эффективности лечения и выявлении возможных побочных эффектов </w:t>
      </w:r>
      <w:r>
        <w:rPr>
          <w:rFonts w:ascii="Arial" w:cs="Arial" w:eastAsia="Arial" w:hAnsi="Arial"/>
          <w:sz w:val="27"/>
          <w:szCs w:val="27"/>
          <w:color w:val="auto"/>
        </w:rPr>
        <w:t>[21, 32,</w:t>
      </w:r>
      <w:r>
        <w:rPr>
          <w:rFonts w:ascii="Arial" w:cs="Arial" w:eastAsia="Arial" w:hAnsi="Arial"/>
          <w:sz w:val="27"/>
          <w:szCs w:val="27"/>
          <w:color w:val="auto"/>
        </w:rPr>
        <w:t xml:space="preserve"> </w:t>
      </w:r>
      <w:r>
        <w:rPr>
          <w:rFonts w:ascii="Arial" w:cs="Arial" w:eastAsia="Arial" w:hAnsi="Arial"/>
          <w:sz w:val="27"/>
          <w:szCs w:val="27"/>
          <w:color w:val="auto"/>
        </w:rPr>
        <w:t>38].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Рекомендуется при установлении диагноза учитывать возможность вторичной </w:t>
      </w:r>
      <w:r>
        <w:rPr>
          <w:rFonts w:ascii="Arial" w:cs="Arial" w:eastAsia="Arial" w:hAnsi="Arial"/>
          <w:sz w:val="27"/>
          <w:szCs w:val="27"/>
          <w:color w:val="auto"/>
        </w:rPr>
        <w:t>(</w:t>
      </w:r>
      <w:r>
        <w:rPr>
          <w:rFonts w:ascii="Arial" w:cs="Arial" w:eastAsia="Arial" w:hAnsi="Arial"/>
          <w:sz w:val="27"/>
          <w:szCs w:val="27"/>
          <w:color w:val="auto"/>
        </w:rPr>
        <w:t>симптоматической</w:t>
      </w:r>
      <w:r>
        <w:rPr>
          <w:rFonts w:ascii="Arial" w:cs="Arial" w:eastAsia="Arial" w:hAnsi="Arial"/>
          <w:sz w:val="27"/>
          <w:szCs w:val="27"/>
          <w:color w:val="auto"/>
        </w:rPr>
        <w:t>)</w:t>
      </w:r>
      <w:r>
        <w:rPr>
          <w:rFonts w:ascii="Arial" w:cs="Arial" w:eastAsia="Arial" w:hAnsi="Arial"/>
          <w:sz w:val="27"/>
          <w:szCs w:val="27"/>
          <w:color w:val="auto"/>
        </w:rPr>
        <w:t xml:space="preserve"> формы АГ и проводить диагностические мероприятия</w:t>
      </w:r>
      <w:r>
        <w:rPr>
          <w:rFonts w:ascii="Arial" w:cs="Arial" w:eastAsia="Arial" w:hAnsi="Arial"/>
          <w:sz w:val="27"/>
          <w:szCs w:val="27"/>
          <w:color w:val="auto"/>
        </w:rPr>
        <w:t>,</w:t>
      </w:r>
      <w:r>
        <w:rPr>
          <w:rFonts w:ascii="Arial" w:cs="Arial" w:eastAsia="Arial" w:hAnsi="Arial"/>
          <w:sz w:val="27"/>
          <w:szCs w:val="27"/>
          <w:color w:val="auto"/>
        </w:rPr>
        <w:t xml:space="preserve"> направленные на ее исключение при наличии следующих признаков </w:t>
      </w:r>
      <w:r>
        <w:rPr>
          <w:rFonts w:ascii="Arial" w:cs="Arial" w:eastAsia="Arial" w:hAnsi="Arial"/>
          <w:sz w:val="27"/>
          <w:szCs w:val="27"/>
          <w:color w:val="auto"/>
        </w:rPr>
        <w:t>[39, 138, 220]</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 xml:space="preserve">3, </w:t>
      </w:r>
      <w:r>
        <w:rPr>
          <w:rFonts w:ascii="Arial" w:cs="Arial" w:eastAsia="Arial" w:hAnsi="Arial"/>
          <w:sz w:val="27"/>
          <w:szCs w:val="27"/>
          <w:color w:val="auto"/>
        </w:rPr>
        <w:t>Приложение Г</w:t>
      </w:r>
      <w:r>
        <w:rPr>
          <w:rFonts w:ascii="Arial" w:cs="Arial" w:eastAsia="Arial" w:hAnsi="Arial"/>
          <w:sz w:val="27"/>
          <w:szCs w:val="27"/>
          <w:color w:val="auto"/>
        </w:rPr>
        <w:t>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-1155700</wp:posOffset>
            </wp:positionV>
            <wp:extent cx="82550" cy="8255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1000" w:right="220"/>
        <w:spacing w:after="0" w:line="301" w:lineRule="auto"/>
        <w:rPr>
          <w:sz w:val="20"/>
          <w:szCs w:val="20"/>
          <w:color w:val="auto"/>
        </w:rPr>
      </w:pPr>
      <w:r>
        <w:rPr>
          <w:rFonts w:ascii="Arial" w:cs="Arial" w:eastAsia="Arial" w:hAnsi="Arial"/>
          <w:sz w:val="27"/>
          <w:szCs w:val="27"/>
          <w:color w:val="auto"/>
        </w:rPr>
        <w:t xml:space="preserve">АГ </w:t>
      </w:r>
      <w:r>
        <w:rPr>
          <w:rFonts w:ascii="Arial" w:cs="Arial" w:eastAsia="Arial" w:hAnsi="Arial"/>
          <w:sz w:val="27"/>
          <w:szCs w:val="27"/>
          <w:color w:val="auto"/>
        </w:rPr>
        <w:t>2-</w:t>
      </w:r>
      <w:r>
        <w:rPr>
          <w:rFonts w:ascii="Arial" w:cs="Arial" w:eastAsia="Arial" w:hAnsi="Arial"/>
          <w:sz w:val="27"/>
          <w:szCs w:val="27"/>
          <w:color w:val="auto"/>
        </w:rPr>
        <w:t xml:space="preserve">й степени у пациентов моложе </w:t>
      </w:r>
      <w:r>
        <w:rPr>
          <w:rFonts w:ascii="Arial" w:cs="Arial" w:eastAsia="Arial" w:hAnsi="Arial"/>
          <w:sz w:val="27"/>
          <w:szCs w:val="27"/>
          <w:color w:val="auto"/>
        </w:rPr>
        <w:t>40</w:t>
      </w:r>
      <w:r>
        <w:rPr>
          <w:rFonts w:ascii="Arial" w:cs="Arial" w:eastAsia="Arial" w:hAnsi="Arial"/>
          <w:sz w:val="27"/>
          <w:szCs w:val="27"/>
          <w:color w:val="auto"/>
        </w:rPr>
        <w:t xml:space="preserve"> лет или любое повышение АД у детей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-414020</wp:posOffset>
            </wp:positionV>
            <wp:extent cx="82550" cy="8255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1000" w:right="220"/>
        <w:spacing w:after="0" w:line="343" w:lineRule="auto"/>
        <w:rPr>
          <w:sz w:val="20"/>
          <w:szCs w:val="20"/>
          <w:color w:val="auto"/>
        </w:rPr>
      </w:pPr>
      <w:r>
        <w:rPr>
          <w:rFonts w:ascii="Arial" w:cs="Arial" w:eastAsia="Arial" w:hAnsi="Arial"/>
          <w:sz w:val="27"/>
          <w:szCs w:val="27"/>
          <w:color w:val="auto"/>
        </w:rPr>
        <w:t>Внезапное острое развитие АГ у пациентов с ранее документированной стойкой нормотонией Резистентная АГ</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-483235</wp:posOffset>
            </wp:positionV>
            <wp:extent cx="82550" cy="8255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6">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435610</wp:posOffset>
            </wp:positionH>
            <wp:positionV relativeFrom="paragraph">
              <wp:posOffset>11430</wp:posOffset>
            </wp:positionV>
            <wp:extent cx="82550" cy="8255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63" w:lineRule="exact"/>
        <w:rPr>
          <w:sz w:val="20"/>
          <w:szCs w:val="20"/>
          <w:color w:val="auto"/>
        </w:rPr>
      </w:pPr>
    </w:p>
    <w:p>
      <w:pPr>
        <w:ind w:left="1000"/>
        <w:spacing w:after="0"/>
        <w:rPr>
          <w:sz w:val="20"/>
          <w:szCs w:val="20"/>
          <w:color w:val="auto"/>
        </w:rPr>
      </w:pPr>
      <w:r>
        <w:rPr>
          <w:rFonts w:ascii="Arial" w:cs="Arial" w:eastAsia="Arial" w:hAnsi="Arial"/>
          <w:sz w:val="27"/>
          <w:szCs w:val="27"/>
          <w:color w:val="auto"/>
        </w:rPr>
        <w:t xml:space="preserve">АГ </w:t>
      </w:r>
      <w:r>
        <w:rPr>
          <w:rFonts w:ascii="Arial" w:cs="Arial" w:eastAsia="Arial" w:hAnsi="Arial"/>
          <w:sz w:val="27"/>
          <w:szCs w:val="27"/>
          <w:color w:val="auto"/>
        </w:rPr>
        <w:t>3-</w:t>
      </w:r>
      <w:r>
        <w:rPr>
          <w:rFonts w:ascii="Arial" w:cs="Arial" w:eastAsia="Arial" w:hAnsi="Arial"/>
          <w:sz w:val="27"/>
          <w:szCs w:val="27"/>
          <w:color w:val="auto"/>
        </w:rPr>
        <w:t>й степени или гипертонический криз</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-116840</wp:posOffset>
            </wp:positionV>
            <wp:extent cx="82550" cy="8255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1000"/>
        <w:spacing w:after="0"/>
        <w:rPr>
          <w:sz w:val="20"/>
          <w:szCs w:val="20"/>
          <w:color w:val="auto"/>
        </w:rPr>
      </w:pPr>
      <w:r>
        <w:rPr>
          <w:rFonts w:ascii="Arial" w:cs="Arial" w:eastAsia="Arial" w:hAnsi="Arial"/>
          <w:sz w:val="27"/>
          <w:szCs w:val="27"/>
          <w:color w:val="auto"/>
        </w:rPr>
        <w:t>Признаки значительных изменений в органах</w:t>
      </w:r>
      <w:r>
        <w:rPr>
          <w:rFonts w:ascii="Arial" w:cs="Arial" w:eastAsia="Arial" w:hAnsi="Arial"/>
          <w:sz w:val="27"/>
          <w:szCs w:val="27"/>
          <w:color w:val="auto"/>
        </w:rPr>
        <w:t>-</w:t>
      </w:r>
      <w:r>
        <w:rPr>
          <w:rFonts w:ascii="Arial" w:cs="Arial" w:eastAsia="Arial" w:hAnsi="Arial"/>
          <w:sz w:val="27"/>
          <w:szCs w:val="27"/>
          <w:color w:val="auto"/>
        </w:rPr>
        <w:t>мишенях</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-116840</wp:posOffset>
            </wp:positionV>
            <wp:extent cx="82550" cy="8255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1000" w:right="220"/>
        <w:spacing w:after="0" w:line="301" w:lineRule="auto"/>
        <w:rPr>
          <w:sz w:val="20"/>
          <w:szCs w:val="20"/>
          <w:color w:val="auto"/>
        </w:rPr>
      </w:pPr>
      <w:r>
        <w:rPr>
          <w:rFonts w:ascii="Arial" w:cs="Arial" w:eastAsia="Arial" w:hAnsi="Arial"/>
          <w:sz w:val="27"/>
          <w:szCs w:val="27"/>
          <w:color w:val="auto"/>
        </w:rPr>
        <w:t>Клинические или лабораторные признаки</w:t>
      </w:r>
      <w:r>
        <w:rPr>
          <w:rFonts w:ascii="Arial" w:cs="Arial" w:eastAsia="Arial" w:hAnsi="Arial"/>
          <w:sz w:val="27"/>
          <w:szCs w:val="27"/>
          <w:color w:val="auto"/>
        </w:rPr>
        <w:t>,</w:t>
      </w:r>
      <w:r>
        <w:rPr>
          <w:rFonts w:ascii="Arial" w:cs="Arial" w:eastAsia="Arial" w:hAnsi="Arial"/>
          <w:sz w:val="27"/>
          <w:szCs w:val="27"/>
          <w:color w:val="auto"/>
        </w:rPr>
        <w:t xml:space="preserve"> позволяющие подозревать эндокринные причины АГ или ХБП Клинические симптомы СОАС</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-661670</wp:posOffset>
            </wp:positionV>
            <wp:extent cx="82550" cy="8255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0">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435610</wp:posOffset>
            </wp:positionH>
            <wp:positionV relativeFrom="paragraph">
              <wp:posOffset>-165735</wp:posOffset>
            </wp:positionV>
            <wp:extent cx="82550" cy="8255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1000"/>
        <w:spacing w:after="0"/>
        <w:tabs>
          <w:tab w:leader="none" w:pos="2660" w:val="left"/>
          <w:tab w:leader="none" w:pos="4660" w:val="left"/>
          <w:tab w:leader="none" w:pos="6500" w:val="left"/>
        </w:tabs>
        <w:rPr>
          <w:sz w:val="20"/>
          <w:szCs w:val="20"/>
          <w:color w:val="auto"/>
        </w:rPr>
      </w:pPr>
      <w:r>
        <w:rPr>
          <w:rFonts w:ascii="Arial" w:cs="Arial" w:eastAsia="Arial" w:hAnsi="Arial"/>
          <w:sz w:val="27"/>
          <w:szCs w:val="27"/>
          <w:color w:val="auto"/>
        </w:rPr>
        <w:t>Симптомы</w:t>
      </w:r>
      <w:r>
        <w:rPr>
          <w:rFonts w:ascii="Arial" w:cs="Arial" w:eastAsia="Arial" w:hAnsi="Arial"/>
          <w:sz w:val="27"/>
          <w:szCs w:val="27"/>
          <w:color w:val="auto"/>
        </w:rPr>
        <w:t>,</w:t>
      </w:r>
      <w:r>
        <w:rPr>
          <w:rFonts w:ascii="Arial" w:cs="Arial" w:eastAsia="Arial" w:hAnsi="Arial"/>
          <w:sz w:val="27"/>
          <w:szCs w:val="27"/>
          <w:color w:val="auto"/>
        </w:rPr>
        <w:tab/>
        <w:t>позволяющие</w:t>
        <w:tab/>
        <w:t>заподозрить</w:t>
        <w:tab/>
        <w:t>феохромоцитому</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-116840</wp:posOffset>
            </wp:positionV>
            <wp:extent cx="82550" cy="8255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1000"/>
        <w:spacing w:after="0"/>
        <w:rPr>
          <w:sz w:val="20"/>
          <w:szCs w:val="20"/>
          <w:color w:val="auto"/>
        </w:rPr>
      </w:pPr>
      <w:r>
        <w:rPr>
          <w:rFonts w:ascii="Arial" w:cs="Arial" w:eastAsia="Arial" w:hAnsi="Arial"/>
          <w:sz w:val="27"/>
          <w:szCs w:val="27"/>
          <w:color w:val="auto"/>
        </w:rPr>
        <w:t>или семейный анамнез данной опухоли</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857" w:orient="portrait"/>
          <w:cols w:equalWidth="0" w:num="1">
            <w:col w:w="9020"/>
          </w:cols>
          <w:pgMar w:left="1440" w:top="19" w:right="1440" w:bottom="0" w:gutter="0" w:footer="0" w:header="0"/>
        </w:sectPr>
      </w:pPr>
    </w:p>
    <w:bookmarkStart w:id="24" w:name="page25"/>
    <w:bookmarkEnd w:id="24"/>
    <w:p>
      <w:pPr>
        <w:jc w:val="both"/>
        <w:ind w:left="680" w:right="220"/>
        <w:spacing w:after="0" w:line="35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Вторичные АГ выявляются у</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5–10%</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пациентов с</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 xml:space="preserve">АГ </w:t>
      </w:r>
      <w:r>
        <w:rPr>
          <w:rFonts w:ascii="Arial" w:cs="Arial" w:eastAsia="Arial" w:hAnsi="Arial"/>
          <w:sz w:val="24"/>
          <w:szCs w:val="24"/>
          <w:b w:val="1"/>
          <w:bCs w:val="1"/>
          <w:i w:val="1"/>
          <w:iCs w:val="1"/>
          <w:color w:val="auto"/>
        </w:rPr>
        <w:t>[39].</w:t>
      </w:r>
      <w:r>
        <w:rPr>
          <w:rFonts w:ascii="Arial" w:cs="Arial" w:eastAsia="Arial" w:hAnsi="Arial"/>
          <w:sz w:val="24"/>
          <w:szCs w:val="24"/>
          <w:b w:val="1"/>
          <w:bCs w:val="1"/>
          <w:i w:val="1"/>
          <w:iCs w:val="1"/>
          <w:color w:val="auto"/>
        </w:rPr>
        <w:t xml:space="preserve"> Для диагностики вторичных форм АГ важно детальное обследование пациента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начиная с рутинных методов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опроса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осмотра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лабораторной диагностики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до выполнения сложных инструментальных методов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Таблица П</w:t>
      </w:r>
      <w:r>
        <w:rPr>
          <w:rFonts w:ascii="Arial" w:cs="Arial" w:eastAsia="Arial" w:hAnsi="Arial"/>
          <w:sz w:val="24"/>
          <w:szCs w:val="24"/>
          <w:b w:val="1"/>
          <w:bCs w:val="1"/>
          <w:i w:val="1"/>
          <w:iCs w:val="1"/>
          <w:color w:val="auto"/>
        </w:rPr>
        <w:t>3,</w:t>
      </w:r>
      <w:r>
        <w:rPr>
          <w:rFonts w:ascii="Arial" w:cs="Arial" w:eastAsia="Arial" w:hAnsi="Arial"/>
          <w:sz w:val="24"/>
          <w:szCs w:val="24"/>
          <w:b w:val="1"/>
          <w:bCs w:val="1"/>
          <w:i w:val="1"/>
          <w:iCs w:val="1"/>
          <w:color w:val="auto"/>
        </w:rPr>
        <w:t xml:space="preserve"> Приложение Г</w:t>
      </w:r>
      <w:r>
        <w:rPr>
          <w:rFonts w:ascii="Arial" w:cs="Arial" w:eastAsia="Arial" w:hAnsi="Arial"/>
          <w:sz w:val="24"/>
          <w:szCs w:val="24"/>
          <w:b w:val="1"/>
          <w:bCs w:val="1"/>
          <w:i w:val="1"/>
          <w:iCs w:val="1"/>
          <w:color w:val="auto"/>
        </w:rPr>
        <w:t>2).</w:t>
      </w:r>
    </w:p>
    <w:p>
      <w:pPr>
        <w:spacing w:after="0" w:line="200" w:lineRule="exact"/>
        <w:rPr>
          <w:sz w:val="20"/>
          <w:szCs w:val="20"/>
          <w:color w:val="auto"/>
        </w:rPr>
      </w:pPr>
    </w:p>
    <w:p>
      <w:pPr>
        <w:spacing w:after="0" w:line="38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2.2.</w:t>
      </w:r>
      <w:r>
        <w:rPr>
          <w:rFonts w:ascii="Arial" w:cs="Arial" w:eastAsia="Arial" w:hAnsi="Arial"/>
          <w:sz w:val="33"/>
          <w:szCs w:val="33"/>
          <w:b w:val="1"/>
          <w:bCs w:val="1"/>
          <w:color w:val="auto"/>
        </w:rPr>
        <w:t>Принципы формулировки диагноза при АГ</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b w:val="1"/>
          <w:bCs w:val="1"/>
          <w:i w:val="1"/>
          <w:iCs w:val="1"/>
          <w:color w:val="auto"/>
        </w:rPr>
        <w:t xml:space="preserve">Необходимо указать стадию гипертонической болезни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Таблица П</w:t>
      </w:r>
      <w:r>
        <w:rPr>
          <w:rFonts w:ascii="Arial" w:cs="Arial" w:eastAsia="Arial" w:hAnsi="Arial"/>
          <w:sz w:val="27"/>
          <w:szCs w:val="27"/>
          <w:b w:val="1"/>
          <w:bCs w:val="1"/>
          <w:i w:val="1"/>
          <w:iCs w:val="1"/>
          <w:color w:val="auto"/>
        </w:rPr>
        <w:t>1,</w:t>
      </w:r>
      <w:r>
        <w:rPr>
          <w:rFonts w:ascii="Arial" w:cs="Arial" w:eastAsia="Arial" w:hAnsi="Arial"/>
          <w:sz w:val="27"/>
          <w:szCs w:val="27"/>
          <w:b w:val="1"/>
          <w:bCs w:val="1"/>
          <w:i w:val="1"/>
          <w:iCs w:val="1"/>
          <w:color w:val="auto"/>
        </w:rPr>
        <w:t xml:space="preserve"> Приложение Г</w:t>
      </w:r>
      <w:r>
        <w:rPr>
          <w:rFonts w:ascii="Arial" w:cs="Arial" w:eastAsia="Arial" w:hAnsi="Arial"/>
          <w:sz w:val="27"/>
          <w:szCs w:val="27"/>
          <w:b w:val="1"/>
          <w:bCs w:val="1"/>
          <w:i w:val="1"/>
          <w:iCs w:val="1"/>
          <w:color w:val="auto"/>
        </w:rPr>
        <w:t>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-414020</wp:posOffset>
            </wp:positionV>
            <wp:extent cx="82550" cy="8255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39" w:lineRule="auto"/>
        <w:rPr>
          <w:sz w:val="20"/>
          <w:szCs w:val="20"/>
          <w:color w:val="auto"/>
        </w:rPr>
      </w:pPr>
      <w:r>
        <w:rPr>
          <w:rFonts w:ascii="Arial" w:cs="Arial" w:eastAsia="Arial" w:hAnsi="Arial"/>
          <w:sz w:val="24"/>
          <w:szCs w:val="24"/>
          <w:b w:val="1"/>
          <w:bCs w:val="1"/>
          <w:i w:val="1"/>
          <w:iCs w:val="1"/>
          <w:color w:val="auto"/>
        </w:rPr>
        <w:t xml:space="preserve">Степень повышения АД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степень АГ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Таблица </w:t>
      </w:r>
      <w:r>
        <w:rPr>
          <w:rFonts w:ascii="Arial" w:cs="Arial" w:eastAsia="Arial" w:hAnsi="Arial"/>
          <w:sz w:val="24"/>
          <w:szCs w:val="24"/>
          <w:b w:val="1"/>
          <w:bCs w:val="1"/>
          <w:i w:val="1"/>
          <w:iCs w:val="1"/>
          <w:color w:val="auto"/>
        </w:rPr>
        <w:t>2,</w:t>
      </w:r>
      <w:r>
        <w:rPr>
          <w:rFonts w:ascii="Arial" w:cs="Arial" w:eastAsia="Arial" w:hAnsi="Arial"/>
          <w:sz w:val="24"/>
          <w:szCs w:val="24"/>
          <w:b w:val="1"/>
          <w:bCs w:val="1"/>
          <w:i w:val="1"/>
          <w:iCs w:val="1"/>
          <w:color w:val="auto"/>
        </w:rPr>
        <w:t xml:space="preserve"> Приложение Г</w:t>
      </w:r>
      <w:r>
        <w:rPr>
          <w:rFonts w:ascii="Arial" w:cs="Arial" w:eastAsia="Arial" w:hAnsi="Arial"/>
          <w:sz w:val="24"/>
          <w:szCs w:val="24"/>
          <w:b w:val="1"/>
          <w:bCs w:val="1"/>
          <w:i w:val="1"/>
          <w:iCs w:val="1"/>
          <w:color w:val="auto"/>
        </w:rPr>
        <w:t>1)</w:t>
      </w:r>
      <w:r>
        <w:rPr>
          <w:rFonts w:ascii="Arial" w:cs="Arial" w:eastAsia="Arial" w:hAnsi="Arial"/>
          <w:sz w:val="24"/>
          <w:szCs w:val="24"/>
          <w:b w:val="1"/>
          <w:bCs w:val="1"/>
          <w:i w:val="1"/>
          <w:iCs w:val="1"/>
          <w:color w:val="auto"/>
        </w:rPr>
        <w:t xml:space="preserve"> обязательно указывается у пациентов с впервые диагностированной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Если пациент принимает антигипертензивную терапию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то в диагнозе указывается наличие контроля АД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контролируемая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неконтролируемая АГ</w:t>
      </w:r>
      <w:r>
        <w:rPr>
          <w:rFonts w:ascii="Arial" w:cs="Arial" w:eastAsia="Arial" w:hAnsi="Arial"/>
          <w:sz w:val="24"/>
          <w:szCs w:val="24"/>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-1156970</wp:posOffset>
            </wp:positionV>
            <wp:extent cx="82550" cy="8255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13" w:lineRule="auto"/>
        <w:rPr>
          <w:sz w:val="20"/>
          <w:szCs w:val="20"/>
          <w:color w:val="auto"/>
        </w:rPr>
      </w:pPr>
      <w:r>
        <w:rPr>
          <w:rFonts w:ascii="Arial" w:cs="Arial" w:eastAsia="Arial" w:hAnsi="Arial"/>
          <w:sz w:val="26"/>
          <w:szCs w:val="26"/>
          <w:b w:val="1"/>
          <w:bCs w:val="1"/>
          <w:i w:val="1"/>
          <w:iCs w:val="1"/>
          <w:color w:val="auto"/>
        </w:rPr>
        <w:t>При формулировании диагноза максимально полно должны быть отражены ФР</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ПОМ</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ССЗ</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ХБП и категория сердечно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сосудистого риска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таблицы П</w:t>
      </w:r>
      <w:r>
        <w:rPr>
          <w:rFonts w:ascii="Arial" w:cs="Arial" w:eastAsia="Arial" w:hAnsi="Arial"/>
          <w:sz w:val="26"/>
          <w:szCs w:val="26"/>
          <w:b w:val="1"/>
          <w:bCs w:val="1"/>
          <w:i w:val="1"/>
          <w:iCs w:val="1"/>
          <w:color w:val="auto"/>
        </w:rPr>
        <w:t>1</w:t>
      </w:r>
      <w:r>
        <w:rPr>
          <w:rFonts w:ascii="Arial" w:cs="Arial" w:eastAsia="Arial" w:hAnsi="Arial"/>
          <w:sz w:val="26"/>
          <w:szCs w:val="26"/>
          <w:b w:val="1"/>
          <w:bCs w:val="1"/>
          <w:i w:val="1"/>
          <w:iCs w:val="1"/>
          <w:color w:val="auto"/>
        </w:rPr>
        <w:t xml:space="preserve"> и П</w:t>
      </w:r>
      <w:r>
        <w:rPr>
          <w:rFonts w:ascii="Arial" w:cs="Arial" w:eastAsia="Arial" w:hAnsi="Arial"/>
          <w:sz w:val="26"/>
          <w:szCs w:val="26"/>
          <w:b w:val="1"/>
          <w:bCs w:val="1"/>
          <w:i w:val="1"/>
          <w:iCs w:val="1"/>
          <w:color w:val="auto"/>
        </w:rPr>
        <w:t>2,</w:t>
      </w:r>
      <w:r>
        <w:rPr>
          <w:rFonts w:ascii="Arial" w:cs="Arial" w:eastAsia="Arial" w:hAnsi="Arial"/>
          <w:sz w:val="26"/>
          <w:szCs w:val="26"/>
          <w:b w:val="1"/>
          <w:bCs w:val="1"/>
          <w:i w:val="1"/>
          <w:iCs w:val="1"/>
          <w:color w:val="auto"/>
        </w:rPr>
        <w:t xml:space="preserve"> Приложение Г</w:t>
      </w:r>
      <w:r>
        <w:rPr>
          <w:rFonts w:ascii="Arial" w:cs="Arial" w:eastAsia="Arial" w:hAnsi="Arial"/>
          <w:sz w:val="26"/>
          <w:szCs w:val="26"/>
          <w:b w:val="1"/>
          <w:bCs w:val="1"/>
          <w:i w:val="1"/>
          <w:iCs w:val="1"/>
          <w:color w:val="auto"/>
        </w:rPr>
        <w:t>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-662305</wp:posOffset>
            </wp:positionV>
            <wp:extent cx="82550" cy="8255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2020"/>
        <w:spacing w:after="0" w:line="510" w:lineRule="auto"/>
        <w:rPr>
          <w:sz w:val="20"/>
          <w:szCs w:val="20"/>
          <w:color w:val="auto"/>
        </w:rPr>
      </w:pPr>
      <w:r>
        <w:rPr>
          <w:rFonts w:ascii="Arial" w:cs="Arial" w:eastAsia="Arial" w:hAnsi="Arial"/>
          <w:sz w:val="27"/>
          <w:szCs w:val="27"/>
          <w:b w:val="1"/>
          <w:bCs w:val="1"/>
          <w:i w:val="1"/>
          <w:iCs w:val="1"/>
          <w:color w:val="auto"/>
        </w:rPr>
        <w:t>Указание целевого уровня АД для данного пациента Примеры формулировки диагноза</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-757555</wp:posOffset>
            </wp:positionV>
            <wp:extent cx="82550" cy="8255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220" w:hanging="4"/>
        <w:spacing w:after="0" w:line="334" w:lineRule="auto"/>
        <w:tabs>
          <w:tab w:leader="none" w:pos="992" w:val="left"/>
        </w:tabs>
        <w:numPr>
          <w:ilvl w:val="0"/>
          <w:numId w:val="11"/>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ГБ </w:t>
      </w:r>
      <w:r>
        <w:rPr>
          <w:rFonts w:ascii="Arial" w:cs="Arial" w:eastAsia="Arial" w:hAnsi="Arial"/>
          <w:sz w:val="27"/>
          <w:szCs w:val="27"/>
          <w:b w:val="1"/>
          <w:bCs w:val="1"/>
          <w:i w:val="1"/>
          <w:iCs w:val="1"/>
          <w:color w:val="auto"/>
        </w:rPr>
        <w:t>I</w:t>
      </w:r>
      <w:r>
        <w:rPr>
          <w:rFonts w:ascii="Arial" w:cs="Arial" w:eastAsia="Arial" w:hAnsi="Arial"/>
          <w:sz w:val="27"/>
          <w:szCs w:val="27"/>
          <w:b w:val="1"/>
          <w:bCs w:val="1"/>
          <w:i w:val="1"/>
          <w:iCs w:val="1"/>
          <w:color w:val="auto"/>
        </w:rPr>
        <w:t xml:space="preserve"> стадии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Степень АГ </w:t>
      </w:r>
      <w:r>
        <w:rPr>
          <w:rFonts w:ascii="Arial" w:cs="Arial" w:eastAsia="Arial" w:hAnsi="Arial"/>
          <w:sz w:val="27"/>
          <w:szCs w:val="27"/>
          <w:b w:val="1"/>
          <w:bCs w:val="1"/>
          <w:i w:val="1"/>
          <w:iCs w:val="1"/>
          <w:color w:val="auto"/>
        </w:rPr>
        <w:t>1.</w:t>
      </w:r>
      <w:r>
        <w:rPr>
          <w:rFonts w:ascii="Arial" w:cs="Arial" w:eastAsia="Arial" w:hAnsi="Arial"/>
          <w:sz w:val="27"/>
          <w:szCs w:val="27"/>
          <w:b w:val="1"/>
          <w:bCs w:val="1"/>
          <w:i w:val="1"/>
          <w:iCs w:val="1"/>
          <w:color w:val="auto"/>
        </w:rPr>
        <w:t xml:space="preserve"> Гиперлипидемия</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Риск </w:t>
      </w:r>
      <w:r>
        <w:rPr>
          <w:rFonts w:ascii="Arial" w:cs="Arial" w:eastAsia="Arial" w:hAnsi="Arial"/>
          <w:sz w:val="27"/>
          <w:szCs w:val="27"/>
          <w:b w:val="1"/>
          <w:bCs w:val="1"/>
          <w:i w:val="1"/>
          <w:iCs w:val="1"/>
          <w:color w:val="auto"/>
        </w:rPr>
        <w:t>2 (</w:t>
      </w:r>
      <w:r>
        <w:rPr>
          <w:rFonts w:ascii="Arial" w:cs="Arial" w:eastAsia="Arial" w:hAnsi="Arial"/>
          <w:sz w:val="27"/>
          <w:szCs w:val="27"/>
          <w:b w:val="1"/>
          <w:bCs w:val="1"/>
          <w:i w:val="1"/>
          <w:iCs w:val="1"/>
          <w:color w:val="auto"/>
        </w:rPr>
        <w:t>средний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Целевое АД </w:t>
      </w:r>
      <w:r>
        <w:rPr>
          <w:rFonts w:ascii="Arial" w:cs="Arial" w:eastAsia="Arial" w:hAnsi="Arial"/>
          <w:sz w:val="27"/>
          <w:szCs w:val="27"/>
          <w:b w:val="1"/>
          <w:bCs w:val="1"/>
          <w:i w:val="1"/>
          <w:iCs w:val="1"/>
          <w:color w:val="auto"/>
        </w:rPr>
        <w:t>&lt;130/&lt;80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p>
    <w:p>
      <w:pPr>
        <w:spacing w:after="0" w:line="186" w:lineRule="exact"/>
        <w:rPr>
          <w:rFonts w:ascii="Arial" w:cs="Arial" w:eastAsia="Arial" w:hAnsi="Arial"/>
          <w:sz w:val="27"/>
          <w:szCs w:val="27"/>
          <w:b w:val="1"/>
          <w:bCs w:val="1"/>
          <w:i w:val="1"/>
          <w:iCs w:val="1"/>
          <w:color w:val="auto"/>
        </w:rPr>
      </w:pPr>
    </w:p>
    <w:p>
      <w:pPr>
        <w:jc w:val="both"/>
        <w:ind w:left="680" w:right="220" w:hanging="4"/>
        <w:spacing w:after="0" w:line="325" w:lineRule="auto"/>
        <w:tabs>
          <w:tab w:leader="none" w:pos="1044" w:val="left"/>
        </w:tabs>
        <w:numPr>
          <w:ilvl w:val="0"/>
          <w:numId w:val="11"/>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 xml:space="preserve">ГБ </w:t>
      </w:r>
      <w:r>
        <w:rPr>
          <w:rFonts w:ascii="Arial" w:cs="Arial" w:eastAsia="Arial" w:hAnsi="Arial"/>
          <w:sz w:val="25"/>
          <w:szCs w:val="25"/>
          <w:b w:val="1"/>
          <w:bCs w:val="1"/>
          <w:i w:val="1"/>
          <w:iCs w:val="1"/>
          <w:color w:val="auto"/>
        </w:rPr>
        <w:t>II</w:t>
      </w:r>
      <w:r>
        <w:rPr>
          <w:rFonts w:ascii="Arial" w:cs="Arial" w:eastAsia="Arial" w:hAnsi="Arial"/>
          <w:sz w:val="25"/>
          <w:szCs w:val="25"/>
          <w:b w:val="1"/>
          <w:bCs w:val="1"/>
          <w:i w:val="1"/>
          <w:iCs w:val="1"/>
          <w:color w:val="auto"/>
        </w:rPr>
        <w:t xml:space="preserve"> стадии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Неконтролируемая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Нарушенная гликемия натощак</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Гиперлипидемия</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ГЛЖ</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Риск </w:t>
      </w:r>
      <w:r>
        <w:rPr>
          <w:rFonts w:ascii="Arial" w:cs="Arial" w:eastAsia="Arial" w:hAnsi="Arial"/>
          <w:sz w:val="25"/>
          <w:szCs w:val="25"/>
          <w:b w:val="1"/>
          <w:bCs w:val="1"/>
          <w:i w:val="1"/>
          <w:iCs w:val="1"/>
          <w:color w:val="auto"/>
        </w:rPr>
        <w:t>3 (</w:t>
      </w:r>
      <w:r>
        <w:rPr>
          <w:rFonts w:ascii="Arial" w:cs="Arial" w:eastAsia="Arial" w:hAnsi="Arial"/>
          <w:sz w:val="25"/>
          <w:szCs w:val="25"/>
          <w:b w:val="1"/>
          <w:bCs w:val="1"/>
          <w:i w:val="1"/>
          <w:iCs w:val="1"/>
          <w:color w:val="auto"/>
        </w:rPr>
        <w:t>высокий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Целевое АД</w:t>
      </w:r>
    </w:p>
    <w:p>
      <w:pPr>
        <w:spacing w:after="0" w:line="1" w:lineRule="exact"/>
        <w:rPr>
          <w:rFonts w:ascii="Arial" w:cs="Arial" w:eastAsia="Arial" w:hAnsi="Arial"/>
          <w:sz w:val="25"/>
          <w:szCs w:val="25"/>
          <w:b w:val="1"/>
          <w:bCs w:val="1"/>
          <w:i w:val="1"/>
          <w:iCs w:val="1"/>
          <w:color w:val="auto"/>
        </w:rPr>
      </w:pPr>
    </w:p>
    <w:p>
      <w:pPr>
        <w:ind w:left="680"/>
        <w:spacing w:after="0"/>
        <w:rPr>
          <w:rFonts w:ascii="Arial" w:cs="Arial" w:eastAsia="Arial" w:hAnsi="Arial"/>
          <w:sz w:val="25"/>
          <w:szCs w:val="25"/>
          <w:b w:val="1"/>
          <w:bCs w:val="1"/>
          <w:i w:val="1"/>
          <w:iCs w:val="1"/>
          <w:color w:val="auto"/>
        </w:rPr>
      </w:pPr>
      <w:r>
        <w:rPr>
          <w:rFonts w:ascii="Arial" w:cs="Arial" w:eastAsia="Arial" w:hAnsi="Arial"/>
          <w:sz w:val="27"/>
          <w:szCs w:val="27"/>
          <w:b w:val="1"/>
          <w:bCs w:val="1"/>
          <w:i w:val="1"/>
          <w:iCs w:val="1"/>
          <w:color w:val="auto"/>
        </w:rPr>
        <w:t xml:space="preserve">&lt;130/&lt;80 </w:t>
      </w:r>
      <w:r>
        <w:rPr>
          <w:rFonts w:ascii="Arial" w:cs="Arial" w:eastAsia="Arial" w:hAnsi="Arial"/>
          <w:sz w:val="27"/>
          <w:szCs w:val="27"/>
          <w:b w:val="1"/>
          <w:bCs w:val="1"/>
          <w:i w:val="1"/>
          <w:iCs w:val="1"/>
          <w:color w:val="auto"/>
        </w:rPr>
        <w:t>мм рт</w:t>
      </w:r>
      <w:r>
        <w:rPr>
          <w:rFonts w:ascii="Arial" w:cs="Arial" w:eastAsia="Arial" w:hAnsi="Arial"/>
          <w:sz w:val="27"/>
          <w:szCs w:val="27"/>
          <w:b w:val="1"/>
          <w:bCs w:val="1"/>
          <w:i w:val="1"/>
          <w:iCs w:val="1"/>
          <w:color w:val="auto"/>
        </w:rPr>
        <w:t xml:space="preserve">. </w:t>
      </w:r>
      <w:r>
        <w:rPr>
          <w:rFonts w:ascii="Arial" w:cs="Arial" w:eastAsia="Arial" w:hAnsi="Arial"/>
          <w:sz w:val="27"/>
          <w:szCs w:val="27"/>
          <w:b w:val="1"/>
          <w:bCs w:val="1"/>
          <w:i w:val="1"/>
          <w:iCs w:val="1"/>
          <w:color w:val="auto"/>
        </w:rPr>
        <w:t>ст</w:t>
      </w:r>
      <w:r>
        <w:rPr>
          <w:rFonts w:ascii="Arial" w:cs="Arial" w:eastAsia="Arial" w:hAnsi="Arial"/>
          <w:sz w:val="27"/>
          <w:szCs w:val="27"/>
          <w:b w:val="1"/>
          <w:bCs w:val="1"/>
          <w:i w:val="1"/>
          <w:iCs w:val="1"/>
          <w:color w:val="auto"/>
        </w:rPr>
        <w:t>.</w:t>
      </w:r>
    </w:p>
    <w:p>
      <w:pPr>
        <w:spacing w:after="0" w:line="349" w:lineRule="exact"/>
        <w:rPr>
          <w:rFonts w:ascii="Arial" w:cs="Arial" w:eastAsia="Arial" w:hAnsi="Arial"/>
          <w:sz w:val="25"/>
          <w:szCs w:val="25"/>
          <w:b w:val="1"/>
          <w:bCs w:val="1"/>
          <w:i w:val="1"/>
          <w:iCs w:val="1"/>
          <w:color w:val="auto"/>
        </w:rPr>
      </w:pPr>
    </w:p>
    <w:p>
      <w:pPr>
        <w:jc w:val="both"/>
        <w:ind w:left="680" w:right="220" w:hanging="4"/>
        <w:spacing w:after="0" w:line="312" w:lineRule="auto"/>
        <w:tabs>
          <w:tab w:leader="none" w:pos="1166" w:val="left"/>
        </w:tabs>
        <w:numPr>
          <w:ilvl w:val="0"/>
          <w:numId w:val="11"/>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ГБ </w:t>
      </w:r>
      <w:r>
        <w:rPr>
          <w:rFonts w:ascii="Arial" w:cs="Arial" w:eastAsia="Arial" w:hAnsi="Arial"/>
          <w:sz w:val="27"/>
          <w:szCs w:val="27"/>
          <w:b w:val="1"/>
          <w:bCs w:val="1"/>
          <w:i w:val="1"/>
          <w:iCs w:val="1"/>
          <w:color w:val="auto"/>
        </w:rPr>
        <w:t>II</w:t>
      </w:r>
      <w:r>
        <w:rPr>
          <w:rFonts w:ascii="Arial" w:cs="Arial" w:eastAsia="Arial" w:hAnsi="Arial"/>
          <w:sz w:val="27"/>
          <w:szCs w:val="27"/>
          <w:b w:val="1"/>
          <w:bCs w:val="1"/>
          <w:i w:val="1"/>
          <w:iCs w:val="1"/>
          <w:color w:val="auto"/>
        </w:rPr>
        <w:t xml:space="preserve"> стадии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Неконтролируемая АГ</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Гиперлипидемия</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Ожирение </w:t>
      </w:r>
      <w:r>
        <w:rPr>
          <w:rFonts w:ascii="Arial" w:cs="Arial" w:eastAsia="Arial" w:hAnsi="Arial"/>
          <w:sz w:val="27"/>
          <w:szCs w:val="27"/>
          <w:b w:val="1"/>
          <w:bCs w:val="1"/>
          <w:i w:val="1"/>
          <w:iCs w:val="1"/>
          <w:color w:val="auto"/>
        </w:rPr>
        <w:t>II</w:t>
      </w:r>
      <w:r>
        <w:rPr>
          <w:rFonts w:ascii="Arial" w:cs="Arial" w:eastAsia="Arial" w:hAnsi="Arial"/>
          <w:sz w:val="27"/>
          <w:szCs w:val="27"/>
          <w:b w:val="1"/>
          <w:bCs w:val="1"/>
          <w:i w:val="1"/>
          <w:iCs w:val="1"/>
          <w:color w:val="auto"/>
        </w:rPr>
        <w:t xml:space="preserve"> степени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Нарушение толерантности к глюкозе</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ГЛЖ</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Альбуминурия высокой степени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Риск </w:t>
      </w:r>
      <w:r>
        <w:rPr>
          <w:rFonts w:ascii="Arial" w:cs="Arial" w:eastAsia="Arial" w:hAnsi="Arial"/>
          <w:sz w:val="27"/>
          <w:szCs w:val="27"/>
          <w:b w:val="1"/>
          <w:bCs w:val="1"/>
          <w:i w:val="1"/>
          <w:iCs w:val="1"/>
          <w:color w:val="auto"/>
        </w:rPr>
        <w:t>4 (</w:t>
      </w:r>
      <w:r>
        <w:rPr>
          <w:rFonts w:ascii="Arial" w:cs="Arial" w:eastAsia="Arial" w:hAnsi="Arial"/>
          <w:sz w:val="27"/>
          <w:szCs w:val="27"/>
          <w:b w:val="1"/>
          <w:bCs w:val="1"/>
          <w:i w:val="1"/>
          <w:iCs w:val="1"/>
          <w:color w:val="auto"/>
        </w:rPr>
        <w:t>очень высокий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Целевое АД </w:t>
      </w:r>
      <w:r>
        <w:rPr>
          <w:rFonts w:ascii="Arial" w:cs="Arial" w:eastAsia="Arial" w:hAnsi="Arial"/>
          <w:sz w:val="27"/>
          <w:szCs w:val="27"/>
          <w:b w:val="1"/>
          <w:bCs w:val="1"/>
          <w:i w:val="1"/>
          <w:iCs w:val="1"/>
          <w:color w:val="auto"/>
        </w:rPr>
        <w:t>130-139/&lt;80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p>
    <w:p>
      <w:pPr>
        <w:spacing w:after="0" w:line="216" w:lineRule="exact"/>
        <w:rPr>
          <w:rFonts w:ascii="Arial" w:cs="Arial" w:eastAsia="Arial" w:hAnsi="Arial"/>
          <w:sz w:val="27"/>
          <w:szCs w:val="27"/>
          <w:b w:val="1"/>
          <w:bCs w:val="1"/>
          <w:i w:val="1"/>
          <w:iCs w:val="1"/>
          <w:color w:val="auto"/>
        </w:rPr>
      </w:pPr>
    </w:p>
    <w:p>
      <w:pPr>
        <w:jc w:val="both"/>
        <w:ind w:left="680" w:right="220" w:hanging="4"/>
        <w:spacing w:after="0" w:line="334" w:lineRule="auto"/>
        <w:tabs>
          <w:tab w:leader="none" w:pos="1093" w:val="left"/>
        </w:tabs>
        <w:numPr>
          <w:ilvl w:val="0"/>
          <w:numId w:val="11"/>
        </w:numPr>
        <w:rPr>
          <w:rFonts w:ascii="Arial" w:cs="Arial" w:eastAsia="Arial" w:hAnsi="Arial"/>
          <w:sz w:val="26"/>
          <w:szCs w:val="26"/>
          <w:b w:val="1"/>
          <w:bCs w:val="1"/>
          <w:i w:val="1"/>
          <w:iCs w:val="1"/>
          <w:color w:val="auto"/>
        </w:rPr>
      </w:pPr>
      <w:r>
        <w:rPr>
          <w:rFonts w:ascii="Arial" w:cs="Arial" w:eastAsia="Arial" w:hAnsi="Arial"/>
          <w:sz w:val="26"/>
          <w:szCs w:val="26"/>
          <w:b w:val="1"/>
          <w:bCs w:val="1"/>
          <w:i w:val="1"/>
          <w:iCs w:val="1"/>
          <w:color w:val="auto"/>
        </w:rPr>
        <w:t>ИБС</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Стенокардия напряжения </w:t>
      </w:r>
      <w:r>
        <w:rPr>
          <w:rFonts w:ascii="Arial" w:cs="Arial" w:eastAsia="Arial" w:hAnsi="Arial"/>
          <w:sz w:val="26"/>
          <w:szCs w:val="26"/>
          <w:b w:val="1"/>
          <w:bCs w:val="1"/>
          <w:i w:val="1"/>
          <w:iCs w:val="1"/>
          <w:color w:val="auto"/>
        </w:rPr>
        <w:t>III</w:t>
      </w:r>
      <w:r>
        <w:rPr>
          <w:rFonts w:ascii="Arial" w:cs="Arial" w:eastAsia="Arial" w:hAnsi="Arial"/>
          <w:sz w:val="26"/>
          <w:szCs w:val="26"/>
          <w:b w:val="1"/>
          <w:bCs w:val="1"/>
          <w:i w:val="1"/>
          <w:iCs w:val="1"/>
          <w:color w:val="auto"/>
        </w:rPr>
        <w:t xml:space="preserve"> ФК</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Постинфарктный кардиосклероз </w:t>
      </w:r>
      <w:r>
        <w:rPr>
          <w:rFonts w:ascii="Arial" w:cs="Arial" w:eastAsia="Arial" w:hAnsi="Arial"/>
          <w:sz w:val="26"/>
          <w:szCs w:val="26"/>
          <w:b w:val="1"/>
          <w:bCs w:val="1"/>
          <w:i w:val="1"/>
          <w:iCs w:val="1"/>
          <w:color w:val="auto"/>
        </w:rPr>
        <w:t>(2010</w:t>
      </w:r>
      <w:r>
        <w:rPr>
          <w:rFonts w:ascii="Arial" w:cs="Arial" w:eastAsia="Arial" w:hAnsi="Arial"/>
          <w:sz w:val="26"/>
          <w:szCs w:val="26"/>
          <w:b w:val="1"/>
          <w:bCs w:val="1"/>
          <w:i w:val="1"/>
          <w:iCs w:val="1"/>
          <w:color w:val="auto"/>
        </w:rPr>
        <w:t>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ГБ </w:t>
      </w:r>
      <w:r>
        <w:rPr>
          <w:rFonts w:ascii="Arial" w:cs="Arial" w:eastAsia="Arial" w:hAnsi="Arial"/>
          <w:sz w:val="26"/>
          <w:szCs w:val="26"/>
          <w:b w:val="1"/>
          <w:bCs w:val="1"/>
          <w:i w:val="1"/>
          <w:iCs w:val="1"/>
          <w:color w:val="auto"/>
        </w:rPr>
        <w:t>III</w:t>
      </w:r>
      <w:r>
        <w:rPr>
          <w:rFonts w:ascii="Arial" w:cs="Arial" w:eastAsia="Arial" w:hAnsi="Arial"/>
          <w:sz w:val="26"/>
          <w:szCs w:val="26"/>
          <w:b w:val="1"/>
          <w:bCs w:val="1"/>
          <w:i w:val="1"/>
          <w:iCs w:val="1"/>
          <w:color w:val="auto"/>
        </w:rPr>
        <w:t xml:space="preserve"> стадии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Неконтролируемая АГ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Риск </w:t>
      </w:r>
      <w:r>
        <w:rPr>
          <w:rFonts w:ascii="Arial" w:cs="Arial" w:eastAsia="Arial" w:hAnsi="Arial"/>
          <w:sz w:val="26"/>
          <w:szCs w:val="26"/>
          <w:b w:val="1"/>
          <w:bCs w:val="1"/>
          <w:i w:val="1"/>
          <w:iCs w:val="1"/>
          <w:color w:val="auto"/>
        </w:rPr>
        <w:t>4 (</w:t>
      </w:r>
      <w:r>
        <w:rPr>
          <w:rFonts w:ascii="Arial" w:cs="Arial" w:eastAsia="Arial" w:hAnsi="Arial"/>
          <w:sz w:val="26"/>
          <w:szCs w:val="26"/>
          <w:b w:val="1"/>
          <w:bCs w:val="1"/>
          <w:i w:val="1"/>
          <w:iCs w:val="1"/>
          <w:color w:val="auto"/>
        </w:rPr>
        <w:t>очень высокий</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Целевое АД</w:t>
      </w:r>
      <w:r>
        <w:rPr>
          <w:rFonts w:ascii="Arial" w:cs="Arial" w:eastAsia="Arial" w:hAnsi="Arial"/>
          <w:sz w:val="26"/>
          <w:szCs w:val="26"/>
          <w:b w:val="1"/>
          <w:bCs w:val="1"/>
          <w:i w:val="1"/>
          <w:iCs w:val="1"/>
          <w:color w:val="auto"/>
        </w:rPr>
        <w:t xml:space="preserve"> &lt;130/&lt;80 </w:t>
      </w:r>
      <w:r>
        <w:rPr>
          <w:rFonts w:ascii="Arial" w:cs="Arial" w:eastAsia="Arial" w:hAnsi="Arial"/>
          <w:sz w:val="26"/>
          <w:szCs w:val="26"/>
          <w:b w:val="1"/>
          <w:bCs w:val="1"/>
          <w:i w:val="1"/>
          <w:iCs w:val="1"/>
          <w:color w:val="auto"/>
        </w:rPr>
        <w:t>мм рт</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ст</w:t>
      </w:r>
      <w:r>
        <w:rPr>
          <w:rFonts w:ascii="Arial" w:cs="Arial" w:eastAsia="Arial" w:hAnsi="Arial"/>
          <w:sz w:val="26"/>
          <w:szCs w:val="26"/>
          <w:b w:val="1"/>
          <w:bCs w:val="1"/>
          <w:i w:val="1"/>
          <w:iCs w:val="1"/>
          <w:color w:val="auto"/>
        </w:rPr>
        <w:t>.</w:t>
      </w:r>
    </w:p>
    <w:p>
      <w:pPr>
        <w:spacing w:after="0" w:line="192" w:lineRule="exact"/>
        <w:rPr>
          <w:rFonts w:ascii="Arial" w:cs="Arial" w:eastAsia="Arial" w:hAnsi="Arial"/>
          <w:sz w:val="26"/>
          <w:szCs w:val="26"/>
          <w:b w:val="1"/>
          <w:bCs w:val="1"/>
          <w:i w:val="1"/>
          <w:iCs w:val="1"/>
          <w:color w:val="auto"/>
        </w:rPr>
      </w:pPr>
    </w:p>
    <w:p>
      <w:pPr>
        <w:jc w:val="both"/>
        <w:ind w:left="680" w:right="220" w:hanging="4"/>
        <w:spacing w:after="0" w:line="343" w:lineRule="auto"/>
        <w:tabs>
          <w:tab w:leader="none" w:pos="1073" w:val="left"/>
        </w:tabs>
        <w:numPr>
          <w:ilvl w:val="0"/>
          <w:numId w:val="11"/>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 xml:space="preserve">ГБ </w:t>
      </w:r>
      <w:r>
        <w:rPr>
          <w:rFonts w:ascii="Arial" w:cs="Arial" w:eastAsia="Arial" w:hAnsi="Arial"/>
          <w:sz w:val="25"/>
          <w:szCs w:val="25"/>
          <w:b w:val="1"/>
          <w:bCs w:val="1"/>
          <w:i w:val="1"/>
          <w:iCs w:val="1"/>
          <w:color w:val="auto"/>
        </w:rPr>
        <w:t>III</w:t>
      </w:r>
      <w:r>
        <w:rPr>
          <w:rFonts w:ascii="Arial" w:cs="Arial" w:eastAsia="Arial" w:hAnsi="Arial"/>
          <w:sz w:val="25"/>
          <w:szCs w:val="25"/>
          <w:b w:val="1"/>
          <w:bCs w:val="1"/>
          <w:i w:val="1"/>
          <w:iCs w:val="1"/>
          <w:color w:val="auto"/>
        </w:rPr>
        <w:t xml:space="preserve"> стадии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Контролируемая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Ожирение </w:t>
      </w:r>
      <w:r>
        <w:rPr>
          <w:rFonts w:ascii="Arial" w:cs="Arial" w:eastAsia="Arial" w:hAnsi="Arial"/>
          <w:sz w:val="25"/>
          <w:szCs w:val="25"/>
          <w:b w:val="1"/>
          <w:bCs w:val="1"/>
          <w:i w:val="1"/>
          <w:iCs w:val="1"/>
          <w:color w:val="auto"/>
        </w:rPr>
        <w:t>I</w:t>
      </w:r>
      <w:r>
        <w:rPr>
          <w:rFonts w:ascii="Arial" w:cs="Arial" w:eastAsia="Arial" w:hAnsi="Arial"/>
          <w:sz w:val="25"/>
          <w:szCs w:val="25"/>
          <w:b w:val="1"/>
          <w:bCs w:val="1"/>
          <w:i w:val="1"/>
          <w:iCs w:val="1"/>
          <w:color w:val="auto"/>
        </w:rPr>
        <w:t xml:space="preserve"> степени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Сахарный диабет </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го типа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целевой уровень гликированного гемоглобина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7,5%.</w:t>
      </w:r>
      <w:r>
        <w:rPr>
          <w:rFonts w:ascii="Arial" w:cs="Arial" w:eastAsia="Arial" w:hAnsi="Arial"/>
          <w:sz w:val="25"/>
          <w:szCs w:val="25"/>
          <w:b w:val="1"/>
          <w:bCs w:val="1"/>
          <w:i w:val="1"/>
          <w:iCs w:val="1"/>
          <w:color w:val="auto"/>
        </w:rPr>
        <w:t xml:space="preserve"> ХБП С</w:t>
      </w:r>
      <w:r>
        <w:rPr>
          <w:rFonts w:ascii="Arial" w:cs="Arial" w:eastAsia="Arial" w:hAnsi="Arial"/>
          <w:sz w:val="25"/>
          <w:szCs w:val="25"/>
          <w:b w:val="1"/>
          <w:bCs w:val="1"/>
          <w:i w:val="1"/>
          <w:iCs w:val="1"/>
          <w:color w:val="auto"/>
        </w:rPr>
        <w:t>4</w:t>
      </w:r>
      <w:r>
        <w:rPr>
          <w:rFonts w:ascii="Arial" w:cs="Arial" w:eastAsia="Arial" w:hAnsi="Arial"/>
          <w:sz w:val="25"/>
          <w:szCs w:val="25"/>
          <w:b w:val="1"/>
          <w:bCs w:val="1"/>
          <w:i w:val="1"/>
          <w:iCs w:val="1"/>
          <w:color w:val="auto"/>
        </w:rPr>
        <w:t xml:space="preserve"> стадии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альбуминурия А</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Риск </w:t>
      </w:r>
      <w:r>
        <w:rPr>
          <w:rFonts w:ascii="Arial" w:cs="Arial" w:eastAsia="Arial" w:hAnsi="Arial"/>
          <w:sz w:val="25"/>
          <w:szCs w:val="25"/>
          <w:b w:val="1"/>
          <w:bCs w:val="1"/>
          <w:i w:val="1"/>
          <w:iCs w:val="1"/>
          <w:color w:val="auto"/>
        </w:rPr>
        <w:t>4</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очень высокий</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Целевое АД</w:t>
      </w:r>
      <w:r>
        <w:rPr>
          <w:rFonts w:ascii="Arial" w:cs="Arial" w:eastAsia="Arial" w:hAnsi="Arial"/>
          <w:sz w:val="25"/>
          <w:szCs w:val="25"/>
          <w:b w:val="1"/>
          <w:bCs w:val="1"/>
          <w:i w:val="1"/>
          <w:iCs w:val="1"/>
          <w:color w:val="auto"/>
        </w:rPr>
        <w:t xml:space="preserve"> 130–139/&lt; </w:t>
      </w:r>
      <w:r>
        <w:rPr>
          <w:rFonts w:ascii="Arial" w:cs="Arial" w:eastAsia="Arial" w:hAnsi="Arial"/>
          <w:sz w:val="25"/>
          <w:szCs w:val="25"/>
          <w:b w:val="1"/>
          <w:bCs w:val="1"/>
          <w:i w:val="1"/>
          <w:iCs w:val="1"/>
          <w:color w:val="auto"/>
        </w:rPr>
        <w:t>мм рт</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ст</w:t>
      </w:r>
      <w:r>
        <w:rPr>
          <w:rFonts w:ascii="Arial" w:cs="Arial" w:eastAsia="Arial" w:hAnsi="Arial"/>
          <w:sz w:val="25"/>
          <w:szCs w:val="25"/>
          <w:b w:val="1"/>
          <w:bCs w:val="1"/>
          <w:i w:val="1"/>
          <w:iCs w:val="1"/>
          <w:color w:val="auto"/>
        </w:rPr>
        <w:t>.</w:t>
      </w:r>
    </w:p>
    <w:p>
      <w:pPr>
        <w:sectPr>
          <w:pgSz w:w="11900" w:h="16840" w:orient="portrait"/>
          <w:cols w:equalWidth="0" w:num="1">
            <w:col w:w="9020"/>
          </w:cols>
          <w:pgMar w:left="1440" w:top="19" w:right="1440" w:bottom="145" w:gutter="0" w:footer="0" w:header="0"/>
        </w:sectPr>
      </w:pPr>
    </w:p>
    <w:bookmarkStart w:id="25" w:name="page26"/>
    <w:bookmarkEnd w:id="25"/>
    <w:p>
      <w:pPr>
        <w:ind w:left="360"/>
        <w:spacing w:after="0"/>
        <w:rPr>
          <w:sz w:val="20"/>
          <w:szCs w:val="20"/>
          <w:color w:val="auto"/>
        </w:rPr>
      </w:pPr>
      <w:r>
        <w:rPr>
          <w:rFonts w:ascii="Arial" w:cs="Arial" w:eastAsia="Arial" w:hAnsi="Arial"/>
          <w:sz w:val="33"/>
          <w:szCs w:val="33"/>
          <w:b w:val="1"/>
          <w:bCs w:val="1"/>
          <w:color w:val="auto"/>
        </w:rPr>
        <w:t>2.3.</w:t>
      </w:r>
      <w:r>
        <w:rPr>
          <w:rFonts w:ascii="Arial" w:cs="Arial" w:eastAsia="Arial" w:hAnsi="Arial"/>
          <w:sz w:val="33"/>
          <w:szCs w:val="33"/>
          <w:b w:val="1"/>
          <w:bCs w:val="1"/>
          <w:color w:val="auto"/>
        </w:rPr>
        <w:t>Принципы измерения АД</w:t>
      </w:r>
    </w:p>
    <w:p>
      <w:pPr>
        <w:spacing w:after="0" w:line="200" w:lineRule="exact"/>
        <w:rPr>
          <w:sz w:val="20"/>
          <w:szCs w:val="20"/>
          <w:color w:val="auto"/>
        </w:rPr>
      </w:pPr>
    </w:p>
    <w:p>
      <w:pPr>
        <w:spacing w:after="0" w:line="22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Скрининг АГ путем измерения АД в медицинском учреждении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hanging="4"/>
        <w:spacing w:after="0" w:line="317" w:lineRule="auto"/>
        <w:tabs>
          <w:tab w:leader="none" w:pos="1161" w:val="left"/>
        </w:tabs>
        <w:numPr>
          <w:ilvl w:val="0"/>
          <w:numId w:val="12"/>
        </w:numPr>
        <w:rPr>
          <w:rFonts w:ascii="Arial" w:cs="Arial" w:eastAsia="Arial" w:hAnsi="Arial"/>
          <w:sz w:val="27"/>
          <w:szCs w:val="27"/>
          <w:color w:val="auto"/>
        </w:rPr>
      </w:pPr>
      <w:r>
        <w:rPr>
          <w:rFonts w:ascii="Arial" w:cs="Arial" w:eastAsia="Arial" w:hAnsi="Arial"/>
          <w:sz w:val="27"/>
          <w:szCs w:val="27"/>
          <w:color w:val="auto"/>
        </w:rPr>
        <w:t xml:space="preserve">регистрация полученных цифр АД в медицинской документации рекомендован всем пациентам с </w:t>
      </w:r>
      <w:r>
        <w:rPr>
          <w:rFonts w:ascii="Arial" w:cs="Arial" w:eastAsia="Arial" w:hAnsi="Arial"/>
          <w:sz w:val="27"/>
          <w:szCs w:val="27"/>
          <w:color w:val="auto"/>
        </w:rPr>
        <w:t>18</w:t>
      </w:r>
      <w:r>
        <w:rPr>
          <w:rFonts w:ascii="Arial" w:cs="Arial" w:eastAsia="Arial" w:hAnsi="Arial"/>
          <w:sz w:val="27"/>
          <w:szCs w:val="27"/>
          <w:color w:val="auto"/>
        </w:rPr>
        <w:t xml:space="preserve"> лет </w:t>
      </w:r>
      <w:r>
        <w:rPr>
          <w:rFonts w:ascii="Arial" w:cs="Arial" w:eastAsia="Arial" w:hAnsi="Arial"/>
          <w:sz w:val="27"/>
          <w:szCs w:val="27"/>
          <w:color w:val="auto"/>
        </w:rPr>
        <w:t>[33, 40]</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 xml:space="preserve">1, </w:t>
      </w:r>
      <w:r>
        <w:rPr>
          <w:rFonts w:ascii="Arial" w:cs="Arial" w:eastAsia="Arial" w:hAnsi="Arial"/>
          <w:sz w:val="27"/>
          <w:szCs w:val="27"/>
          <w:color w:val="auto"/>
        </w:rPr>
        <w:t>Приложение Г</w:t>
      </w:r>
      <w:r>
        <w:rPr>
          <w:rFonts w:ascii="Arial" w:cs="Arial" w:eastAsia="Arial" w:hAnsi="Arial"/>
          <w:sz w:val="27"/>
          <w:szCs w:val="27"/>
          <w:color w:val="auto"/>
        </w:rPr>
        <w:t>2).</w:t>
      </w:r>
    </w:p>
    <w:p>
      <w:pPr>
        <w:spacing w:after="0" w:line="210" w:lineRule="exact"/>
        <w:rPr>
          <w:sz w:val="20"/>
          <w:szCs w:val="20"/>
          <w:color w:val="auto"/>
        </w:rPr>
      </w:pPr>
    </w:p>
    <w:p>
      <w:pPr>
        <w:ind w:left="74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Для определения степени и стабильности повышения уровня АД рекомендовано проводить измерения АД в медицинском учреждении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2,</w:t>
      </w:r>
      <w:r>
        <w:rPr>
          <w:rFonts w:ascii="Arial" w:cs="Arial" w:eastAsia="Arial" w:hAnsi="Arial"/>
          <w:sz w:val="27"/>
          <w:szCs w:val="27"/>
          <w:color w:val="auto"/>
        </w:rPr>
        <w:t xml:space="preserve"> Приложение Г</w:t>
      </w:r>
      <w:r>
        <w:rPr>
          <w:rFonts w:ascii="Arial" w:cs="Arial" w:eastAsia="Arial" w:hAnsi="Arial"/>
          <w:sz w:val="27"/>
          <w:szCs w:val="27"/>
          <w:color w:val="auto"/>
        </w:rPr>
        <w:t>1)</w:t>
      </w:r>
      <w:r>
        <w:rPr>
          <w:rFonts w:ascii="Arial" w:cs="Arial" w:eastAsia="Arial" w:hAnsi="Arial"/>
          <w:sz w:val="27"/>
          <w:szCs w:val="27"/>
          <w:color w:val="auto"/>
        </w:rPr>
        <w:t xml:space="preserve"> у всех пациентов с повышением АД </w:t>
      </w:r>
      <w:r>
        <w:rPr>
          <w:rFonts w:ascii="Arial" w:cs="Arial" w:eastAsia="Arial" w:hAnsi="Arial"/>
          <w:sz w:val="27"/>
          <w:szCs w:val="27"/>
          <w:color w:val="auto"/>
        </w:rPr>
        <w:t>[33, 40, 42].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E</w:t>
      </w:r>
      <w:r>
        <w:rPr>
          <w:rFonts w:ascii="Arial" w:cs="Arial" w:eastAsia="Arial" w:hAnsi="Arial"/>
          <w:sz w:val="27"/>
          <w:szCs w:val="27"/>
          <w:b w:val="1"/>
          <w:bCs w:val="1"/>
          <w:color w:val="auto"/>
        </w:rPr>
        <w:t>ОК</w:t>
      </w:r>
      <w:r>
        <w:rPr>
          <w:rFonts w:ascii="Arial" w:cs="Arial" w:eastAsia="Arial" w:hAnsi="Arial"/>
          <w:sz w:val="27"/>
          <w:szCs w:val="27"/>
          <w:b w:val="1"/>
          <w:bCs w:val="1"/>
          <w:color w:val="auto"/>
        </w:rPr>
        <w:t>/</w:t>
      </w:r>
      <w:r>
        <w:rPr>
          <w:rFonts w:ascii="Arial" w:cs="Arial" w:eastAsia="Arial" w:hAnsi="Arial"/>
          <w:sz w:val="27"/>
          <w:szCs w:val="27"/>
          <w:b w:val="1"/>
          <w:bCs w:val="1"/>
          <w:color w:val="auto"/>
        </w:rPr>
        <w:t>ЕОАГ</w:t>
      </w:r>
      <w:r>
        <w:rPr>
          <w:rFonts w:ascii="Arial" w:cs="Arial" w:eastAsia="Arial" w:hAnsi="Arial"/>
          <w:sz w:val="27"/>
          <w:szCs w:val="27"/>
          <w:b w:val="1"/>
          <w:bCs w:val="1"/>
          <w:color w:val="auto"/>
        </w:rPr>
        <w:t xml:space="preserve"> I</w:t>
      </w:r>
      <w:r>
        <w:rPr>
          <w:rFonts w:ascii="Arial" w:cs="Arial" w:eastAsia="Arial" w:hAnsi="Arial"/>
          <w:sz w:val="27"/>
          <w:szCs w:val="27"/>
          <w:b w:val="1"/>
          <w:bCs w:val="1"/>
          <w:color w:val="auto"/>
        </w:rPr>
        <w:t>В</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УДД</w:t>
      </w:r>
      <w:r>
        <w:rPr>
          <w:rFonts w:ascii="Arial" w:cs="Arial" w:eastAsia="Arial" w:hAnsi="Arial"/>
          <w:sz w:val="27"/>
          <w:szCs w:val="27"/>
          <w:b w:val="1"/>
          <w:bCs w:val="1"/>
          <w:color w:val="auto"/>
        </w:rPr>
        <w:t xml:space="preserve"> 1)</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Клиническое измерение АД имеет наибольшую</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 xml:space="preserve">доказательную базу для диагностики АГ и оценки эффективности антигипертензивной терапии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АГТ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Точность измерения АД 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соответственно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диагностика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определение</w:t>
      </w:r>
    </w:p>
    <w:p>
      <w:pPr>
        <w:spacing w:after="0" w:line="1" w:lineRule="exact"/>
        <w:rPr>
          <w:sz w:val="20"/>
          <w:szCs w:val="20"/>
          <w:color w:val="auto"/>
        </w:rPr>
      </w:pPr>
    </w:p>
    <w:p>
      <w:pPr>
        <w:ind w:left="680" w:right="220" w:hanging="4"/>
        <w:spacing w:after="0" w:line="334" w:lineRule="auto"/>
        <w:tabs>
          <w:tab w:leader="none" w:pos="1180" w:val="left"/>
        </w:tabs>
        <w:numPr>
          <w:ilvl w:val="0"/>
          <w:numId w:val="13"/>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степени тяжести зависят от соблюдения правил по измерению АД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Таблица П</w:t>
      </w:r>
      <w:r>
        <w:rPr>
          <w:rFonts w:ascii="Arial" w:cs="Arial" w:eastAsia="Arial" w:hAnsi="Arial"/>
          <w:sz w:val="27"/>
          <w:szCs w:val="27"/>
          <w:b w:val="1"/>
          <w:bCs w:val="1"/>
          <w:i w:val="1"/>
          <w:iCs w:val="1"/>
          <w:color w:val="auto"/>
        </w:rPr>
        <w:t>1,</w:t>
      </w:r>
      <w:r>
        <w:rPr>
          <w:rFonts w:ascii="Arial" w:cs="Arial" w:eastAsia="Arial" w:hAnsi="Arial"/>
          <w:sz w:val="27"/>
          <w:szCs w:val="27"/>
          <w:b w:val="1"/>
          <w:bCs w:val="1"/>
          <w:i w:val="1"/>
          <w:iCs w:val="1"/>
          <w:color w:val="auto"/>
        </w:rPr>
        <w:t xml:space="preserve"> Приложение Г</w:t>
      </w:r>
      <w:r>
        <w:rPr>
          <w:rFonts w:ascii="Arial" w:cs="Arial" w:eastAsia="Arial" w:hAnsi="Arial"/>
          <w:sz w:val="27"/>
          <w:szCs w:val="27"/>
          <w:b w:val="1"/>
          <w:bCs w:val="1"/>
          <w:i w:val="1"/>
          <w:iCs w:val="1"/>
          <w:color w:val="auto"/>
        </w:rPr>
        <w:t>1).</w:t>
      </w:r>
    </w:p>
    <w:p>
      <w:pPr>
        <w:spacing w:after="0" w:line="186"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Рекомендуется проводить измерения АД в медицинском учреждении на обеих руках</w:t>
      </w:r>
      <w:r>
        <w:rPr>
          <w:rFonts w:ascii="Arial" w:cs="Arial" w:eastAsia="Arial" w:hAnsi="Arial"/>
          <w:sz w:val="27"/>
          <w:szCs w:val="27"/>
          <w:color w:val="auto"/>
        </w:rPr>
        <w:t>,</w:t>
      </w:r>
      <w:r>
        <w:rPr>
          <w:rFonts w:ascii="Arial" w:cs="Arial" w:eastAsia="Arial" w:hAnsi="Arial"/>
          <w:sz w:val="27"/>
          <w:szCs w:val="27"/>
          <w:color w:val="auto"/>
        </w:rPr>
        <w:t xml:space="preserve"> по крайней мере</w:t>
      </w:r>
      <w:r>
        <w:rPr>
          <w:rFonts w:ascii="Arial" w:cs="Arial" w:eastAsia="Arial" w:hAnsi="Arial"/>
          <w:sz w:val="27"/>
          <w:szCs w:val="27"/>
          <w:color w:val="auto"/>
        </w:rPr>
        <w:t>,</w:t>
      </w:r>
      <w:r>
        <w:rPr>
          <w:rFonts w:ascii="Arial" w:cs="Arial" w:eastAsia="Arial" w:hAnsi="Arial"/>
          <w:sz w:val="27"/>
          <w:szCs w:val="27"/>
          <w:color w:val="auto"/>
        </w:rPr>
        <w:t xml:space="preserve"> во время первого визита пациента для выявления возможного поражения артерий </w:t>
      </w:r>
      <w:r>
        <w:rPr>
          <w:rFonts w:ascii="Arial" w:cs="Arial" w:eastAsia="Arial" w:hAnsi="Arial"/>
          <w:sz w:val="27"/>
          <w:szCs w:val="27"/>
          <w:color w:val="auto"/>
        </w:rPr>
        <w:t>(</w:t>
      </w:r>
      <w:r>
        <w:rPr>
          <w:rFonts w:ascii="Arial" w:cs="Arial" w:eastAsia="Arial" w:hAnsi="Arial"/>
          <w:sz w:val="27"/>
          <w:szCs w:val="27"/>
          <w:color w:val="auto"/>
        </w:rPr>
        <w:t>в первую очередь атеросклеротического</w:t>
      </w:r>
      <w:r>
        <w:rPr>
          <w:rFonts w:ascii="Arial" w:cs="Arial" w:eastAsia="Arial" w:hAnsi="Arial"/>
          <w:sz w:val="27"/>
          <w:szCs w:val="27"/>
          <w:color w:val="auto"/>
        </w:rPr>
        <w:t>),</w:t>
      </w:r>
      <w:r>
        <w:rPr>
          <w:rFonts w:ascii="Arial" w:cs="Arial" w:eastAsia="Arial" w:hAnsi="Arial"/>
          <w:sz w:val="27"/>
          <w:szCs w:val="27"/>
          <w:color w:val="auto"/>
        </w:rPr>
        <w:t xml:space="preserve"> ассоциированного с более высоким СС риском </w:t>
      </w:r>
      <w:r>
        <w:rPr>
          <w:rFonts w:ascii="Arial" w:cs="Arial" w:eastAsia="Arial" w:hAnsi="Arial"/>
          <w:sz w:val="27"/>
          <w:szCs w:val="27"/>
          <w:color w:val="auto"/>
        </w:rPr>
        <w:t>[41].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E</w:t>
      </w:r>
      <w:r>
        <w:rPr>
          <w:rFonts w:ascii="Arial" w:cs="Arial" w:eastAsia="Arial" w:hAnsi="Arial"/>
          <w:sz w:val="27"/>
          <w:szCs w:val="27"/>
          <w:b w:val="1"/>
          <w:bCs w:val="1"/>
          <w:color w:val="auto"/>
        </w:rPr>
        <w:t>ОК</w:t>
      </w:r>
      <w:r>
        <w:rPr>
          <w:rFonts w:ascii="Arial" w:cs="Arial" w:eastAsia="Arial" w:hAnsi="Arial"/>
          <w:sz w:val="27"/>
          <w:szCs w:val="27"/>
          <w:b w:val="1"/>
          <w:bCs w:val="1"/>
          <w:color w:val="auto"/>
        </w:rPr>
        <w:t>/</w:t>
      </w:r>
      <w:r>
        <w:rPr>
          <w:rFonts w:ascii="Arial" w:cs="Arial" w:eastAsia="Arial" w:hAnsi="Arial"/>
          <w:sz w:val="27"/>
          <w:szCs w:val="27"/>
          <w:b w:val="1"/>
          <w:bCs w:val="1"/>
          <w:color w:val="auto"/>
        </w:rPr>
        <w:t>ЕОАГ</w:t>
      </w:r>
      <w:r>
        <w:rPr>
          <w:rFonts w:ascii="Arial" w:cs="Arial" w:eastAsia="Arial" w:hAnsi="Arial"/>
          <w:sz w:val="27"/>
          <w:szCs w:val="27"/>
          <w:b w:val="1"/>
          <w:bCs w:val="1"/>
          <w:color w:val="auto"/>
        </w:rPr>
        <w:t xml:space="preserve"> I</w:t>
      </w:r>
      <w:r>
        <w:rPr>
          <w:rFonts w:ascii="Arial" w:cs="Arial" w:eastAsia="Arial" w:hAnsi="Arial"/>
          <w:sz w:val="27"/>
          <w:szCs w:val="27"/>
          <w:b w:val="1"/>
          <w:bCs w:val="1"/>
          <w:color w:val="auto"/>
        </w:rPr>
        <w:t>А</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УДД</w:t>
      </w:r>
      <w:r>
        <w:rPr>
          <w:rFonts w:ascii="Arial" w:cs="Arial" w:eastAsia="Arial" w:hAnsi="Arial"/>
          <w:sz w:val="27"/>
          <w:szCs w:val="27"/>
          <w:b w:val="1"/>
          <w:bCs w:val="1"/>
          <w:color w:val="auto"/>
        </w:rPr>
        <w:t xml:space="preserve"> 2)</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При разнице показателей АД на правой и левой</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 xml:space="preserve">руке более </w:t>
      </w:r>
      <w:r>
        <w:rPr>
          <w:rFonts w:ascii="Arial" w:cs="Arial" w:eastAsia="Arial" w:hAnsi="Arial"/>
          <w:sz w:val="25"/>
          <w:szCs w:val="25"/>
          <w:b w:val="1"/>
          <w:bCs w:val="1"/>
          <w:i w:val="1"/>
          <w:iCs w:val="1"/>
          <w:color w:val="auto"/>
        </w:rPr>
        <w:t>15</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вероятно атеросклеротическое поражение сосудов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 выявленной разнице показателей между правой и левой руками в дальнейшем рекомендуется проводить измерения на руке с более высоким АД</w:t>
      </w:r>
      <w:r>
        <w:rPr>
          <w:rFonts w:ascii="Arial" w:cs="Arial" w:eastAsia="Arial" w:hAnsi="Arial"/>
          <w:sz w:val="25"/>
          <w:szCs w:val="25"/>
          <w:b w:val="1"/>
          <w:bCs w:val="1"/>
          <w:i w:val="1"/>
          <w:iCs w:val="1"/>
          <w:color w:val="auto"/>
        </w:rPr>
        <w:t>.</w:t>
      </w:r>
    </w:p>
    <w:p>
      <w:pPr>
        <w:spacing w:after="0" w:line="191"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Определение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вне медицинского учреждения </w:t>
      </w:r>
      <w:r>
        <w:rPr>
          <w:rFonts w:ascii="Arial" w:cs="Arial" w:eastAsia="Arial" w:hAnsi="Arial"/>
          <w:sz w:val="27"/>
          <w:szCs w:val="27"/>
          <w:color w:val="auto"/>
        </w:rPr>
        <w:t>(</w:t>
      </w:r>
      <w:r>
        <w:rPr>
          <w:rFonts w:ascii="Arial" w:cs="Arial" w:eastAsia="Arial" w:hAnsi="Arial"/>
          <w:sz w:val="27"/>
          <w:szCs w:val="27"/>
          <w:color w:val="auto"/>
        </w:rPr>
        <w:t>СМАД или ДМАД</w:t>
      </w:r>
      <w:r>
        <w:rPr>
          <w:rFonts w:ascii="Arial" w:cs="Arial" w:eastAsia="Arial" w:hAnsi="Arial"/>
          <w:sz w:val="27"/>
          <w:szCs w:val="27"/>
          <w:color w:val="auto"/>
        </w:rPr>
        <w:t xml:space="preserve">) </w:t>
      </w:r>
      <w:r>
        <w:rPr>
          <w:rFonts w:ascii="Arial" w:cs="Arial" w:eastAsia="Arial" w:hAnsi="Arial"/>
          <w:sz w:val="27"/>
          <w:szCs w:val="27"/>
          <w:color w:val="auto"/>
        </w:rPr>
        <w:t>для постановки диагноза или контроля</w:t>
      </w:r>
      <w:r>
        <w:rPr>
          <w:rFonts w:ascii="Arial" w:cs="Arial" w:eastAsia="Arial" w:hAnsi="Arial"/>
          <w:sz w:val="27"/>
          <w:szCs w:val="27"/>
          <w:color w:val="auto"/>
        </w:rPr>
        <w:t xml:space="preserve"> </w:t>
      </w:r>
      <w:r>
        <w:rPr>
          <w:rFonts w:ascii="Arial" w:cs="Arial" w:eastAsia="Arial" w:hAnsi="Arial"/>
          <w:sz w:val="27"/>
          <w:szCs w:val="27"/>
          <w:color w:val="auto"/>
        </w:rPr>
        <w:t>эффективности АГТ рекомендуется в ряде клинических ситуаций</w:t>
      </w:r>
      <w:r>
        <w:rPr>
          <w:rFonts w:ascii="Arial" w:cs="Arial" w:eastAsia="Arial" w:hAnsi="Arial"/>
          <w:sz w:val="27"/>
          <w:szCs w:val="27"/>
          <w:color w:val="auto"/>
        </w:rPr>
        <w:t>,</w:t>
      </w:r>
      <w:r>
        <w:rPr>
          <w:rFonts w:ascii="Arial" w:cs="Arial" w:eastAsia="Arial" w:hAnsi="Arial"/>
          <w:sz w:val="27"/>
          <w:szCs w:val="27"/>
          <w:color w:val="auto"/>
        </w:rPr>
        <w:t xml:space="preserve"> указанных в таблице П</w:t>
      </w:r>
      <w:r>
        <w:rPr>
          <w:rFonts w:ascii="Arial" w:cs="Arial" w:eastAsia="Arial" w:hAnsi="Arial"/>
          <w:sz w:val="27"/>
          <w:szCs w:val="27"/>
          <w:color w:val="auto"/>
        </w:rPr>
        <w:t>7,</w:t>
      </w:r>
      <w:r>
        <w:rPr>
          <w:rFonts w:ascii="Arial" w:cs="Arial" w:eastAsia="Arial" w:hAnsi="Arial"/>
          <w:sz w:val="27"/>
          <w:szCs w:val="27"/>
          <w:color w:val="auto"/>
        </w:rPr>
        <w:t xml:space="preserve"> Приложение Г</w:t>
      </w:r>
      <w:r>
        <w:rPr>
          <w:rFonts w:ascii="Arial" w:cs="Arial" w:eastAsia="Arial" w:hAnsi="Arial"/>
          <w:sz w:val="27"/>
          <w:szCs w:val="27"/>
          <w:color w:val="auto"/>
        </w:rPr>
        <w:t>2 [40, 42–46].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840" w:orient="portrait"/>
          <w:cols w:equalWidth="0" w:num="1">
            <w:col w:w="9020"/>
          </w:cols>
          <w:pgMar w:left="1440" w:top="0" w:right="1440" w:bottom="639" w:gutter="0" w:footer="0" w:header="0"/>
        </w:sectPr>
      </w:pPr>
    </w:p>
    <w:bookmarkStart w:id="26" w:name="page27"/>
    <w:bookmarkEnd w:id="26"/>
    <w:p>
      <w:pPr>
        <w:jc w:val="both"/>
        <w:ind w:left="680" w:right="220"/>
        <w:spacing w:after="0" w:line="332"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Преимущества и недостатки каждого метода</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измерения АД суммированы в таблице П</w:t>
      </w:r>
      <w:r>
        <w:rPr>
          <w:rFonts w:ascii="Arial" w:cs="Arial" w:eastAsia="Arial" w:hAnsi="Arial"/>
          <w:sz w:val="25"/>
          <w:szCs w:val="25"/>
          <w:b w:val="1"/>
          <w:bCs w:val="1"/>
          <w:i w:val="1"/>
          <w:iCs w:val="1"/>
          <w:color w:val="auto"/>
        </w:rPr>
        <w:t>8,</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Диагностические критерии АГ по данным СМАД приведены в таблице П</w:t>
      </w:r>
      <w:r>
        <w:rPr>
          <w:rFonts w:ascii="Arial" w:cs="Arial" w:eastAsia="Arial" w:hAnsi="Arial"/>
          <w:sz w:val="25"/>
          <w:szCs w:val="25"/>
          <w:b w:val="1"/>
          <w:bCs w:val="1"/>
          <w:i w:val="1"/>
          <w:iCs w:val="1"/>
          <w:color w:val="auto"/>
        </w:rPr>
        <w:t>9,</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Результаты СМАД и ДМАД могут помочь в диагностике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но не заменяют повторные измерения АД в лечебном учреждении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Следует обратить внимание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критерии диагностики АГ по результатам клинического измерения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СМАД и ДМАД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таблица П</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1</w:t>
      </w:r>
      <w:r>
        <w:rPr>
          <w:rFonts w:ascii="Arial" w:cs="Arial" w:eastAsia="Arial" w:hAnsi="Arial"/>
          <w:sz w:val="25"/>
          <w:szCs w:val="25"/>
          <w:b w:val="1"/>
          <w:bCs w:val="1"/>
          <w:i w:val="1"/>
          <w:iCs w:val="1"/>
          <w:color w:val="auto"/>
        </w:rPr>
        <w:t xml:space="preserve"> и таблица П</w:t>
      </w:r>
      <w:r>
        <w:rPr>
          <w:rFonts w:ascii="Arial" w:cs="Arial" w:eastAsia="Arial" w:hAnsi="Arial"/>
          <w:sz w:val="25"/>
          <w:szCs w:val="25"/>
          <w:b w:val="1"/>
          <w:bCs w:val="1"/>
          <w:i w:val="1"/>
          <w:iCs w:val="1"/>
          <w:color w:val="auto"/>
        </w:rPr>
        <w:t>9</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2).</w:t>
      </w:r>
    </w:p>
    <w:p>
      <w:pPr>
        <w:spacing w:after="0" w:line="200" w:lineRule="exact"/>
        <w:rPr>
          <w:sz w:val="20"/>
          <w:szCs w:val="20"/>
          <w:color w:val="auto"/>
        </w:rPr>
      </w:pPr>
    </w:p>
    <w:p>
      <w:pPr>
        <w:spacing w:after="0" w:line="200" w:lineRule="exact"/>
        <w:rPr>
          <w:sz w:val="20"/>
          <w:szCs w:val="20"/>
          <w:color w:val="auto"/>
        </w:rPr>
      </w:pPr>
    </w:p>
    <w:p>
      <w:pPr>
        <w:spacing w:after="0" w:line="205"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2.4. </w:t>
      </w:r>
      <w:r>
        <w:rPr>
          <w:rFonts w:ascii="Arial" w:cs="Arial" w:eastAsia="Arial" w:hAnsi="Arial"/>
          <w:sz w:val="33"/>
          <w:szCs w:val="33"/>
          <w:b w:val="1"/>
          <w:bCs w:val="1"/>
          <w:color w:val="auto"/>
        </w:rPr>
        <w:t>Оценка сердечно</w:t>
      </w:r>
      <w:r>
        <w:rPr>
          <w:rFonts w:ascii="Arial" w:cs="Arial" w:eastAsia="Arial" w:hAnsi="Arial"/>
          <w:sz w:val="33"/>
          <w:szCs w:val="33"/>
          <w:b w:val="1"/>
          <w:bCs w:val="1"/>
          <w:color w:val="auto"/>
        </w:rPr>
        <w:t>-</w:t>
      </w:r>
      <w:r>
        <w:rPr>
          <w:rFonts w:ascii="Arial" w:cs="Arial" w:eastAsia="Arial" w:hAnsi="Arial"/>
          <w:sz w:val="33"/>
          <w:szCs w:val="33"/>
          <w:b w:val="1"/>
          <w:bCs w:val="1"/>
          <w:color w:val="auto"/>
        </w:rPr>
        <w:t>сосудистого риска</w:t>
      </w:r>
    </w:p>
    <w:p>
      <w:pPr>
        <w:spacing w:after="0" w:line="200" w:lineRule="exact"/>
        <w:rPr>
          <w:sz w:val="20"/>
          <w:szCs w:val="20"/>
          <w:color w:val="auto"/>
        </w:rPr>
      </w:pPr>
    </w:p>
    <w:p>
      <w:pPr>
        <w:spacing w:after="0" w:line="278"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Базовый скрининг на наличие ПОМ рекомендовано проводить</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hanging="4"/>
        <w:spacing w:after="0" w:line="317" w:lineRule="auto"/>
        <w:tabs>
          <w:tab w:leader="none" w:pos="1170" w:val="left"/>
        </w:tabs>
        <w:numPr>
          <w:ilvl w:val="0"/>
          <w:numId w:val="14"/>
        </w:numPr>
        <w:rPr>
          <w:rFonts w:ascii="Arial" w:cs="Arial" w:eastAsia="Arial" w:hAnsi="Arial"/>
          <w:sz w:val="27"/>
          <w:szCs w:val="27"/>
          <w:color w:val="auto"/>
        </w:rPr>
      </w:pPr>
      <w:r>
        <w:rPr>
          <w:rFonts w:ascii="Arial" w:cs="Arial" w:eastAsia="Arial" w:hAnsi="Arial"/>
          <w:sz w:val="27"/>
          <w:szCs w:val="27"/>
          <w:color w:val="auto"/>
        </w:rPr>
        <w:t>всех пациентов с АГ</w:t>
      </w:r>
      <w:r>
        <w:rPr>
          <w:rFonts w:ascii="Arial" w:cs="Arial" w:eastAsia="Arial" w:hAnsi="Arial"/>
          <w:sz w:val="27"/>
          <w:szCs w:val="27"/>
          <w:color w:val="auto"/>
        </w:rPr>
        <w:t>.</w:t>
      </w:r>
      <w:r>
        <w:rPr>
          <w:rFonts w:ascii="Arial" w:cs="Arial" w:eastAsia="Arial" w:hAnsi="Arial"/>
          <w:sz w:val="27"/>
          <w:szCs w:val="27"/>
          <w:color w:val="auto"/>
        </w:rPr>
        <w:t xml:space="preserve"> Расширенное обследование рекомендовано в том случае</w:t>
      </w:r>
      <w:r>
        <w:rPr>
          <w:rFonts w:ascii="Arial" w:cs="Arial" w:eastAsia="Arial" w:hAnsi="Arial"/>
          <w:sz w:val="27"/>
          <w:szCs w:val="27"/>
          <w:color w:val="auto"/>
        </w:rPr>
        <w:t>,</w:t>
      </w:r>
      <w:r>
        <w:rPr>
          <w:rFonts w:ascii="Arial" w:cs="Arial" w:eastAsia="Arial" w:hAnsi="Arial"/>
          <w:sz w:val="27"/>
          <w:szCs w:val="27"/>
          <w:color w:val="auto"/>
        </w:rPr>
        <w:t xml:space="preserve"> когда выявление ПОМ повлияет на выбор терапевтической тактики </w:t>
      </w:r>
      <w:r>
        <w:rPr>
          <w:rFonts w:ascii="Arial" w:cs="Arial" w:eastAsia="Arial" w:hAnsi="Arial"/>
          <w:sz w:val="27"/>
          <w:szCs w:val="27"/>
          <w:color w:val="auto"/>
        </w:rPr>
        <w:t>[21, 22].</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ind w:left="680"/>
        <w:spacing w:after="0"/>
        <w:tabs>
          <w:tab w:leader="none" w:pos="3000" w:val="left"/>
          <w:tab w:leader="none" w:pos="3800" w:val="left"/>
          <w:tab w:leader="none" w:pos="5400" w:val="left"/>
          <w:tab w:leader="none" w:pos="7080" w:val="left"/>
          <w:tab w:leader="none" w:pos="8220" w:val="left"/>
        </w:tabs>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sz w:val="20"/>
          <w:szCs w:val="20"/>
          <w:color w:val="auto"/>
        </w:rPr>
        <w:tab/>
      </w:r>
      <w:r>
        <w:rPr>
          <w:rFonts w:ascii="Arial" w:cs="Arial" w:eastAsia="Arial" w:hAnsi="Arial"/>
          <w:sz w:val="27"/>
          <w:szCs w:val="27"/>
          <w:b w:val="1"/>
          <w:bCs w:val="1"/>
          <w:i w:val="1"/>
          <w:iCs w:val="1"/>
          <w:color w:val="auto"/>
        </w:rPr>
        <w:t>Для</w:t>
        <w:tab/>
        <w:t>выявления</w:t>
        <w:tab/>
        <w:t>поражения</w:t>
        <w:tab/>
        <w:t>сердца</w:t>
      </w:r>
      <w:r>
        <w:rPr>
          <w:sz w:val="20"/>
          <w:szCs w:val="20"/>
          <w:color w:val="auto"/>
        </w:rPr>
        <w:tab/>
      </w:r>
      <w:r>
        <w:rPr>
          <w:rFonts w:ascii="Arial" w:cs="Arial" w:eastAsia="Arial" w:hAnsi="Arial"/>
          <w:sz w:val="22"/>
          <w:szCs w:val="22"/>
          <w:b w:val="1"/>
          <w:bCs w:val="1"/>
          <w:i w:val="1"/>
          <w:iCs w:val="1"/>
          <w:color w:val="auto"/>
        </w:rPr>
        <w:t>всем</w:t>
      </w:r>
    </w:p>
    <w:p>
      <w:pPr>
        <w:spacing w:after="0" w:line="80" w:lineRule="exact"/>
        <w:rPr>
          <w:sz w:val="20"/>
          <w:szCs w:val="20"/>
          <w:color w:val="auto"/>
        </w:rPr>
      </w:pPr>
    </w:p>
    <w:p>
      <w:pPr>
        <w:jc w:val="both"/>
        <w:ind w:left="680" w:right="220"/>
        <w:spacing w:after="0" w:line="360" w:lineRule="auto"/>
        <w:rPr>
          <w:sz w:val="20"/>
          <w:szCs w:val="20"/>
          <w:color w:val="auto"/>
        </w:rPr>
      </w:pPr>
      <w:r>
        <w:rPr>
          <w:rFonts w:ascii="Arial" w:cs="Arial" w:eastAsia="Arial" w:hAnsi="Arial"/>
          <w:sz w:val="23"/>
          <w:szCs w:val="23"/>
          <w:b w:val="1"/>
          <w:bCs w:val="1"/>
          <w:i w:val="1"/>
          <w:iCs w:val="1"/>
          <w:color w:val="auto"/>
        </w:rPr>
        <w:t xml:space="preserve">пациентам целесообразно проводить регистрацию электрокардиограммы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ЭКГ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 расчетом индексов гипертрофии ЛЖ</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случае расширенного обследования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ЭхоКГ с определением индекса массы миокарда левого желудочка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Для выявления поражения почек у всех оценивают протеинурию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альбуминурию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концентрационную функцию и мочевой осадок</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при расширенном обследовании выполняется УЗИ почек и допплерография почечных артерий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Для выявления поражения сосудов рекомендовано выполнение фундоскопии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расчет пульсового давления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ПД</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у пожилых</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оценка лодыжочно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плечевого индекса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ЛПИ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скорость пульсовой волны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СПВ</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 обследования для выявления атеросклеротических бляшек в брахиоцефальных</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почечных и подвздошно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бедренных сосудах при расширенном обследовании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таблицы П</w:t>
      </w:r>
      <w:r>
        <w:rPr>
          <w:rFonts w:ascii="Arial" w:cs="Arial" w:eastAsia="Arial" w:hAnsi="Arial"/>
          <w:sz w:val="23"/>
          <w:szCs w:val="23"/>
          <w:b w:val="1"/>
          <w:bCs w:val="1"/>
          <w:i w:val="1"/>
          <w:iCs w:val="1"/>
          <w:color w:val="auto"/>
        </w:rPr>
        <w:t xml:space="preserve">4 </w:t>
      </w:r>
      <w:r>
        <w:rPr>
          <w:rFonts w:ascii="Arial" w:cs="Arial" w:eastAsia="Arial" w:hAnsi="Arial"/>
          <w:sz w:val="23"/>
          <w:szCs w:val="23"/>
          <w:b w:val="1"/>
          <w:bCs w:val="1"/>
          <w:i w:val="1"/>
          <w:iCs w:val="1"/>
          <w:color w:val="auto"/>
        </w:rPr>
        <w:t>и П</w:t>
      </w:r>
      <w:r>
        <w:rPr>
          <w:rFonts w:ascii="Arial" w:cs="Arial" w:eastAsia="Arial" w:hAnsi="Arial"/>
          <w:sz w:val="23"/>
          <w:szCs w:val="23"/>
          <w:b w:val="1"/>
          <w:bCs w:val="1"/>
          <w:i w:val="1"/>
          <w:iCs w:val="1"/>
          <w:color w:val="auto"/>
        </w:rPr>
        <w:t xml:space="preserve">5, </w:t>
      </w:r>
      <w:r>
        <w:rPr>
          <w:rFonts w:ascii="Arial" w:cs="Arial" w:eastAsia="Arial" w:hAnsi="Arial"/>
          <w:sz w:val="23"/>
          <w:szCs w:val="23"/>
          <w:b w:val="1"/>
          <w:bCs w:val="1"/>
          <w:i w:val="1"/>
          <w:iCs w:val="1"/>
          <w:color w:val="auto"/>
        </w:rPr>
        <w:t>приложение Г</w:t>
      </w:r>
      <w:r>
        <w:rPr>
          <w:rFonts w:ascii="Arial" w:cs="Arial" w:eastAsia="Arial" w:hAnsi="Arial"/>
          <w:sz w:val="23"/>
          <w:szCs w:val="23"/>
          <w:b w:val="1"/>
          <w:bCs w:val="1"/>
          <w:i w:val="1"/>
          <w:iCs w:val="1"/>
          <w:color w:val="auto"/>
        </w:rPr>
        <w:t>2).</w:t>
      </w:r>
    </w:p>
    <w:p>
      <w:pPr>
        <w:spacing w:after="0" w:line="178"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Всем пациентам с АГ рекомендуется оценка общего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сосудистого риска </w:t>
      </w:r>
      <w:r>
        <w:rPr>
          <w:rFonts w:ascii="Arial" w:cs="Arial" w:eastAsia="Arial" w:hAnsi="Arial"/>
          <w:sz w:val="27"/>
          <w:szCs w:val="27"/>
          <w:color w:val="auto"/>
        </w:rPr>
        <w:t>(</w:t>
      </w:r>
      <w:r>
        <w:rPr>
          <w:rFonts w:ascii="Arial" w:cs="Arial" w:eastAsia="Arial" w:hAnsi="Arial"/>
          <w:sz w:val="27"/>
          <w:szCs w:val="27"/>
          <w:color w:val="auto"/>
        </w:rPr>
        <w:t>ССР</w:t>
      </w:r>
      <w:r>
        <w:rPr>
          <w:rFonts w:ascii="Arial" w:cs="Arial" w:eastAsia="Arial" w:hAnsi="Arial"/>
          <w:sz w:val="27"/>
          <w:szCs w:val="27"/>
          <w:color w:val="auto"/>
        </w:rPr>
        <w:t>) —</w:t>
      </w:r>
      <w:r>
        <w:rPr>
          <w:rFonts w:ascii="Arial" w:cs="Arial" w:eastAsia="Arial" w:hAnsi="Arial"/>
          <w:sz w:val="27"/>
          <w:szCs w:val="27"/>
          <w:color w:val="auto"/>
        </w:rPr>
        <w:t xml:space="preserve"> выявление ФР</w:t>
      </w:r>
      <w:r>
        <w:rPr>
          <w:rFonts w:ascii="Arial" w:cs="Arial" w:eastAsia="Arial" w:hAnsi="Arial"/>
          <w:sz w:val="27"/>
          <w:szCs w:val="27"/>
          <w:color w:val="auto"/>
        </w:rPr>
        <w:t>,</w:t>
      </w:r>
      <w:r>
        <w:rPr>
          <w:rFonts w:ascii="Arial" w:cs="Arial" w:eastAsia="Arial" w:hAnsi="Arial"/>
          <w:sz w:val="27"/>
          <w:szCs w:val="27"/>
          <w:color w:val="auto"/>
        </w:rPr>
        <w:t xml:space="preserve"> ПОМ и АКС</w:t>
      </w:r>
      <w:r>
        <w:rPr>
          <w:rFonts w:ascii="Arial" w:cs="Arial" w:eastAsia="Arial" w:hAnsi="Arial"/>
          <w:sz w:val="27"/>
          <w:szCs w:val="27"/>
          <w:color w:val="auto"/>
        </w:rPr>
        <w:t>,</w:t>
      </w:r>
      <w:r>
        <w:rPr>
          <w:rFonts w:ascii="Arial" w:cs="Arial" w:eastAsia="Arial" w:hAnsi="Arial"/>
          <w:sz w:val="27"/>
          <w:szCs w:val="27"/>
          <w:color w:val="auto"/>
        </w:rPr>
        <w:t xml:space="preserve"> СД</w:t>
      </w:r>
      <w:r>
        <w:rPr>
          <w:rFonts w:ascii="Arial" w:cs="Arial" w:eastAsia="Arial" w:hAnsi="Arial"/>
          <w:sz w:val="27"/>
          <w:szCs w:val="27"/>
          <w:color w:val="auto"/>
        </w:rPr>
        <w:t>,</w:t>
      </w:r>
      <w:r>
        <w:rPr>
          <w:rFonts w:ascii="Arial" w:cs="Arial" w:eastAsia="Arial" w:hAnsi="Arial"/>
          <w:sz w:val="27"/>
          <w:szCs w:val="27"/>
          <w:color w:val="auto"/>
        </w:rPr>
        <w:t xml:space="preserve"> ХБП</w:t>
      </w:r>
      <w:r>
        <w:rPr>
          <w:rFonts w:ascii="Arial" w:cs="Arial" w:eastAsia="Arial" w:hAnsi="Arial"/>
          <w:sz w:val="27"/>
          <w:szCs w:val="27"/>
          <w:color w:val="auto"/>
        </w:rPr>
        <w:t>,</w:t>
      </w:r>
      <w:r>
        <w:rPr>
          <w:rFonts w:ascii="Arial" w:cs="Arial" w:eastAsia="Arial" w:hAnsi="Arial"/>
          <w:sz w:val="27"/>
          <w:szCs w:val="27"/>
          <w:color w:val="auto"/>
        </w:rPr>
        <w:t xml:space="preserve"> которые влияют на прогноз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10,</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Для оценки степени риска развития ССО рекомендуется обследование с целью оценки состояния органов</w:t>
      </w:r>
      <w:r>
        <w:rPr>
          <w:rFonts w:ascii="Arial" w:cs="Arial" w:eastAsia="Arial" w:hAnsi="Arial"/>
          <w:sz w:val="27"/>
          <w:szCs w:val="27"/>
          <w:color w:val="auto"/>
        </w:rPr>
        <w:t>-</w:t>
      </w:r>
      <w:r>
        <w:rPr>
          <w:rFonts w:ascii="Arial" w:cs="Arial" w:eastAsia="Arial" w:hAnsi="Arial"/>
          <w:sz w:val="27"/>
          <w:szCs w:val="27"/>
          <w:color w:val="auto"/>
        </w:rPr>
        <w:t xml:space="preserve">мишеней в соответствии с действующими клиническими рекомендациями </w:t>
      </w:r>
      <w:r>
        <w:rPr>
          <w:rFonts w:ascii="Arial" w:cs="Arial" w:eastAsia="Arial" w:hAnsi="Arial"/>
          <w:sz w:val="27"/>
          <w:szCs w:val="27"/>
          <w:color w:val="auto"/>
        </w:rPr>
        <w:t>[47].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27" w:name="page28"/>
    <w:bookmarkEnd w:id="27"/>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1"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Величина АД является важнейшим</w:t>
      </w:r>
      <w:r>
        <w:rPr>
          <w:rFonts w:ascii="Arial" w:cs="Arial" w:eastAsia="Arial" w:hAnsi="Arial"/>
          <w:sz w:val="25"/>
          <w:szCs w:val="25"/>
          <w:b w:val="1"/>
          <w:bCs w:val="1"/>
          <w:i w:val="1"/>
          <w:i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но не</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единственным фактором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определяющим тяжесть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прогноз пациента и тактику лечения</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Большое значение имеет оценка общего ССР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степень которого зависит от величины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наличия или отсутствия сопутствующих ФР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субклинического поражения органов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мишеней и наличия АКС и СД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Повышенный уровень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наличие ФР и ПОМ взаимно усиливают влияние друг на друга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приводит к увеличению степени ССР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превышающего сумму отдельных его компонентов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Комплексный подход к оценке сердечно</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сосудистого риска приведен в таблице П</w:t>
      </w:r>
      <w:r>
        <w:rPr>
          <w:rFonts w:ascii="Arial" w:cs="Arial" w:eastAsia="Arial" w:hAnsi="Arial"/>
          <w:sz w:val="25"/>
          <w:szCs w:val="25"/>
          <w:b w:val="1"/>
          <w:bCs w:val="1"/>
          <w:i w:val="1"/>
          <w:iCs w:val="1"/>
          <w:color w:val="auto"/>
        </w:rPr>
        <w:t>10</w:t>
      </w:r>
      <w:r>
        <w:rPr>
          <w:rFonts w:ascii="Arial" w:cs="Arial" w:eastAsia="Arial" w:hAnsi="Arial"/>
          <w:sz w:val="25"/>
          <w:szCs w:val="25"/>
          <w:b w:val="1"/>
          <w:bCs w:val="1"/>
          <w:i w:val="1"/>
          <w:iCs w:val="1"/>
          <w:color w:val="auto"/>
        </w:rPr>
        <w:t xml:space="preserve"> приложения Г</w:t>
      </w:r>
      <w:r>
        <w:rPr>
          <w:rFonts w:ascii="Arial" w:cs="Arial" w:eastAsia="Arial" w:hAnsi="Arial"/>
          <w:sz w:val="25"/>
          <w:szCs w:val="25"/>
          <w:b w:val="1"/>
          <w:bCs w:val="1"/>
          <w:i w:val="1"/>
          <w:iCs w:val="1"/>
          <w:color w:val="auto"/>
        </w:rPr>
        <w:t>2.</w:t>
      </w:r>
    </w:p>
    <w:p>
      <w:pPr>
        <w:spacing w:after="0" w:line="201" w:lineRule="exact"/>
        <w:rPr>
          <w:sz w:val="20"/>
          <w:szCs w:val="20"/>
          <w:color w:val="auto"/>
        </w:rPr>
      </w:pPr>
    </w:p>
    <w:p>
      <w:pPr>
        <w:jc w:val="both"/>
        <w:ind w:left="680" w:right="220"/>
        <w:spacing w:after="0" w:line="327" w:lineRule="auto"/>
        <w:rPr>
          <w:sz w:val="20"/>
          <w:szCs w:val="20"/>
          <w:color w:val="auto"/>
        </w:rPr>
      </w:pPr>
      <w:r>
        <w:rPr>
          <w:rFonts w:ascii="Arial" w:cs="Arial" w:eastAsia="Arial" w:hAnsi="Arial"/>
          <w:sz w:val="26"/>
          <w:szCs w:val="26"/>
          <w:b w:val="1"/>
          <w:bCs w:val="1"/>
          <w:i w:val="1"/>
          <w:iCs w:val="1"/>
          <w:color w:val="auto"/>
        </w:rPr>
        <w:t xml:space="preserve">Оценка риска по шкале </w:t>
      </w:r>
      <w:r>
        <w:rPr>
          <w:rFonts w:ascii="Arial" w:cs="Arial" w:eastAsia="Arial" w:hAnsi="Arial"/>
          <w:sz w:val="26"/>
          <w:szCs w:val="26"/>
          <w:b w:val="1"/>
          <w:bCs w:val="1"/>
          <w:i w:val="1"/>
          <w:iCs w:val="1"/>
          <w:color w:val="auto"/>
        </w:rPr>
        <w:t>SCORE (</w:t>
      </w:r>
      <w:r>
        <w:rPr>
          <w:rFonts w:ascii="Arial" w:cs="Arial" w:eastAsia="Arial" w:hAnsi="Arial"/>
          <w:sz w:val="26"/>
          <w:szCs w:val="26"/>
          <w:b w:val="1"/>
          <w:bCs w:val="1"/>
          <w:i w:val="1"/>
          <w:iCs w:val="1"/>
          <w:color w:val="auto"/>
        </w:rPr>
        <w:t>Таблица П</w:t>
      </w:r>
      <w:r>
        <w:rPr>
          <w:rFonts w:ascii="Arial" w:cs="Arial" w:eastAsia="Arial" w:hAnsi="Arial"/>
          <w:sz w:val="26"/>
          <w:szCs w:val="26"/>
          <w:b w:val="1"/>
          <w:bCs w:val="1"/>
          <w:i w:val="1"/>
          <w:iCs w:val="1"/>
          <w:color w:val="auto"/>
        </w:rPr>
        <w:t>11,</w:t>
      </w:r>
      <w:r>
        <w:rPr>
          <w:rFonts w:ascii="Arial" w:cs="Arial" w:eastAsia="Arial" w:hAnsi="Arial"/>
          <w:sz w:val="26"/>
          <w:szCs w:val="26"/>
          <w:b w:val="1"/>
          <w:bCs w:val="1"/>
          <w:i w:val="1"/>
          <w:iCs w:val="1"/>
          <w:color w:val="auto"/>
        </w:rPr>
        <w:t xml:space="preserve"> Приложение Г</w:t>
      </w:r>
      <w:r>
        <w:rPr>
          <w:rFonts w:ascii="Arial" w:cs="Arial" w:eastAsia="Arial" w:hAnsi="Arial"/>
          <w:sz w:val="26"/>
          <w:szCs w:val="26"/>
          <w:b w:val="1"/>
          <w:bCs w:val="1"/>
          <w:i w:val="1"/>
          <w:iCs w:val="1"/>
          <w:color w:val="auto"/>
        </w:rPr>
        <w:t>2)</w:t>
      </w:r>
      <w:r>
        <w:rPr>
          <w:rFonts w:ascii="Arial" w:cs="Arial" w:eastAsia="Arial" w:hAnsi="Arial"/>
          <w:sz w:val="26"/>
          <w:szCs w:val="26"/>
          <w:b w:val="1"/>
          <w:bCs w:val="1"/>
          <w:i w:val="1"/>
          <w:iCs w:val="1"/>
          <w:color w:val="auto"/>
        </w:rPr>
        <w:t xml:space="preserve"> является одним из вариантов алгоритма оценки суммарного сердечно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сосудистого риска у пациентов с ГБ </w:t>
      </w:r>
      <w:r>
        <w:rPr>
          <w:rFonts w:ascii="Arial" w:cs="Arial" w:eastAsia="Arial" w:hAnsi="Arial"/>
          <w:sz w:val="26"/>
          <w:szCs w:val="26"/>
          <w:b w:val="1"/>
          <w:bCs w:val="1"/>
          <w:i w:val="1"/>
          <w:iCs w:val="1"/>
          <w:color w:val="auto"/>
        </w:rPr>
        <w:t>I–II</w:t>
      </w:r>
      <w:r>
        <w:rPr>
          <w:rFonts w:ascii="Arial" w:cs="Arial" w:eastAsia="Arial" w:hAnsi="Arial"/>
          <w:sz w:val="26"/>
          <w:szCs w:val="26"/>
          <w:b w:val="1"/>
          <w:bCs w:val="1"/>
          <w:i w:val="1"/>
          <w:iCs w:val="1"/>
          <w:color w:val="auto"/>
        </w:rPr>
        <w:t xml:space="preserve"> стадии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т</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е</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не имеющих установленных ССЗ</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ХБП и СД</w:t>
      </w:r>
      <w:r>
        <w:rPr>
          <w:rFonts w:ascii="Arial" w:cs="Arial" w:eastAsia="Arial" w:hAnsi="Arial"/>
          <w:sz w:val="26"/>
          <w:szCs w:val="26"/>
          <w:b w:val="1"/>
          <w:bCs w:val="1"/>
          <w:i w:val="1"/>
          <w:iCs w:val="1"/>
          <w:color w:val="auto"/>
        </w:rPr>
        <w:t>.</w:t>
      </w:r>
    </w:p>
    <w:p>
      <w:pPr>
        <w:spacing w:after="0" w:line="201" w:lineRule="exact"/>
        <w:rPr>
          <w:sz w:val="20"/>
          <w:szCs w:val="20"/>
          <w:color w:val="auto"/>
        </w:rPr>
      </w:pPr>
    </w:p>
    <w:p>
      <w:pPr>
        <w:jc w:val="both"/>
        <w:ind w:left="680" w:right="220"/>
        <w:spacing w:after="0" w:line="360" w:lineRule="auto"/>
        <w:rPr>
          <w:sz w:val="20"/>
          <w:szCs w:val="20"/>
          <w:color w:val="auto"/>
        </w:rPr>
      </w:pPr>
      <w:r>
        <w:rPr>
          <w:rFonts w:ascii="Arial" w:cs="Arial" w:eastAsia="Arial" w:hAnsi="Arial"/>
          <w:sz w:val="23"/>
          <w:szCs w:val="23"/>
          <w:b w:val="1"/>
          <w:bCs w:val="1"/>
          <w:i w:val="1"/>
          <w:iCs w:val="1"/>
          <w:color w:val="auto"/>
        </w:rPr>
        <w:t xml:space="preserve">Пациенты с ГБ </w:t>
      </w:r>
      <w:r>
        <w:rPr>
          <w:rFonts w:ascii="Arial" w:cs="Arial" w:eastAsia="Arial" w:hAnsi="Arial"/>
          <w:sz w:val="23"/>
          <w:szCs w:val="23"/>
          <w:b w:val="1"/>
          <w:bCs w:val="1"/>
          <w:i w:val="1"/>
          <w:iCs w:val="1"/>
          <w:color w:val="auto"/>
        </w:rPr>
        <w:t>III</w:t>
      </w:r>
      <w:r>
        <w:rPr>
          <w:rFonts w:ascii="Arial" w:cs="Arial" w:eastAsia="Arial" w:hAnsi="Arial"/>
          <w:sz w:val="23"/>
          <w:szCs w:val="23"/>
          <w:b w:val="1"/>
          <w:bCs w:val="1"/>
          <w:i w:val="1"/>
          <w:iCs w:val="1"/>
          <w:color w:val="auto"/>
        </w:rPr>
        <w:t xml:space="preserve"> стадии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имеющие документированное ССЗ атеросклеротического генеза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под атеросклеротическим ССЗ подразумевают ишемическую болезнь сердца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ишемический инсульт или транзиторное нарушение мозгового кровообращения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ишемию нижних конечностей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включая бессимптомный атеросклероз при визуализации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СД </w:t>
      </w:r>
      <w:r>
        <w:rPr>
          <w:rFonts w:ascii="Arial" w:cs="Arial" w:eastAsia="Arial" w:hAnsi="Arial"/>
          <w:sz w:val="23"/>
          <w:szCs w:val="23"/>
          <w:b w:val="1"/>
          <w:bCs w:val="1"/>
          <w:i w:val="1"/>
          <w:iCs w:val="1"/>
          <w:color w:val="auto"/>
        </w:rPr>
        <w:t>1-</w:t>
      </w:r>
      <w:r>
        <w:rPr>
          <w:rFonts w:ascii="Arial" w:cs="Arial" w:eastAsia="Arial" w:hAnsi="Arial"/>
          <w:sz w:val="23"/>
          <w:szCs w:val="23"/>
          <w:b w:val="1"/>
          <w:bCs w:val="1"/>
          <w:i w:val="1"/>
          <w:iCs w:val="1"/>
          <w:color w:val="auto"/>
        </w:rPr>
        <w:t xml:space="preserve">го или </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го типа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очень высокие значения по отдельным факторам риска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в том числе АГ </w:t>
      </w:r>
      <w:r>
        <w:rPr>
          <w:rFonts w:ascii="Arial" w:cs="Arial" w:eastAsia="Arial" w:hAnsi="Arial"/>
          <w:sz w:val="23"/>
          <w:szCs w:val="23"/>
          <w:b w:val="1"/>
          <w:bCs w:val="1"/>
          <w:i w:val="1"/>
          <w:iCs w:val="1"/>
          <w:color w:val="auto"/>
        </w:rPr>
        <w:t>3-</w:t>
      </w:r>
      <w:r>
        <w:rPr>
          <w:rFonts w:ascii="Arial" w:cs="Arial" w:eastAsia="Arial" w:hAnsi="Arial"/>
          <w:sz w:val="23"/>
          <w:szCs w:val="23"/>
          <w:b w:val="1"/>
          <w:bCs w:val="1"/>
          <w:i w:val="1"/>
          <w:iCs w:val="1"/>
          <w:color w:val="auto"/>
        </w:rPr>
        <w:t>й степени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или ХБП </w:t>
      </w:r>
      <w:r>
        <w:rPr>
          <w:rFonts w:ascii="Arial" w:cs="Arial" w:eastAsia="Arial" w:hAnsi="Arial"/>
          <w:sz w:val="23"/>
          <w:szCs w:val="23"/>
          <w:b w:val="1"/>
          <w:bCs w:val="1"/>
          <w:i w:val="1"/>
          <w:iCs w:val="1"/>
          <w:color w:val="auto"/>
        </w:rPr>
        <w:t>3–5-</w:t>
      </w:r>
      <w:r>
        <w:rPr>
          <w:rFonts w:ascii="Arial" w:cs="Arial" w:eastAsia="Arial" w:hAnsi="Arial"/>
          <w:sz w:val="23"/>
          <w:szCs w:val="23"/>
          <w:b w:val="1"/>
          <w:bCs w:val="1"/>
          <w:i w:val="1"/>
          <w:iCs w:val="1"/>
          <w:color w:val="auto"/>
        </w:rPr>
        <w:t xml:space="preserve">й стадий по умолчанию относятся к категории высокого или очень высокого риска по глобальной шкале </w:t>
      </w:r>
      <w:r>
        <w:rPr>
          <w:rFonts w:ascii="Arial" w:cs="Arial" w:eastAsia="Arial" w:hAnsi="Arial"/>
          <w:sz w:val="23"/>
          <w:szCs w:val="23"/>
          <w:b w:val="1"/>
          <w:bCs w:val="1"/>
          <w:i w:val="1"/>
          <w:iCs w:val="1"/>
          <w:color w:val="auto"/>
        </w:rPr>
        <w:t>10-</w:t>
      </w:r>
      <w:r>
        <w:rPr>
          <w:rFonts w:ascii="Arial" w:cs="Arial" w:eastAsia="Arial" w:hAnsi="Arial"/>
          <w:sz w:val="23"/>
          <w:szCs w:val="23"/>
          <w:b w:val="1"/>
          <w:bCs w:val="1"/>
          <w:i w:val="1"/>
          <w:iCs w:val="1"/>
          <w:color w:val="auto"/>
        </w:rPr>
        <w:t>летнего риска сердечно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сосудистых осложнений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Таблица П</w:t>
      </w:r>
      <w:r>
        <w:rPr>
          <w:rFonts w:ascii="Arial" w:cs="Arial" w:eastAsia="Arial" w:hAnsi="Arial"/>
          <w:sz w:val="23"/>
          <w:szCs w:val="23"/>
          <w:b w:val="1"/>
          <w:bCs w:val="1"/>
          <w:i w:val="1"/>
          <w:iCs w:val="1"/>
          <w:color w:val="auto"/>
        </w:rPr>
        <w:t>12,</w:t>
      </w:r>
      <w:r>
        <w:rPr>
          <w:rFonts w:ascii="Arial" w:cs="Arial" w:eastAsia="Arial" w:hAnsi="Arial"/>
          <w:sz w:val="23"/>
          <w:szCs w:val="23"/>
          <w:b w:val="1"/>
          <w:bCs w:val="1"/>
          <w:i w:val="1"/>
          <w:iCs w:val="1"/>
          <w:color w:val="auto"/>
        </w:rPr>
        <w:t xml:space="preserve"> Приложение Г</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 xml:space="preserve"> Внутри категории очень высокого риска введена категория экстремального риска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К экстремальному риску следует относить</w:t>
      </w:r>
      <w:r>
        <w:rPr>
          <w:rFonts w:ascii="Arial" w:cs="Arial" w:eastAsia="Arial" w:hAnsi="Arial"/>
          <w:sz w:val="23"/>
          <w:szCs w:val="23"/>
          <w:b w:val="1"/>
          <w:bCs w:val="1"/>
          <w:i w:val="1"/>
          <w:iCs w:val="1"/>
          <w:color w:val="auto"/>
        </w:rPr>
        <w:t>:</w:t>
      </w:r>
    </w:p>
    <w:p>
      <w:pPr>
        <w:spacing w:after="0" w:line="185" w:lineRule="exact"/>
        <w:rPr>
          <w:sz w:val="20"/>
          <w:szCs w:val="20"/>
          <w:color w:val="auto"/>
        </w:rPr>
      </w:pPr>
    </w:p>
    <w:p>
      <w:pPr>
        <w:jc w:val="both"/>
        <w:ind w:left="680" w:right="220" w:firstLine="1187"/>
        <w:spacing w:after="0" w:line="317" w:lineRule="auto"/>
        <w:rPr>
          <w:sz w:val="20"/>
          <w:szCs w:val="20"/>
          <w:color w:val="auto"/>
        </w:rPr>
      </w:pPr>
      <w:r>
        <w:rPr>
          <w:rFonts w:ascii="Arial" w:cs="Arial" w:eastAsia="Arial" w:hAnsi="Arial"/>
          <w:sz w:val="27"/>
          <w:szCs w:val="27"/>
          <w:b w:val="1"/>
          <w:bCs w:val="1"/>
          <w:i w:val="1"/>
          <w:iCs w:val="1"/>
          <w:color w:val="auto"/>
        </w:rPr>
        <w:t>сочетание клинически значимого сердечно</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сосудистого заболевания</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вызванного атеросклерозом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 СД </w:t>
      </w:r>
      <w:r>
        <w:rPr>
          <w:rFonts w:ascii="Arial" w:cs="Arial" w:eastAsia="Arial" w:hAnsi="Arial"/>
          <w:sz w:val="27"/>
          <w:szCs w:val="27"/>
          <w:b w:val="1"/>
          <w:bCs w:val="1"/>
          <w:i w:val="1"/>
          <w:iCs w:val="1"/>
          <w:color w:val="auto"/>
        </w:rPr>
        <w:t>2</w:t>
      </w:r>
      <w:r>
        <w:rPr>
          <w:rFonts w:ascii="Arial" w:cs="Arial" w:eastAsia="Arial" w:hAnsi="Arial"/>
          <w:sz w:val="27"/>
          <w:szCs w:val="27"/>
          <w:b w:val="1"/>
          <w:bCs w:val="1"/>
          <w:i w:val="1"/>
          <w:iCs w:val="1"/>
          <w:color w:val="auto"/>
        </w:rPr>
        <w:t xml:space="preserve"> типа 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или СГХС</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firstLine="1921"/>
        <w:spacing w:after="0" w:line="346" w:lineRule="auto"/>
        <w:rPr>
          <w:sz w:val="20"/>
          <w:szCs w:val="20"/>
          <w:color w:val="auto"/>
        </w:rPr>
      </w:pPr>
      <w:r>
        <w:rPr>
          <w:rFonts w:ascii="Arial" w:cs="Arial" w:eastAsia="Arial" w:hAnsi="Arial"/>
          <w:sz w:val="25"/>
          <w:szCs w:val="25"/>
          <w:b w:val="1"/>
          <w:bCs w:val="1"/>
          <w:i w:val="1"/>
          <w:iCs w:val="1"/>
          <w:color w:val="auto"/>
        </w:rPr>
        <w:t>сердечно</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сосудистое осложнение у пациента с атеросклеротически сердечно</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сосудистым заболеванием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несмотря на оптимальную гиполипидемическую терапию 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или достигнутый уровень ХС ЛНП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1,5</w:t>
      </w:r>
      <w:r>
        <w:rPr>
          <w:rFonts w:ascii="Arial" w:cs="Arial" w:eastAsia="Arial" w:hAnsi="Arial"/>
          <w:sz w:val="25"/>
          <w:szCs w:val="25"/>
          <w:b w:val="1"/>
          <w:bCs w:val="1"/>
          <w:i w:val="1"/>
          <w:iCs w:val="1"/>
          <w:color w:val="auto"/>
        </w:rPr>
        <w:t xml:space="preserve"> ммоль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л</w:t>
      </w:r>
      <w:r>
        <w:rPr>
          <w:rFonts w:ascii="Arial" w:cs="Arial" w:eastAsia="Arial" w:hAnsi="Arial"/>
          <w:sz w:val="25"/>
          <w:szCs w:val="25"/>
          <w:b w:val="1"/>
          <w:bCs w:val="1"/>
          <w:i w:val="1"/>
          <w:iCs w:val="1"/>
          <w:color w:val="auto"/>
        </w:rPr>
        <w:t>;</w:t>
      </w:r>
    </w:p>
    <w:p>
      <w:pPr>
        <w:sectPr>
          <w:pgSz w:w="11900" w:h="16840" w:orient="portrait"/>
          <w:cols w:equalWidth="0" w:num="1">
            <w:col w:w="9020"/>
          </w:cols>
          <w:pgMar w:left="1440" w:top="19" w:right="1440" w:bottom="325" w:gutter="0" w:footer="0" w:header="0"/>
        </w:sectPr>
      </w:pPr>
    </w:p>
    <w:p>
      <w:pPr>
        <w:spacing w:after="0" w:line="171" w:lineRule="exact"/>
        <w:rPr>
          <w:sz w:val="20"/>
          <w:szCs w:val="20"/>
          <w:color w:val="auto"/>
        </w:rPr>
      </w:pPr>
    </w:p>
    <w:p>
      <w:pPr>
        <w:ind w:left="1340"/>
        <w:spacing w:after="0"/>
        <w:rPr>
          <w:sz w:val="20"/>
          <w:szCs w:val="20"/>
          <w:color w:val="auto"/>
        </w:rPr>
      </w:pPr>
      <w:r>
        <w:rPr>
          <w:rFonts w:ascii="Arial" w:cs="Arial" w:eastAsia="Arial" w:hAnsi="Arial"/>
          <w:sz w:val="23"/>
          <w:szCs w:val="23"/>
          <w:b w:val="1"/>
          <w:bCs w:val="1"/>
          <w:i w:val="1"/>
          <w:iCs w:val="1"/>
          <w:color w:val="auto"/>
        </w:rPr>
        <w:t xml:space="preserve">2 </w:t>
      </w:r>
      <w:r>
        <w:rPr>
          <w:rFonts w:ascii="Arial" w:cs="Arial" w:eastAsia="Arial" w:hAnsi="Arial"/>
          <w:sz w:val="23"/>
          <w:szCs w:val="23"/>
          <w:b w:val="1"/>
          <w:bCs w:val="1"/>
          <w:i w:val="1"/>
          <w:iCs w:val="1"/>
          <w:color w:val="auto"/>
        </w:rPr>
        <w:t>и более сердечно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сосудистых осложнения в течение</w:t>
      </w:r>
      <w:r>
        <w:rPr>
          <w:rFonts w:ascii="Arial" w:cs="Arial" w:eastAsia="Arial" w:hAnsi="Arial"/>
          <w:sz w:val="23"/>
          <w:szCs w:val="23"/>
          <w:b w:val="1"/>
          <w:bCs w:val="1"/>
          <w:i w:val="1"/>
          <w:iCs w:val="1"/>
          <w:color w:val="auto"/>
        </w:rPr>
        <w:t xml:space="preserve"> 2 </w:t>
      </w:r>
      <w:r>
        <w:rPr>
          <w:rFonts w:ascii="Arial" w:cs="Arial" w:eastAsia="Arial" w:hAnsi="Arial"/>
          <w:sz w:val="23"/>
          <w:szCs w:val="23"/>
          <w:b w:val="1"/>
          <w:bCs w:val="1"/>
          <w:i w:val="1"/>
          <w:iCs w:val="1"/>
          <w:color w:val="auto"/>
        </w:rPr>
        <w:t>лет</w:t>
      </w:r>
      <w:r>
        <w:rPr>
          <w:rFonts w:ascii="Arial" w:cs="Arial" w:eastAsia="Arial" w:hAnsi="Arial"/>
          <w:sz w:val="23"/>
          <w:szCs w:val="23"/>
          <w:b w:val="1"/>
          <w:bCs w:val="1"/>
          <w:i w:val="1"/>
          <w:iCs w:val="1"/>
          <w:color w:val="auto"/>
        </w:rPr>
        <w:t>.</w:t>
      </w:r>
    </w:p>
    <w:p>
      <w:pPr>
        <w:sectPr>
          <w:pgSz w:w="11900" w:h="16840" w:orient="portrait"/>
          <w:cols w:equalWidth="0" w:num="1">
            <w:col w:w="9020"/>
          </w:cols>
          <w:pgMar w:left="1440" w:top="19" w:right="1440" w:bottom="325" w:gutter="0" w:footer="0" w:header="0"/>
          <w:type w:val="continuous"/>
        </w:sectPr>
      </w:pPr>
    </w:p>
    <w:bookmarkStart w:id="28" w:name="page29"/>
    <w:bookmarkEnd w:id="28"/>
    <w:p>
      <w:pPr>
        <w:spacing w:after="0" w:line="200" w:lineRule="exact"/>
        <w:rPr>
          <w:sz w:val="20"/>
          <w:szCs w:val="20"/>
          <w:color w:val="auto"/>
        </w:rPr>
      </w:pPr>
    </w:p>
    <w:p>
      <w:pPr>
        <w:jc w:val="both"/>
        <w:ind w:left="680" w:right="220"/>
        <w:spacing w:after="0" w:line="343" w:lineRule="auto"/>
        <w:rPr>
          <w:sz w:val="20"/>
          <w:szCs w:val="20"/>
          <w:color w:val="auto"/>
        </w:rPr>
      </w:pPr>
      <w:r>
        <w:rPr>
          <w:rFonts w:ascii="Arial" w:cs="Arial" w:eastAsia="Arial" w:hAnsi="Arial"/>
          <w:sz w:val="24"/>
          <w:szCs w:val="24"/>
          <w:b w:val="1"/>
          <w:bCs w:val="1"/>
          <w:i w:val="1"/>
          <w:iCs w:val="1"/>
          <w:color w:val="auto"/>
        </w:rPr>
        <w:t>Акцент на значимость выявления поражения ФР и органов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мишеней для корректной оценки сердечно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сосудистого риска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одна из ключевых особенностей современных рекомендаций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Бессимптомное ПОМ может существенно увеличивать риск у пациентов с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Наибольшая польза от детальной оценки ПОМ может наблюдаться у пациентов среднего возраста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у молодых пациентов с АГ </w:t>
      </w:r>
      <w:r>
        <w:rPr>
          <w:rFonts w:ascii="Arial" w:cs="Arial" w:eastAsia="Arial" w:hAnsi="Arial"/>
          <w:sz w:val="24"/>
          <w:szCs w:val="24"/>
          <w:b w:val="1"/>
          <w:bCs w:val="1"/>
          <w:i w:val="1"/>
          <w:iCs w:val="1"/>
          <w:color w:val="auto"/>
        </w:rPr>
        <w:t>1-</w:t>
      </w:r>
      <w:r>
        <w:rPr>
          <w:rFonts w:ascii="Arial" w:cs="Arial" w:eastAsia="Arial" w:hAnsi="Arial"/>
          <w:sz w:val="24"/>
          <w:szCs w:val="24"/>
          <w:b w:val="1"/>
          <w:bCs w:val="1"/>
          <w:i w:val="1"/>
          <w:iCs w:val="1"/>
          <w:color w:val="auto"/>
        </w:rPr>
        <w:t>й степени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пациентов с высоким нормальным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Необходимо подчеркнуть важность оценки функции почек по показателям скорости клубочковой фильтрации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СКФ</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альбуминурии и количественной оценки гипертрофии левого желудочка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ГЛЖ</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Основная цель выявления ПОМ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правильное определение категории риска </w:t>
      </w:r>
      <w:r>
        <w:rPr>
          <w:rFonts w:ascii="Arial" w:cs="Arial" w:eastAsia="Arial" w:hAnsi="Arial"/>
          <w:sz w:val="24"/>
          <w:szCs w:val="24"/>
          <w:b w:val="1"/>
          <w:bCs w:val="1"/>
          <w:i w:val="1"/>
          <w:iCs w:val="1"/>
          <w:color w:val="auto"/>
        </w:rPr>
        <w:t>[48].</w:t>
      </w:r>
      <w:r>
        <w:rPr>
          <w:rFonts w:ascii="Arial" w:cs="Arial" w:eastAsia="Arial" w:hAnsi="Arial"/>
          <w:sz w:val="24"/>
          <w:szCs w:val="24"/>
          <w:b w:val="1"/>
          <w:bCs w:val="1"/>
          <w:i w:val="1"/>
          <w:iCs w:val="1"/>
          <w:color w:val="auto"/>
        </w:rPr>
        <w:t xml:space="preserve"> Первостепенное значение оценка ПОМ имеет у больных с низким и умеренным риском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меньшее значение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высоком и очень высоком риске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Характер органного поражения не играет решающей роли в выборе режима антигипертензивной терапии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но регресс ПОМ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суррогатный маркер среднесрочной эффективности АГТ </w:t>
      </w:r>
      <w:r>
        <w:rPr>
          <w:rFonts w:ascii="Arial" w:cs="Arial" w:eastAsia="Arial" w:hAnsi="Arial"/>
          <w:sz w:val="24"/>
          <w:szCs w:val="24"/>
          <w:b w:val="1"/>
          <w:bCs w:val="1"/>
          <w:i w:val="1"/>
          <w:iCs w:val="1"/>
          <w:color w:val="auto"/>
        </w:rPr>
        <w:t>[49].</w:t>
      </w:r>
    </w:p>
    <w:p>
      <w:pPr>
        <w:spacing w:after="0" w:line="198" w:lineRule="exact"/>
        <w:rPr>
          <w:sz w:val="20"/>
          <w:szCs w:val="20"/>
          <w:color w:val="auto"/>
        </w:rPr>
      </w:pPr>
    </w:p>
    <w:p>
      <w:pPr>
        <w:jc w:val="both"/>
        <w:ind w:left="680" w:right="220"/>
        <w:spacing w:after="0" w:line="364" w:lineRule="auto"/>
        <w:rPr>
          <w:sz w:val="20"/>
          <w:szCs w:val="20"/>
          <w:color w:val="auto"/>
        </w:rPr>
      </w:pPr>
      <w:r>
        <w:rPr>
          <w:rFonts w:ascii="Arial" w:cs="Arial" w:eastAsia="Arial" w:hAnsi="Arial"/>
          <w:sz w:val="23"/>
          <w:szCs w:val="23"/>
          <w:b w:val="1"/>
          <w:bCs w:val="1"/>
          <w:i w:val="1"/>
          <w:iCs w:val="1"/>
          <w:color w:val="auto"/>
        </w:rPr>
        <w:t xml:space="preserve">Для выявления ПОМ целесообразно использовать дополнительные методы исследования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таблица П</w:t>
      </w:r>
      <w:r>
        <w:rPr>
          <w:rFonts w:ascii="Arial" w:cs="Arial" w:eastAsia="Arial" w:hAnsi="Arial"/>
          <w:sz w:val="23"/>
          <w:szCs w:val="23"/>
          <w:b w:val="1"/>
          <w:bCs w:val="1"/>
          <w:i w:val="1"/>
          <w:iCs w:val="1"/>
          <w:color w:val="auto"/>
        </w:rPr>
        <w:t>5,</w:t>
      </w:r>
      <w:r>
        <w:rPr>
          <w:rFonts w:ascii="Arial" w:cs="Arial" w:eastAsia="Arial" w:hAnsi="Arial"/>
          <w:sz w:val="23"/>
          <w:szCs w:val="23"/>
          <w:b w:val="1"/>
          <w:bCs w:val="1"/>
          <w:i w:val="1"/>
          <w:iCs w:val="1"/>
          <w:color w:val="auto"/>
        </w:rPr>
        <w:t xml:space="preserve"> приложение Г</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 xml:space="preserve"> сердца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ЭхоКГ с определением индекса массы миокарда левого желудочка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почек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количественное определение альбуминурии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протеинурии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определение скорости клубочковой фильтрации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сосудов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наличие атеросклеротических бляшек в брахиоцефальных</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почечных и подвздошно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бедренных сосудах</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определение лодыжечно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плечевого индекса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ЛПИ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каротидно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феморальной скорости пульсовой волны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СПВ</w:t>
      </w:r>
      <w:r>
        <w:rPr>
          <w:rFonts w:ascii="Arial" w:cs="Arial" w:eastAsia="Arial" w:hAnsi="Arial"/>
          <w:sz w:val="23"/>
          <w:szCs w:val="23"/>
          <w:b w:val="1"/>
          <w:bCs w:val="1"/>
          <w:i w:val="1"/>
          <w:iCs w:val="1"/>
          <w:color w:val="auto"/>
        </w:rPr>
        <w:t>).</w:t>
      </w:r>
    </w:p>
    <w:p>
      <w:pPr>
        <w:spacing w:after="0" w:line="171" w:lineRule="exact"/>
        <w:rPr>
          <w:sz w:val="20"/>
          <w:szCs w:val="20"/>
          <w:color w:val="auto"/>
        </w:rPr>
      </w:pPr>
    </w:p>
    <w:p>
      <w:pPr>
        <w:jc w:val="both"/>
        <w:ind w:left="680" w:right="220"/>
        <w:spacing w:after="0" w:line="333" w:lineRule="auto"/>
        <w:rPr>
          <w:sz w:val="20"/>
          <w:szCs w:val="20"/>
          <w:color w:val="auto"/>
        </w:rPr>
      </w:pPr>
      <w:r>
        <w:rPr>
          <w:rFonts w:ascii="Arial" w:cs="Arial" w:eastAsia="Arial" w:hAnsi="Arial"/>
          <w:sz w:val="25"/>
          <w:szCs w:val="25"/>
          <w:b w:val="1"/>
          <w:bCs w:val="1"/>
          <w:i w:val="1"/>
          <w:iCs w:val="1"/>
          <w:color w:val="auto"/>
        </w:rPr>
        <w:t>Наличие ПОМ способствует дальнейшему прогрессированию ССЗ</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существенно увеличивает риск смерти у таких пациентов по сравнению с пациентами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 которых имеются только ФР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Таблица П</w:t>
      </w:r>
      <w:r>
        <w:rPr>
          <w:rFonts w:ascii="Arial" w:cs="Arial" w:eastAsia="Arial" w:hAnsi="Arial"/>
          <w:sz w:val="25"/>
          <w:szCs w:val="25"/>
          <w:b w:val="1"/>
          <w:bCs w:val="1"/>
          <w:i w:val="1"/>
          <w:iCs w:val="1"/>
          <w:color w:val="auto"/>
        </w:rPr>
        <w:t xml:space="preserve">2, </w:t>
      </w:r>
      <w:r>
        <w:rPr>
          <w:rFonts w:ascii="Arial" w:cs="Arial" w:eastAsia="Arial" w:hAnsi="Arial"/>
          <w:sz w:val="25"/>
          <w:szCs w:val="25"/>
          <w:b w:val="1"/>
          <w:bCs w:val="1"/>
          <w:i w:val="1"/>
          <w:iCs w:val="1"/>
          <w:color w:val="auto"/>
        </w:rPr>
        <w:t>Приложение Г</w:t>
      </w:r>
      <w:r>
        <w:rPr>
          <w:rFonts w:ascii="Arial" w:cs="Arial" w:eastAsia="Arial" w:hAnsi="Arial"/>
          <w:sz w:val="25"/>
          <w:szCs w:val="25"/>
          <w:b w:val="1"/>
          <w:bCs w:val="1"/>
          <w:i w:val="1"/>
          <w:iCs w:val="1"/>
          <w:color w:val="auto"/>
        </w:rPr>
        <w:t xml:space="preserve">3). </w:t>
      </w:r>
      <w:r>
        <w:rPr>
          <w:rFonts w:ascii="Arial" w:cs="Arial" w:eastAsia="Arial" w:hAnsi="Arial"/>
          <w:sz w:val="25"/>
          <w:szCs w:val="25"/>
          <w:b w:val="1"/>
          <w:bCs w:val="1"/>
          <w:i w:val="1"/>
          <w:iCs w:val="1"/>
          <w:color w:val="auto"/>
        </w:rPr>
        <w:t>Риск возрастает с увеличением</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числа органных поражений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ассоциированных с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Уровень СС риска у ряда пациентов может быть выше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чем он определен по стандартной системе стратификации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Таблица П</w:t>
      </w:r>
      <w:r>
        <w:rPr>
          <w:rFonts w:ascii="Arial" w:cs="Arial" w:eastAsia="Arial" w:hAnsi="Arial"/>
          <w:sz w:val="25"/>
          <w:szCs w:val="25"/>
          <w:b w:val="1"/>
          <w:bCs w:val="1"/>
          <w:i w:val="1"/>
          <w:iCs w:val="1"/>
          <w:color w:val="auto"/>
        </w:rPr>
        <w:t>1,</w:t>
      </w:r>
      <w:r>
        <w:rPr>
          <w:rFonts w:ascii="Arial" w:cs="Arial" w:eastAsia="Arial" w:hAnsi="Arial"/>
          <w:sz w:val="25"/>
          <w:szCs w:val="25"/>
          <w:b w:val="1"/>
          <w:bCs w:val="1"/>
          <w:i w:val="1"/>
          <w:iCs w:val="1"/>
          <w:color w:val="auto"/>
        </w:rPr>
        <w:t xml:space="preserve"> Приложение Г</w:t>
      </w:r>
      <w:r>
        <w:rPr>
          <w:rFonts w:ascii="Arial" w:cs="Arial" w:eastAsia="Arial" w:hAnsi="Arial"/>
          <w:sz w:val="25"/>
          <w:szCs w:val="25"/>
          <w:b w:val="1"/>
          <w:bCs w:val="1"/>
          <w:i w:val="1"/>
          <w:iCs w:val="1"/>
          <w:color w:val="auto"/>
        </w:rPr>
        <w:t>3):</w:t>
      </w:r>
    </w:p>
    <w:p>
      <w:pPr>
        <w:spacing w:after="0" w:line="200"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i w:val="1"/>
          <w:iCs w:val="1"/>
          <w:color w:val="auto"/>
        </w:rPr>
        <w:t xml:space="preserve">при малоподвижном образе жизни у пациентов с центральным ожирением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увеличение относительного риска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ассоциированного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-415290</wp:posOffset>
            </wp:positionV>
            <wp:extent cx="82550" cy="8255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220" w:hanging="4"/>
        <w:spacing w:after="0" w:line="343" w:lineRule="auto"/>
        <w:tabs>
          <w:tab w:leader="none" w:pos="1019" w:val="left"/>
        </w:tabs>
        <w:numPr>
          <w:ilvl w:val="0"/>
          <w:numId w:val="15"/>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ожирением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более выражено у молодых</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чем у пожилых пациентов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у лиц с низким социальным статусом</w:t>
      </w:r>
      <w:r>
        <w:rPr>
          <w:rFonts w:ascii="Arial" w:cs="Arial" w:eastAsia="Arial" w:hAnsi="Arial"/>
          <w:sz w:val="27"/>
          <w:szCs w:val="27"/>
          <w:b w:val="1"/>
          <w:bCs w:val="1"/>
          <w:i w:val="1"/>
          <w:iCs w:val="1"/>
          <w:color w:val="auto"/>
        </w:rPr>
        <w:t>;</w:t>
      </w:r>
    </w:p>
    <w:p>
      <w:pPr>
        <w:spacing w:after="0" w:line="283" w:lineRule="exact"/>
        <w:rPr>
          <w:rFonts w:ascii="Arial" w:cs="Arial" w:eastAsia="Arial" w:hAnsi="Arial"/>
          <w:sz w:val="27"/>
          <w:szCs w:val="27"/>
          <w:b w:val="1"/>
          <w:bCs w:val="1"/>
          <w:i w:val="1"/>
          <w:iCs w:val="1"/>
          <w:color w:val="auto"/>
        </w:rPr>
      </w:pPr>
    </w:p>
    <w:p>
      <w:pPr>
        <w:jc w:val="both"/>
        <w:ind w:left="680" w:right="220"/>
        <w:spacing w:after="0" w:line="345" w:lineRule="auto"/>
        <w:rPr>
          <w:rFonts w:ascii="Arial" w:cs="Arial" w:eastAsia="Arial" w:hAnsi="Arial"/>
          <w:sz w:val="27"/>
          <w:szCs w:val="27"/>
          <w:b w:val="1"/>
          <w:bCs w:val="1"/>
          <w:i w:val="1"/>
          <w:iCs w:val="1"/>
          <w:color w:val="auto"/>
        </w:rPr>
      </w:pPr>
      <w:r>
        <w:rPr>
          <w:rFonts w:ascii="Arial" w:cs="Arial" w:eastAsia="Arial" w:hAnsi="Arial"/>
          <w:sz w:val="24"/>
          <w:szCs w:val="24"/>
          <w:b w:val="1"/>
          <w:bCs w:val="1"/>
          <w:i w:val="1"/>
          <w:iCs w:val="1"/>
          <w:color w:val="auto"/>
        </w:rPr>
        <w:t>у пациентов с повышенным уровнем аполипопротеина 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липопротеина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уровня С</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реактивного белка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определенного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-671195</wp:posOffset>
            </wp:positionV>
            <wp:extent cx="82550" cy="8255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4">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-423545</wp:posOffset>
            </wp:positionV>
            <wp:extent cx="82550" cy="8255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7040" w:orient="portrait"/>
          <w:cols w:equalWidth="0" w:num="1">
            <w:col w:w="9020"/>
          </w:cols>
          <w:pgMar w:left="1440" w:top="19" w:right="1440" w:bottom="0" w:gutter="0" w:footer="0" w:header="0"/>
        </w:sectPr>
      </w:pPr>
    </w:p>
    <w:bookmarkStart w:id="29" w:name="page30"/>
    <w:bookmarkEnd w:id="29"/>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высокочувствительным методом</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jc w:val="both"/>
        <w:ind w:left="680" w:right="220"/>
        <w:spacing w:after="0" w:line="319" w:lineRule="auto"/>
        <w:rPr>
          <w:sz w:val="20"/>
          <w:szCs w:val="20"/>
          <w:color w:val="auto"/>
        </w:rPr>
      </w:pPr>
      <w:r>
        <w:rPr>
          <w:rFonts w:ascii="Arial" w:cs="Arial" w:eastAsia="Arial" w:hAnsi="Arial"/>
          <w:sz w:val="26"/>
          <w:szCs w:val="26"/>
          <w:b w:val="1"/>
          <w:bCs w:val="1"/>
          <w:i w:val="1"/>
          <w:iCs w:val="1"/>
          <w:color w:val="auto"/>
        </w:rPr>
        <w:t>Как в общей популяции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так и у пациентов АГ необходимо учитывать факторы</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повышающие СС риск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таблица П</w:t>
      </w:r>
      <w:r>
        <w:rPr>
          <w:rFonts w:ascii="Arial" w:cs="Arial" w:eastAsia="Arial" w:hAnsi="Arial"/>
          <w:sz w:val="26"/>
          <w:szCs w:val="26"/>
          <w:b w:val="1"/>
          <w:bCs w:val="1"/>
          <w:i w:val="1"/>
          <w:iCs w:val="1"/>
          <w:color w:val="auto"/>
        </w:rPr>
        <w:t>13,</w:t>
      </w:r>
      <w:r>
        <w:rPr>
          <w:rFonts w:ascii="Arial" w:cs="Arial" w:eastAsia="Arial" w:hAnsi="Arial"/>
          <w:sz w:val="26"/>
          <w:szCs w:val="26"/>
          <w:b w:val="1"/>
          <w:bCs w:val="1"/>
          <w:i w:val="1"/>
          <w:iCs w:val="1"/>
          <w:color w:val="auto"/>
        </w:rPr>
        <w:t xml:space="preserve"> Приложение Г</w:t>
      </w:r>
      <w:r>
        <w:rPr>
          <w:rFonts w:ascii="Arial" w:cs="Arial" w:eastAsia="Arial" w:hAnsi="Arial"/>
          <w:sz w:val="26"/>
          <w:szCs w:val="26"/>
          <w:b w:val="1"/>
          <w:bCs w:val="1"/>
          <w:i w:val="1"/>
          <w:iCs w:val="1"/>
          <w:color w:val="auto"/>
        </w:rPr>
        <w:t>2).</w:t>
      </w:r>
      <w:r>
        <w:rPr>
          <w:rFonts w:ascii="Arial" w:cs="Arial" w:eastAsia="Arial" w:hAnsi="Arial"/>
          <w:sz w:val="26"/>
          <w:szCs w:val="26"/>
          <w:b w:val="1"/>
          <w:bCs w:val="1"/>
          <w:i w:val="1"/>
          <w:iCs w:val="1"/>
          <w:color w:val="auto"/>
        </w:rPr>
        <w:t xml:space="preserve"> Такие модифицирующие факторы приобретают особое значение у пациентов</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относящихся к категории умеренного риска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Наличие модифицирующих факторов может привести к изменению категории риска на более высокую 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соответственно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повлиять на решение о старте и выборе терапии</w:t>
      </w:r>
      <w:r>
        <w:rPr>
          <w:rFonts w:ascii="Arial" w:cs="Arial" w:eastAsia="Arial" w:hAnsi="Arial"/>
          <w:sz w:val="26"/>
          <w:szCs w:val="26"/>
          <w:b w:val="1"/>
          <w:bCs w:val="1"/>
          <w:i w:val="1"/>
          <w:iCs w:val="1"/>
          <w:color w:val="auto"/>
        </w:rPr>
        <w:t>.</w:t>
      </w:r>
    </w:p>
    <w:p>
      <w:pPr>
        <w:spacing w:after="0" w:line="212"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Пациентам с АГ</w:t>
      </w:r>
      <w:r>
        <w:rPr>
          <w:rFonts w:ascii="Arial" w:cs="Arial" w:eastAsia="Arial" w:hAnsi="Arial"/>
          <w:sz w:val="27"/>
          <w:szCs w:val="27"/>
          <w:color w:val="auto"/>
        </w:rPr>
        <w:t>,</w:t>
      </w:r>
      <w:r>
        <w:rPr>
          <w:rFonts w:ascii="Arial" w:cs="Arial" w:eastAsia="Arial" w:hAnsi="Arial"/>
          <w:sz w:val="27"/>
          <w:szCs w:val="27"/>
          <w:color w:val="auto"/>
        </w:rPr>
        <w:t xml:space="preserve"> которые не соответствуют категориям высокого или очень высокого риска при оценке по глобальной шкале </w:t>
      </w:r>
      <w:r>
        <w:rPr>
          <w:rFonts w:ascii="Arial" w:cs="Arial" w:eastAsia="Arial" w:hAnsi="Arial"/>
          <w:sz w:val="27"/>
          <w:szCs w:val="27"/>
          <w:color w:val="auto"/>
        </w:rPr>
        <w:t>10-</w:t>
      </w:r>
      <w:r>
        <w:rPr>
          <w:rFonts w:ascii="Arial" w:cs="Arial" w:eastAsia="Arial" w:hAnsi="Arial"/>
          <w:sz w:val="27"/>
          <w:szCs w:val="27"/>
          <w:color w:val="auto"/>
        </w:rPr>
        <w:t xml:space="preserve">летнего СС риска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12,</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рекомендуется проводить оценку СС риска по шкале </w:t>
      </w:r>
      <w:r>
        <w:rPr>
          <w:rFonts w:ascii="Arial" w:cs="Arial" w:eastAsia="Arial" w:hAnsi="Arial"/>
          <w:sz w:val="27"/>
          <w:szCs w:val="27"/>
          <w:color w:val="auto"/>
        </w:rPr>
        <w:t>SCORE</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Приложение Г</w:t>
      </w:r>
      <w:r>
        <w:rPr>
          <w:rFonts w:ascii="Arial" w:cs="Arial" w:eastAsia="Arial" w:hAnsi="Arial"/>
          <w:sz w:val="27"/>
          <w:szCs w:val="27"/>
          <w:color w:val="auto"/>
        </w:rPr>
        <w:t>) [49, 50].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66"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Пациенты с АГ с диагностированным ССЗ</w:t>
      </w:r>
      <w:r>
        <w:rPr>
          <w:rFonts w:ascii="Arial" w:cs="Arial" w:eastAsia="Arial" w:hAnsi="Arial"/>
          <w:sz w:val="23"/>
          <w:szCs w:val="23"/>
          <w:b w:val="1"/>
          <w:bCs w:val="1"/>
          <w:i w:val="1"/>
          <w:i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 xml:space="preserve">включая бессимптомные атеросклеротические бляшки со стенозом </w:t>
      </w:r>
      <w:r>
        <w:rPr>
          <w:rFonts w:ascii="Times New Roman" w:cs="Times New Roman" w:eastAsia="Times New Roman" w:hAnsi="Times New Roman"/>
          <w:sz w:val="23"/>
          <w:szCs w:val="23"/>
          <w:i w:val="1"/>
          <w:iCs w:val="1"/>
          <w:color w:val="auto"/>
        </w:rPr>
        <w:t>≥</w:t>
      </w:r>
      <w:r>
        <w:rPr>
          <w:rFonts w:ascii="Arial" w:cs="Arial" w:eastAsia="Arial" w:hAnsi="Arial"/>
          <w:sz w:val="23"/>
          <w:szCs w:val="23"/>
          <w:b w:val="1"/>
          <w:bCs w:val="1"/>
          <w:i w:val="1"/>
          <w:iCs w:val="1"/>
          <w:color w:val="auto"/>
        </w:rPr>
        <w:t>50%,</w:t>
      </w:r>
      <w:r>
        <w:rPr>
          <w:rFonts w:ascii="Arial" w:cs="Arial" w:eastAsia="Arial" w:hAnsi="Arial"/>
          <w:sz w:val="23"/>
          <w:szCs w:val="23"/>
          <w:b w:val="1"/>
          <w:bCs w:val="1"/>
          <w:i w:val="1"/>
          <w:iCs w:val="1"/>
          <w:color w:val="auto"/>
        </w:rPr>
        <w:t xml:space="preserve"> выявленные при визуализации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сахарным диабетом </w:t>
      </w:r>
      <w:r>
        <w:rPr>
          <w:rFonts w:ascii="Arial" w:cs="Arial" w:eastAsia="Arial" w:hAnsi="Arial"/>
          <w:sz w:val="23"/>
          <w:szCs w:val="23"/>
          <w:b w:val="1"/>
          <w:bCs w:val="1"/>
          <w:i w:val="1"/>
          <w:iCs w:val="1"/>
          <w:color w:val="auto"/>
        </w:rPr>
        <w:t>1-</w:t>
      </w:r>
      <w:r>
        <w:rPr>
          <w:rFonts w:ascii="Arial" w:cs="Arial" w:eastAsia="Arial" w:hAnsi="Arial"/>
          <w:sz w:val="23"/>
          <w:szCs w:val="23"/>
          <w:b w:val="1"/>
          <w:bCs w:val="1"/>
          <w:i w:val="1"/>
          <w:iCs w:val="1"/>
          <w:color w:val="auto"/>
        </w:rPr>
        <w:t xml:space="preserve">го и </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го типа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значимо повышенным единственным фактором риска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в том числе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 АГ </w:t>
      </w:r>
      <w:r>
        <w:rPr>
          <w:rFonts w:ascii="Arial" w:cs="Arial" w:eastAsia="Arial" w:hAnsi="Arial"/>
          <w:sz w:val="23"/>
          <w:szCs w:val="23"/>
          <w:b w:val="1"/>
          <w:bCs w:val="1"/>
          <w:i w:val="1"/>
          <w:iCs w:val="1"/>
          <w:color w:val="auto"/>
        </w:rPr>
        <w:t>3-</w:t>
      </w:r>
      <w:r>
        <w:rPr>
          <w:rFonts w:ascii="Arial" w:cs="Arial" w:eastAsia="Arial" w:hAnsi="Arial"/>
          <w:sz w:val="23"/>
          <w:szCs w:val="23"/>
          <w:b w:val="1"/>
          <w:bCs w:val="1"/>
          <w:i w:val="1"/>
          <w:iCs w:val="1"/>
          <w:color w:val="auto"/>
        </w:rPr>
        <w:t>й степени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или хронической болезнью почек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ХБП</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стадии </w:t>
      </w:r>
      <w:r>
        <w:rPr>
          <w:rFonts w:ascii="Arial" w:cs="Arial" w:eastAsia="Arial" w:hAnsi="Arial"/>
          <w:sz w:val="23"/>
          <w:szCs w:val="23"/>
          <w:b w:val="1"/>
          <w:bCs w:val="1"/>
          <w:i w:val="1"/>
          <w:iCs w:val="1"/>
          <w:color w:val="auto"/>
        </w:rPr>
        <w:t>3–5)</w:t>
      </w:r>
      <w:r>
        <w:rPr>
          <w:rFonts w:ascii="Arial" w:cs="Arial" w:eastAsia="Arial" w:hAnsi="Arial"/>
          <w:sz w:val="23"/>
          <w:szCs w:val="23"/>
          <w:b w:val="1"/>
          <w:bCs w:val="1"/>
          <w:i w:val="1"/>
          <w:iCs w:val="1"/>
          <w:color w:val="auto"/>
        </w:rPr>
        <w:t xml:space="preserve"> автоматически относятся к категориям очень высокого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риск СС смертности </w:t>
      </w:r>
      <w:r>
        <w:rPr>
          <w:rFonts w:ascii="Times New Roman" w:cs="Times New Roman" w:eastAsia="Times New Roman" w:hAnsi="Times New Roman"/>
          <w:sz w:val="23"/>
          <w:szCs w:val="23"/>
          <w:i w:val="1"/>
          <w:iCs w:val="1"/>
          <w:color w:val="auto"/>
        </w:rPr>
        <w:t>≥</w:t>
      </w:r>
      <w:r>
        <w:rPr>
          <w:rFonts w:ascii="Arial" w:cs="Arial" w:eastAsia="Arial" w:hAnsi="Arial"/>
          <w:sz w:val="23"/>
          <w:szCs w:val="23"/>
          <w:b w:val="1"/>
          <w:bCs w:val="1"/>
          <w:i w:val="1"/>
          <w:iCs w:val="1"/>
          <w:color w:val="auto"/>
        </w:rPr>
        <w:t>10%)</w:t>
      </w:r>
      <w:r>
        <w:rPr>
          <w:rFonts w:ascii="Times New Roman" w:cs="Times New Roman" w:eastAsia="Times New Roman" w:hAnsi="Times New Roman"/>
          <w:sz w:val="23"/>
          <w:szCs w:val="23"/>
          <w:i w:val="1"/>
          <w:iCs w:val="1"/>
          <w:color w:val="auto"/>
        </w:rPr>
        <w:t xml:space="preserve"> </w:t>
      </w:r>
      <w:r>
        <w:rPr>
          <w:rFonts w:ascii="Arial" w:cs="Arial" w:eastAsia="Arial" w:hAnsi="Arial"/>
          <w:sz w:val="23"/>
          <w:szCs w:val="23"/>
          <w:b w:val="1"/>
          <w:bCs w:val="1"/>
          <w:i w:val="1"/>
          <w:iCs w:val="1"/>
          <w:color w:val="auto"/>
        </w:rPr>
        <w:t>или высокого</w:t>
      </w:r>
      <w:r>
        <w:rPr>
          <w:rFonts w:ascii="Times New Roman" w:cs="Times New Roman" w:eastAsia="Times New Roman" w:hAnsi="Times New Roman"/>
          <w:sz w:val="23"/>
          <w:szCs w:val="23"/>
          <w:i w:val="1"/>
          <w:iCs w:val="1"/>
          <w:color w:val="auto"/>
        </w:rPr>
        <w:t xml:space="preserve">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СС смертность</w:t>
      </w:r>
      <w:r>
        <w:rPr>
          <w:rFonts w:ascii="Times New Roman" w:cs="Times New Roman" w:eastAsia="Times New Roman" w:hAnsi="Times New Roman"/>
          <w:sz w:val="23"/>
          <w:szCs w:val="23"/>
          <w:i w:val="1"/>
          <w:iCs w:val="1"/>
          <w:color w:val="auto"/>
        </w:rPr>
        <w:t xml:space="preserve"> </w:t>
      </w:r>
      <w:r>
        <w:rPr>
          <w:rFonts w:ascii="Arial" w:cs="Arial" w:eastAsia="Arial" w:hAnsi="Arial"/>
          <w:sz w:val="23"/>
          <w:szCs w:val="23"/>
          <w:b w:val="1"/>
          <w:bCs w:val="1"/>
          <w:i w:val="1"/>
          <w:iCs w:val="1"/>
          <w:color w:val="auto"/>
        </w:rPr>
        <w:t>5–10%) 10-</w:t>
      </w:r>
      <w:r>
        <w:rPr>
          <w:rFonts w:ascii="Arial" w:cs="Arial" w:eastAsia="Arial" w:hAnsi="Arial"/>
          <w:sz w:val="23"/>
          <w:szCs w:val="23"/>
          <w:b w:val="1"/>
          <w:bCs w:val="1"/>
          <w:i w:val="1"/>
          <w:iCs w:val="1"/>
          <w:color w:val="auto"/>
        </w:rPr>
        <w:t>летнего СС риска</w:t>
      </w:r>
      <w:r>
        <w:rPr>
          <w:rFonts w:ascii="Arial" w:cs="Arial" w:eastAsia="Arial" w:hAnsi="Arial"/>
          <w:sz w:val="23"/>
          <w:szCs w:val="23"/>
          <w:b w:val="1"/>
          <w:bCs w:val="1"/>
          <w:i w:val="1"/>
          <w:iCs w:val="1"/>
          <w:color w:val="auto"/>
        </w:rPr>
        <w:t>.</w:t>
      </w:r>
    </w:p>
    <w:p>
      <w:pPr>
        <w:spacing w:after="0" w:line="200" w:lineRule="exact"/>
        <w:rPr>
          <w:sz w:val="20"/>
          <w:szCs w:val="20"/>
          <w:color w:val="auto"/>
        </w:rPr>
      </w:pPr>
    </w:p>
    <w:p>
      <w:pPr>
        <w:spacing w:after="0" w:line="36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2.5. </w:t>
      </w:r>
      <w:r>
        <w:rPr>
          <w:rFonts w:ascii="Arial" w:cs="Arial" w:eastAsia="Arial" w:hAnsi="Arial"/>
          <w:sz w:val="33"/>
          <w:szCs w:val="33"/>
          <w:b w:val="1"/>
          <w:bCs w:val="1"/>
          <w:color w:val="auto"/>
        </w:rPr>
        <w:t>Жалобы и анамнез</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Многие пациенты с повышенным АД могут не иметь никаких жалоб</w:t>
      </w:r>
      <w:r>
        <w:rPr>
          <w:rFonts w:ascii="Arial" w:cs="Arial" w:eastAsia="Arial" w:hAnsi="Arial"/>
          <w:sz w:val="27"/>
          <w:szCs w:val="27"/>
          <w:color w:val="auto"/>
        </w:rPr>
        <w:t>.</w:t>
      </w:r>
      <w:r>
        <w:rPr>
          <w:rFonts w:ascii="Arial" w:cs="Arial" w:eastAsia="Arial" w:hAnsi="Arial"/>
          <w:sz w:val="27"/>
          <w:szCs w:val="27"/>
          <w:color w:val="auto"/>
        </w:rPr>
        <w:t xml:space="preserve"> Симптомы </w:t>
      </w:r>
      <w:r>
        <w:rPr>
          <w:rFonts w:ascii="Arial" w:cs="Arial" w:eastAsia="Arial" w:hAnsi="Arial"/>
          <w:sz w:val="27"/>
          <w:szCs w:val="27"/>
          <w:color w:val="auto"/>
        </w:rPr>
        <w:t>(</w:t>
      </w:r>
      <w:r>
        <w:rPr>
          <w:rFonts w:ascii="Arial" w:cs="Arial" w:eastAsia="Arial" w:hAnsi="Arial"/>
          <w:sz w:val="27"/>
          <w:szCs w:val="27"/>
          <w:color w:val="auto"/>
        </w:rPr>
        <w:t>головные боли</w:t>
      </w:r>
      <w:r>
        <w:rPr>
          <w:rFonts w:ascii="Arial" w:cs="Arial" w:eastAsia="Arial" w:hAnsi="Arial"/>
          <w:sz w:val="27"/>
          <w:szCs w:val="27"/>
          <w:color w:val="auto"/>
        </w:rPr>
        <w:t>,</w:t>
      </w:r>
      <w:r>
        <w:rPr>
          <w:rFonts w:ascii="Arial" w:cs="Arial" w:eastAsia="Arial" w:hAnsi="Arial"/>
          <w:sz w:val="27"/>
          <w:szCs w:val="27"/>
          <w:color w:val="auto"/>
        </w:rPr>
        <w:t xml:space="preserve"> одышка</w:t>
      </w:r>
      <w:r>
        <w:rPr>
          <w:rFonts w:ascii="Arial" w:cs="Arial" w:eastAsia="Arial" w:hAnsi="Arial"/>
          <w:sz w:val="27"/>
          <w:szCs w:val="27"/>
          <w:color w:val="auto"/>
        </w:rPr>
        <w:t>,</w:t>
      </w:r>
      <w:r>
        <w:rPr>
          <w:rFonts w:ascii="Arial" w:cs="Arial" w:eastAsia="Arial" w:hAnsi="Arial"/>
          <w:sz w:val="27"/>
          <w:szCs w:val="27"/>
          <w:color w:val="auto"/>
        </w:rPr>
        <w:t xml:space="preserve"> боль в груди</w:t>
      </w:r>
      <w:r>
        <w:rPr>
          <w:rFonts w:ascii="Arial" w:cs="Arial" w:eastAsia="Arial" w:hAnsi="Arial"/>
          <w:sz w:val="27"/>
          <w:szCs w:val="27"/>
          <w:color w:val="auto"/>
        </w:rPr>
        <w:t>,</w:t>
      </w:r>
      <w:r>
        <w:rPr>
          <w:rFonts w:ascii="Arial" w:cs="Arial" w:eastAsia="Arial" w:hAnsi="Arial"/>
          <w:sz w:val="27"/>
          <w:szCs w:val="27"/>
          <w:color w:val="auto"/>
        </w:rPr>
        <w:t xml:space="preserve"> кровотечение из носа</w:t>
      </w:r>
      <w:r>
        <w:rPr>
          <w:rFonts w:ascii="Arial" w:cs="Arial" w:eastAsia="Arial" w:hAnsi="Arial"/>
          <w:sz w:val="27"/>
          <w:szCs w:val="27"/>
          <w:color w:val="auto"/>
        </w:rPr>
        <w:t>,</w:t>
      </w:r>
      <w:r>
        <w:rPr>
          <w:rFonts w:ascii="Arial" w:cs="Arial" w:eastAsia="Arial" w:hAnsi="Arial"/>
          <w:sz w:val="27"/>
          <w:szCs w:val="27"/>
          <w:color w:val="auto"/>
        </w:rPr>
        <w:t xml:space="preserve"> субъективное головокружение</w:t>
      </w:r>
      <w:r>
        <w:rPr>
          <w:rFonts w:ascii="Arial" w:cs="Arial" w:eastAsia="Arial" w:hAnsi="Arial"/>
          <w:sz w:val="27"/>
          <w:szCs w:val="27"/>
          <w:color w:val="auto"/>
        </w:rPr>
        <w:t>,</w:t>
      </w:r>
      <w:r>
        <w:rPr>
          <w:rFonts w:ascii="Arial" w:cs="Arial" w:eastAsia="Arial" w:hAnsi="Arial"/>
          <w:sz w:val="27"/>
          <w:szCs w:val="27"/>
          <w:color w:val="auto"/>
        </w:rPr>
        <w:t xml:space="preserve"> отеки</w:t>
      </w:r>
      <w:r>
        <w:rPr>
          <w:rFonts w:ascii="Arial" w:cs="Arial" w:eastAsia="Arial" w:hAnsi="Arial"/>
          <w:sz w:val="27"/>
          <w:szCs w:val="27"/>
          <w:color w:val="auto"/>
        </w:rPr>
        <w:t>,</w:t>
      </w:r>
      <w:r>
        <w:rPr>
          <w:rFonts w:ascii="Arial" w:cs="Arial" w:eastAsia="Arial" w:hAnsi="Arial"/>
          <w:sz w:val="27"/>
          <w:szCs w:val="27"/>
          <w:color w:val="auto"/>
        </w:rPr>
        <w:t xml:space="preserve"> расстройство зрения</w:t>
      </w:r>
      <w:r>
        <w:rPr>
          <w:rFonts w:ascii="Arial" w:cs="Arial" w:eastAsia="Arial" w:hAnsi="Arial"/>
          <w:sz w:val="27"/>
          <w:szCs w:val="27"/>
          <w:color w:val="auto"/>
        </w:rPr>
        <w:t>,</w:t>
      </w:r>
      <w:r>
        <w:rPr>
          <w:rFonts w:ascii="Arial" w:cs="Arial" w:eastAsia="Arial" w:hAnsi="Arial"/>
          <w:sz w:val="27"/>
          <w:szCs w:val="27"/>
          <w:color w:val="auto"/>
        </w:rPr>
        <w:t xml:space="preserve"> ощущение жара</w:t>
      </w:r>
      <w:r>
        <w:rPr>
          <w:rFonts w:ascii="Arial" w:cs="Arial" w:eastAsia="Arial" w:hAnsi="Arial"/>
          <w:sz w:val="27"/>
          <w:szCs w:val="27"/>
          <w:color w:val="auto"/>
        </w:rPr>
        <w:t>,</w:t>
      </w:r>
      <w:r>
        <w:rPr>
          <w:rFonts w:ascii="Arial" w:cs="Arial" w:eastAsia="Arial" w:hAnsi="Arial"/>
          <w:sz w:val="27"/>
          <w:szCs w:val="27"/>
          <w:color w:val="auto"/>
        </w:rPr>
        <w:t xml:space="preserve"> потливость</w:t>
      </w:r>
      <w:r>
        <w:rPr>
          <w:rFonts w:ascii="Arial" w:cs="Arial" w:eastAsia="Arial" w:hAnsi="Arial"/>
          <w:sz w:val="27"/>
          <w:szCs w:val="27"/>
          <w:color w:val="auto"/>
        </w:rPr>
        <w:t>,</w:t>
      </w:r>
      <w:r>
        <w:rPr>
          <w:rFonts w:ascii="Arial" w:cs="Arial" w:eastAsia="Arial" w:hAnsi="Arial"/>
          <w:sz w:val="27"/>
          <w:szCs w:val="27"/>
          <w:color w:val="auto"/>
        </w:rPr>
        <w:t xml:space="preserve"> приливы</w:t>
      </w:r>
      <w:r>
        <w:rPr>
          <w:rFonts w:ascii="Arial" w:cs="Arial" w:eastAsia="Arial" w:hAnsi="Arial"/>
          <w:sz w:val="27"/>
          <w:szCs w:val="27"/>
          <w:color w:val="auto"/>
        </w:rPr>
        <w:t>),</w:t>
      </w:r>
      <w:r>
        <w:rPr>
          <w:rFonts w:ascii="Arial" w:cs="Arial" w:eastAsia="Arial" w:hAnsi="Arial"/>
          <w:sz w:val="27"/>
          <w:szCs w:val="27"/>
          <w:color w:val="auto"/>
        </w:rPr>
        <w:t xml:space="preserve"> встречающиеся при АГ неспецифичны и могут наблюдаться при других заболеваниях</w:t>
      </w:r>
      <w:r>
        <w:rPr>
          <w:rFonts w:ascii="Arial" w:cs="Arial" w:eastAsia="Arial" w:hAnsi="Arial"/>
          <w:sz w:val="27"/>
          <w:szCs w:val="27"/>
          <w:color w:val="auto"/>
        </w:rPr>
        <w:t>.</w:t>
      </w:r>
    </w:p>
    <w:p>
      <w:pPr>
        <w:spacing w:after="0" w:line="22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При наличии перечисленных симптомов у любого пациента необходимо в процессе его обследования учитывать возможность диагностированной АГ</w:t>
      </w:r>
      <w:r>
        <w:rPr>
          <w:rFonts w:ascii="Arial" w:cs="Arial" w:eastAsia="Arial" w:hAnsi="Arial"/>
          <w:sz w:val="27"/>
          <w:szCs w:val="27"/>
          <w:color w:val="auto"/>
        </w:rPr>
        <w:t>.</w:t>
      </w:r>
    </w:p>
    <w:p>
      <w:pPr>
        <w:spacing w:after="0" w:line="210"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 xml:space="preserve">Рекомендуется собирать полный медицинский и семейный анамнез для оценки семейной предрасположенности к АГ и ССЗ </w:t>
      </w:r>
      <w:r>
        <w:rPr>
          <w:rFonts w:ascii="Arial" w:cs="Arial" w:eastAsia="Arial" w:hAnsi="Arial"/>
          <w:sz w:val="27"/>
          <w:szCs w:val="27"/>
          <w:color w:val="auto"/>
        </w:rPr>
        <w:t>[51, 52].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-671195</wp:posOffset>
            </wp:positionV>
            <wp:extent cx="82550" cy="8255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7040" w:orient="portrait"/>
          <w:cols w:equalWidth="0" w:num="1">
            <w:col w:w="9020"/>
          </w:cols>
          <w:pgMar w:left="1440" w:top="19" w:right="1440" w:bottom="0" w:gutter="0" w:footer="0" w:header="0"/>
        </w:sectPr>
      </w:pPr>
    </w:p>
    <w:bookmarkStart w:id="30" w:name="page31"/>
    <w:bookmarkEnd w:id="30"/>
    <w:p>
      <w:pPr>
        <w:spacing w:after="0" w:line="77"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Сбор анамнеза включает сбор сведений о</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наличии ФР</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субклинических симптомов ПОМ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наличии в анамнезе ССЗ</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ЦВБ</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ХБП и вторичных форм АГ</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образе жизни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предшествующем опыте лечения АГ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таблица П</w:t>
      </w:r>
      <w:r>
        <w:rPr>
          <w:rFonts w:ascii="Arial" w:cs="Arial" w:eastAsia="Arial" w:hAnsi="Arial"/>
          <w:sz w:val="27"/>
          <w:szCs w:val="27"/>
          <w:b w:val="1"/>
          <w:bCs w:val="1"/>
          <w:i w:val="1"/>
          <w:iCs w:val="1"/>
          <w:color w:val="auto"/>
        </w:rPr>
        <w:t>3,</w:t>
      </w:r>
      <w:r>
        <w:rPr>
          <w:rFonts w:ascii="Arial" w:cs="Arial" w:eastAsia="Arial" w:hAnsi="Arial"/>
          <w:sz w:val="27"/>
          <w:szCs w:val="27"/>
          <w:b w:val="1"/>
          <w:bCs w:val="1"/>
          <w:i w:val="1"/>
          <w:iCs w:val="1"/>
          <w:color w:val="auto"/>
        </w:rPr>
        <w:t xml:space="preserve"> Приложение Г</w:t>
      </w:r>
      <w:r>
        <w:rPr>
          <w:rFonts w:ascii="Arial" w:cs="Arial" w:eastAsia="Arial" w:hAnsi="Arial"/>
          <w:sz w:val="27"/>
          <w:szCs w:val="27"/>
          <w:b w:val="1"/>
          <w:bCs w:val="1"/>
          <w:i w:val="1"/>
          <w:iCs w:val="1"/>
          <w:color w:val="auto"/>
        </w:rPr>
        <w:t>1).</w:t>
      </w:r>
    </w:p>
    <w:p>
      <w:pPr>
        <w:spacing w:after="0" w:line="200" w:lineRule="exact"/>
        <w:rPr>
          <w:sz w:val="20"/>
          <w:szCs w:val="20"/>
          <w:color w:val="auto"/>
        </w:rPr>
      </w:pPr>
    </w:p>
    <w:p>
      <w:pPr>
        <w:spacing w:after="0" w:line="200" w:lineRule="exact"/>
        <w:rPr>
          <w:sz w:val="20"/>
          <w:szCs w:val="20"/>
          <w:color w:val="auto"/>
        </w:rPr>
      </w:pPr>
    </w:p>
    <w:p>
      <w:pPr>
        <w:spacing w:after="0" w:line="225"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2.6. </w:t>
      </w:r>
      <w:r>
        <w:rPr>
          <w:rFonts w:ascii="Arial" w:cs="Arial" w:eastAsia="Arial" w:hAnsi="Arial"/>
          <w:sz w:val="33"/>
          <w:szCs w:val="33"/>
          <w:b w:val="1"/>
          <w:bCs w:val="1"/>
          <w:color w:val="auto"/>
        </w:rPr>
        <w:t>Физикальное обследование</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06" w:lineRule="auto"/>
        <w:rPr>
          <w:sz w:val="20"/>
          <w:szCs w:val="20"/>
          <w:color w:val="auto"/>
        </w:rPr>
      </w:pPr>
      <w:r>
        <w:rPr>
          <w:rFonts w:ascii="Arial" w:cs="Arial" w:eastAsia="Arial" w:hAnsi="Arial"/>
          <w:sz w:val="27"/>
          <w:szCs w:val="27"/>
          <w:color w:val="auto"/>
        </w:rPr>
        <w:t>Всем пациентам с АГ рекомендуется определение антропометрических данных для выявления избыточной массы тела</w:t>
      </w:r>
      <w:r>
        <w:rPr>
          <w:rFonts w:ascii="Arial" w:cs="Arial" w:eastAsia="Arial" w:hAnsi="Arial"/>
          <w:sz w:val="27"/>
          <w:szCs w:val="27"/>
          <w:color w:val="auto"/>
        </w:rPr>
        <w:t>/</w:t>
      </w:r>
      <w:r>
        <w:rPr>
          <w:rFonts w:ascii="Arial" w:cs="Arial" w:eastAsia="Arial" w:hAnsi="Arial"/>
          <w:sz w:val="27"/>
          <w:szCs w:val="27"/>
          <w:color w:val="auto"/>
        </w:rPr>
        <w:t>ожирения</w:t>
      </w:r>
      <w:r>
        <w:rPr>
          <w:rFonts w:ascii="Arial" w:cs="Arial" w:eastAsia="Arial" w:hAnsi="Arial"/>
          <w:sz w:val="27"/>
          <w:szCs w:val="27"/>
          <w:color w:val="auto"/>
        </w:rPr>
        <w:t>,</w:t>
      </w:r>
      <w:r>
        <w:rPr>
          <w:rFonts w:ascii="Arial" w:cs="Arial" w:eastAsia="Arial" w:hAnsi="Arial"/>
          <w:sz w:val="27"/>
          <w:szCs w:val="27"/>
          <w:color w:val="auto"/>
        </w:rPr>
        <w:t xml:space="preserve"> оценка неврологического статуса и когнитивной функции</w:t>
      </w:r>
      <w:r>
        <w:rPr>
          <w:rFonts w:ascii="Arial" w:cs="Arial" w:eastAsia="Arial" w:hAnsi="Arial"/>
          <w:sz w:val="27"/>
          <w:szCs w:val="27"/>
          <w:color w:val="auto"/>
        </w:rPr>
        <w:t>,</w:t>
      </w:r>
      <w:r>
        <w:rPr>
          <w:rFonts w:ascii="Arial" w:cs="Arial" w:eastAsia="Arial" w:hAnsi="Arial"/>
          <w:sz w:val="27"/>
          <w:szCs w:val="27"/>
          <w:color w:val="auto"/>
        </w:rPr>
        <w:t xml:space="preserve"> исследование глазного дна для выявления гипертонической ретинопатии</w:t>
      </w:r>
      <w:r>
        <w:rPr>
          <w:rFonts w:ascii="Arial" w:cs="Arial" w:eastAsia="Arial" w:hAnsi="Arial"/>
          <w:sz w:val="27"/>
          <w:szCs w:val="27"/>
          <w:color w:val="auto"/>
        </w:rPr>
        <w:t>,</w:t>
      </w:r>
      <w:r>
        <w:rPr>
          <w:rFonts w:ascii="Arial" w:cs="Arial" w:eastAsia="Arial" w:hAnsi="Arial"/>
          <w:sz w:val="27"/>
          <w:szCs w:val="27"/>
          <w:color w:val="auto"/>
        </w:rPr>
        <w:t xml:space="preserve"> пальпация и аускультация сердца и сонных артерий</w:t>
      </w:r>
      <w:r>
        <w:rPr>
          <w:rFonts w:ascii="Arial" w:cs="Arial" w:eastAsia="Arial" w:hAnsi="Arial"/>
          <w:sz w:val="27"/>
          <w:szCs w:val="27"/>
          <w:color w:val="auto"/>
        </w:rPr>
        <w:t>,</w:t>
      </w:r>
      <w:r>
        <w:rPr>
          <w:rFonts w:ascii="Arial" w:cs="Arial" w:eastAsia="Arial" w:hAnsi="Arial"/>
          <w:sz w:val="27"/>
          <w:szCs w:val="27"/>
          <w:color w:val="auto"/>
        </w:rPr>
        <w:t xml:space="preserve"> пальпация и аускультация периферических артерий для выявления патологических шумов</w:t>
      </w:r>
      <w:r>
        <w:rPr>
          <w:rFonts w:ascii="Arial" w:cs="Arial" w:eastAsia="Arial" w:hAnsi="Arial"/>
          <w:sz w:val="27"/>
          <w:szCs w:val="27"/>
          <w:color w:val="auto"/>
        </w:rPr>
        <w:t>,</w:t>
      </w:r>
      <w:r>
        <w:rPr>
          <w:rFonts w:ascii="Arial" w:cs="Arial" w:eastAsia="Arial" w:hAnsi="Arial"/>
          <w:sz w:val="27"/>
          <w:szCs w:val="27"/>
          <w:color w:val="auto"/>
        </w:rPr>
        <w:t xml:space="preserve"> сравнение АД между руками хотя бы однократно </w:t>
      </w:r>
      <w:r>
        <w:rPr>
          <w:rFonts w:ascii="Arial" w:cs="Arial" w:eastAsia="Arial" w:hAnsi="Arial"/>
          <w:sz w:val="27"/>
          <w:szCs w:val="27"/>
          <w:color w:val="auto"/>
        </w:rPr>
        <w:t>[21].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-1930400</wp:posOffset>
            </wp:positionV>
            <wp:extent cx="82550" cy="8255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95"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80"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Объективное исследование пациента с АГ</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направлено на выявление ФР</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признаков вторичных форм АГ и ПОМ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таблице П</w:t>
      </w:r>
      <w:r>
        <w:rPr>
          <w:rFonts w:ascii="Arial" w:cs="Arial" w:eastAsia="Arial" w:hAnsi="Arial"/>
          <w:sz w:val="23"/>
          <w:szCs w:val="23"/>
          <w:b w:val="1"/>
          <w:bCs w:val="1"/>
          <w:i w:val="1"/>
          <w:iCs w:val="1"/>
          <w:color w:val="auto"/>
        </w:rPr>
        <w:t>3,</w:t>
      </w:r>
      <w:r>
        <w:rPr>
          <w:rFonts w:ascii="Arial" w:cs="Arial" w:eastAsia="Arial" w:hAnsi="Arial"/>
          <w:sz w:val="23"/>
          <w:szCs w:val="23"/>
          <w:b w:val="1"/>
          <w:bCs w:val="1"/>
          <w:i w:val="1"/>
          <w:iCs w:val="1"/>
          <w:color w:val="auto"/>
        </w:rPr>
        <w:t xml:space="preserve"> Приложение Г</w:t>
      </w:r>
      <w:r>
        <w:rPr>
          <w:rFonts w:ascii="Arial" w:cs="Arial" w:eastAsia="Arial" w:hAnsi="Arial"/>
          <w:sz w:val="23"/>
          <w:szCs w:val="23"/>
          <w:b w:val="1"/>
          <w:bCs w:val="1"/>
          <w:i w:val="1"/>
          <w:iCs w:val="1"/>
          <w:color w:val="auto"/>
        </w:rPr>
        <w:t>2</w:t>
      </w:r>
      <w:r>
        <w:rPr>
          <w:rFonts w:ascii="Arial" w:cs="Arial" w:eastAsia="Arial" w:hAnsi="Arial"/>
          <w:sz w:val="23"/>
          <w:szCs w:val="23"/>
          <w:b w:val="1"/>
          <w:bCs w:val="1"/>
          <w:i w:val="1"/>
          <w:iCs w:val="1"/>
          <w:color w:val="auto"/>
        </w:rPr>
        <w:t xml:space="preserve"> суммированы основные положения и требования к клиническому обследованию пациента</w:t>
      </w:r>
      <w:r>
        <w:rPr>
          <w:rFonts w:ascii="Arial" w:cs="Arial" w:eastAsia="Arial" w:hAnsi="Arial"/>
          <w:sz w:val="23"/>
          <w:szCs w:val="23"/>
          <w:b w:val="1"/>
          <w:bCs w:val="1"/>
          <w:i w:val="1"/>
          <w:iCs w:val="1"/>
          <w:color w:val="auto"/>
        </w:rPr>
        <w:t>.</w:t>
      </w:r>
    </w:p>
    <w:p>
      <w:pPr>
        <w:spacing w:after="0" w:line="15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АГ рекомендуется пальпировать пульс в покое для измерения его частоты и ритмичности с целью выявления аритмий </w:t>
      </w:r>
      <w:r>
        <w:rPr>
          <w:rFonts w:ascii="Arial" w:cs="Arial" w:eastAsia="Arial" w:hAnsi="Arial"/>
          <w:sz w:val="27"/>
          <w:szCs w:val="27"/>
          <w:color w:val="auto"/>
        </w:rPr>
        <w:t>[21; 32; 43].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200" w:lineRule="exact"/>
        <w:rPr>
          <w:sz w:val="20"/>
          <w:szCs w:val="20"/>
          <w:color w:val="auto"/>
        </w:rPr>
      </w:pPr>
    </w:p>
    <w:p>
      <w:pPr>
        <w:spacing w:after="0" w:line="200" w:lineRule="exact"/>
        <w:rPr>
          <w:sz w:val="20"/>
          <w:szCs w:val="20"/>
          <w:color w:val="auto"/>
        </w:rPr>
      </w:pPr>
    </w:p>
    <w:p>
      <w:pPr>
        <w:spacing w:after="0" w:line="35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2.7 </w:t>
      </w:r>
      <w:r>
        <w:rPr>
          <w:rFonts w:ascii="Arial" w:cs="Arial" w:eastAsia="Arial" w:hAnsi="Arial"/>
          <w:sz w:val="33"/>
          <w:szCs w:val="33"/>
          <w:b w:val="1"/>
          <w:bCs w:val="1"/>
          <w:color w:val="auto"/>
        </w:rPr>
        <w:t>Лабораторная диагностика</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Для установления диагноза АГ лабораторная диагностика не требуется</w:t>
      </w:r>
      <w:r>
        <w:rPr>
          <w:rFonts w:ascii="Arial" w:cs="Arial" w:eastAsia="Arial" w:hAnsi="Arial"/>
          <w:sz w:val="27"/>
          <w:szCs w:val="27"/>
          <w:color w:val="auto"/>
        </w:rPr>
        <w:t>,</w:t>
      </w:r>
      <w:r>
        <w:rPr>
          <w:rFonts w:ascii="Arial" w:cs="Arial" w:eastAsia="Arial" w:hAnsi="Arial"/>
          <w:sz w:val="27"/>
          <w:szCs w:val="27"/>
          <w:color w:val="auto"/>
        </w:rPr>
        <w:t xml:space="preserve"> однако</w:t>
      </w:r>
      <w:r>
        <w:rPr>
          <w:rFonts w:ascii="Arial" w:cs="Arial" w:eastAsia="Arial" w:hAnsi="Arial"/>
          <w:sz w:val="27"/>
          <w:szCs w:val="27"/>
          <w:color w:val="auto"/>
        </w:rPr>
        <w:t>,</w:t>
      </w:r>
      <w:r>
        <w:rPr>
          <w:rFonts w:ascii="Arial" w:cs="Arial" w:eastAsia="Arial" w:hAnsi="Arial"/>
          <w:sz w:val="27"/>
          <w:szCs w:val="27"/>
          <w:color w:val="auto"/>
        </w:rPr>
        <w:t xml:space="preserve"> она необходима с целью исключения вторичных форм АГ</w:t>
      </w:r>
      <w:r>
        <w:rPr>
          <w:rFonts w:ascii="Arial" w:cs="Arial" w:eastAsia="Arial" w:hAnsi="Arial"/>
          <w:sz w:val="27"/>
          <w:szCs w:val="27"/>
          <w:color w:val="auto"/>
        </w:rPr>
        <w:t>,</w:t>
      </w:r>
      <w:r>
        <w:rPr>
          <w:rFonts w:ascii="Arial" w:cs="Arial" w:eastAsia="Arial" w:hAnsi="Arial"/>
          <w:sz w:val="27"/>
          <w:szCs w:val="27"/>
          <w:color w:val="auto"/>
        </w:rPr>
        <w:t xml:space="preserve"> выявления ПОМ</w:t>
      </w:r>
      <w:r>
        <w:rPr>
          <w:rFonts w:ascii="Arial" w:cs="Arial" w:eastAsia="Arial" w:hAnsi="Arial"/>
          <w:sz w:val="27"/>
          <w:szCs w:val="27"/>
          <w:color w:val="auto"/>
        </w:rPr>
        <w:t>,</w:t>
      </w:r>
      <w:r>
        <w:rPr>
          <w:rFonts w:ascii="Arial" w:cs="Arial" w:eastAsia="Arial" w:hAnsi="Arial"/>
          <w:sz w:val="27"/>
          <w:szCs w:val="27"/>
          <w:color w:val="auto"/>
        </w:rPr>
        <w:t xml:space="preserve"> оценки СС риска</w:t>
      </w:r>
      <w:r>
        <w:rPr>
          <w:rFonts w:ascii="Arial" w:cs="Arial" w:eastAsia="Arial" w:hAnsi="Arial"/>
          <w:sz w:val="27"/>
          <w:szCs w:val="27"/>
          <w:color w:val="auto"/>
        </w:rPr>
        <w:t>,</w:t>
      </w:r>
      <w:r>
        <w:rPr>
          <w:rFonts w:ascii="Arial" w:cs="Arial" w:eastAsia="Arial" w:hAnsi="Arial"/>
          <w:sz w:val="27"/>
          <w:szCs w:val="27"/>
          <w:color w:val="auto"/>
        </w:rPr>
        <w:t xml:space="preserve"> и сопутствующей патологии</w:t>
      </w:r>
      <w:r>
        <w:rPr>
          <w:rFonts w:ascii="Arial" w:cs="Arial" w:eastAsia="Arial" w:hAnsi="Arial"/>
          <w:sz w:val="27"/>
          <w:szCs w:val="27"/>
          <w:color w:val="auto"/>
        </w:rPr>
        <w:t>,</w:t>
      </w:r>
      <w:r>
        <w:rPr>
          <w:rFonts w:ascii="Arial" w:cs="Arial" w:eastAsia="Arial" w:hAnsi="Arial"/>
          <w:sz w:val="27"/>
          <w:szCs w:val="27"/>
          <w:color w:val="auto"/>
        </w:rPr>
        <w:t xml:space="preserve"> влияющей на эффективность лечения и качество жизни пациента</w:t>
      </w:r>
      <w:r>
        <w:rPr>
          <w:rFonts w:ascii="Arial" w:cs="Arial" w:eastAsia="Arial" w:hAnsi="Arial"/>
          <w:sz w:val="27"/>
          <w:szCs w:val="27"/>
          <w:color w:val="auto"/>
        </w:rPr>
        <w:t>.</w:t>
      </w:r>
    </w:p>
    <w:p>
      <w:pPr>
        <w:spacing w:after="0" w:line="222" w:lineRule="exact"/>
        <w:rPr>
          <w:sz w:val="20"/>
          <w:szCs w:val="20"/>
          <w:color w:val="auto"/>
        </w:rPr>
      </w:pPr>
    </w:p>
    <w:p>
      <w:pPr>
        <w:ind w:left="680"/>
        <w:spacing w:after="0"/>
        <w:tabs>
          <w:tab w:leader="none" w:pos="1540" w:val="left"/>
          <w:tab w:leader="none" w:pos="3200" w:val="left"/>
          <w:tab w:leader="none" w:pos="3580" w:val="left"/>
          <w:tab w:leader="none" w:pos="4160" w:val="left"/>
          <w:tab w:leader="none" w:pos="4540" w:val="left"/>
          <w:tab w:leader="none" w:pos="5600" w:val="left"/>
          <w:tab w:leader="none" w:pos="7400" w:val="left"/>
        </w:tabs>
        <w:rPr>
          <w:sz w:val="20"/>
          <w:szCs w:val="20"/>
          <w:color w:val="auto"/>
        </w:rPr>
      </w:pPr>
      <w:r>
        <w:rPr>
          <w:rFonts w:ascii="Arial" w:cs="Arial" w:eastAsia="Arial" w:hAnsi="Arial"/>
          <w:sz w:val="27"/>
          <w:szCs w:val="27"/>
          <w:color w:val="auto"/>
        </w:rPr>
        <w:t>Всем</w:t>
        <w:tab/>
        <w:t>пациентам</w:t>
        <w:tab/>
        <w:t>с</w:t>
        <w:tab/>
        <w:t>АГ</w:t>
        <w:tab/>
        <w:t>с</w:t>
        <w:tab/>
        <w:t>целью</w:t>
        <w:tab/>
        <w:t>исключения</w:t>
        <w:tab/>
        <w:t>вторичной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3000" w:val="left"/>
          <w:tab w:leader="none" w:pos="5640" w:val="left"/>
          <w:tab w:leader="none" w:pos="7860" w:val="left"/>
        </w:tabs>
        <w:rPr>
          <w:sz w:val="20"/>
          <w:szCs w:val="20"/>
          <w:color w:val="auto"/>
        </w:rPr>
      </w:pPr>
      <w:r>
        <w:rPr>
          <w:rFonts w:ascii="Arial" w:cs="Arial" w:eastAsia="Arial" w:hAnsi="Arial"/>
          <w:sz w:val="27"/>
          <w:szCs w:val="27"/>
          <w:color w:val="auto"/>
        </w:rPr>
        <w:t>гипертензии</w:t>
      </w:r>
      <w:r>
        <w:rPr>
          <w:sz w:val="20"/>
          <w:szCs w:val="20"/>
          <w:color w:val="auto"/>
        </w:rPr>
        <w:tab/>
      </w:r>
      <w:r>
        <w:rPr>
          <w:rFonts w:ascii="Arial" w:cs="Arial" w:eastAsia="Arial" w:hAnsi="Arial"/>
          <w:sz w:val="27"/>
          <w:szCs w:val="27"/>
          <w:color w:val="auto"/>
        </w:rPr>
        <w:t>рекомендуется</w:t>
      </w:r>
      <w:r>
        <w:rPr>
          <w:sz w:val="20"/>
          <w:szCs w:val="20"/>
          <w:color w:val="auto"/>
        </w:rPr>
        <w:tab/>
      </w:r>
      <w:r>
        <w:rPr>
          <w:rFonts w:ascii="Arial" w:cs="Arial" w:eastAsia="Arial" w:hAnsi="Arial"/>
          <w:sz w:val="27"/>
          <w:szCs w:val="27"/>
          <w:color w:val="auto"/>
        </w:rPr>
        <w:t>проведение</w:t>
      </w:r>
      <w:r>
        <w:rPr>
          <w:sz w:val="20"/>
          <w:szCs w:val="20"/>
          <w:color w:val="auto"/>
        </w:rPr>
        <w:tab/>
      </w:r>
      <w:r>
        <w:rPr>
          <w:rFonts w:ascii="Arial" w:cs="Arial" w:eastAsia="Arial" w:hAnsi="Arial"/>
          <w:sz w:val="26"/>
          <w:szCs w:val="26"/>
          <w:color w:val="auto"/>
        </w:rPr>
        <w:t>общего</w:t>
      </w:r>
    </w:p>
    <w:p>
      <w:pPr>
        <w:sectPr>
          <w:pgSz w:w="11900" w:h="16917" w:orient="portrait"/>
          <w:cols w:equalWidth="0" w:num="1">
            <w:col w:w="9020"/>
          </w:cols>
          <w:pgMar w:left="1440" w:top="19" w:right="1440" w:bottom="0" w:gutter="0" w:footer="0" w:header="0"/>
        </w:sectPr>
      </w:pPr>
    </w:p>
    <w:bookmarkStart w:id="31" w:name="page32"/>
    <w:bookmarkEnd w:id="31"/>
    <w:p>
      <w:pPr>
        <w:jc w:val="both"/>
        <w:ind w:left="680" w:right="220"/>
        <w:spacing w:after="0" w:line="334" w:lineRule="auto"/>
        <w:rPr>
          <w:sz w:val="20"/>
          <w:szCs w:val="20"/>
          <w:color w:val="auto"/>
        </w:rPr>
      </w:pPr>
      <w:r>
        <w:rPr>
          <w:rFonts w:ascii="Arial" w:cs="Arial" w:eastAsia="Arial" w:hAnsi="Arial"/>
          <w:sz w:val="27"/>
          <w:szCs w:val="27"/>
          <w:color w:val="auto"/>
        </w:rPr>
        <w:t>(</w:t>
      </w:r>
      <w:r>
        <w:rPr>
          <w:rFonts w:ascii="Arial" w:cs="Arial" w:eastAsia="Arial" w:hAnsi="Arial"/>
          <w:sz w:val="27"/>
          <w:szCs w:val="27"/>
          <w:color w:val="auto"/>
        </w:rPr>
        <w:t>клинического</w:t>
      </w:r>
      <w:r>
        <w:rPr>
          <w:rFonts w:ascii="Arial" w:cs="Arial" w:eastAsia="Arial" w:hAnsi="Arial"/>
          <w:sz w:val="27"/>
          <w:szCs w:val="27"/>
          <w:color w:val="auto"/>
        </w:rPr>
        <w:t xml:space="preserve">) </w:t>
      </w:r>
      <w:r>
        <w:rPr>
          <w:rFonts w:ascii="Arial" w:cs="Arial" w:eastAsia="Arial" w:hAnsi="Arial"/>
          <w:sz w:val="27"/>
          <w:szCs w:val="27"/>
          <w:color w:val="auto"/>
        </w:rPr>
        <w:t>анализа крови</w:t>
      </w:r>
      <w:r>
        <w:rPr>
          <w:rFonts w:ascii="Arial" w:cs="Arial" w:eastAsia="Arial" w:hAnsi="Arial"/>
          <w:sz w:val="27"/>
          <w:szCs w:val="27"/>
          <w:color w:val="auto"/>
        </w:rPr>
        <w:t xml:space="preserve"> (</w:t>
      </w:r>
      <w:r>
        <w:rPr>
          <w:rFonts w:ascii="Arial" w:cs="Arial" w:eastAsia="Arial" w:hAnsi="Arial"/>
          <w:sz w:val="27"/>
          <w:szCs w:val="27"/>
          <w:color w:val="auto"/>
        </w:rPr>
        <w:t>гемоглобин</w:t>
      </w:r>
      <w:r>
        <w:rPr>
          <w:rFonts w:ascii="Arial" w:cs="Arial" w:eastAsia="Arial" w:hAnsi="Arial"/>
          <w:sz w:val="27"/>
          <w:szCs w:val="27"/>
          <w:color w:val="auto"/>
        </w:rPr>
        <w:t>/</w:t>
      </w:r>
      <w:r>
        <w:rPr>
          <w:rFonts w:ascii="Arial" w:cs="Arial" w:eastAsia="Arial" w:hAnsi="Arial"/>
          <w:sz w:val="27"/>
          <w:szCs w:val="27"/>
          <w:color w:val="auto"/>
        </w:rPr>
        <w:t>гематокрит</w:t>
      </w:r>
      <w:r>
        <w:rPr>
          <w:rFonts w:ascii="Arial" w:cs="Arial" w:eastAsia="Arial" w:hAnsi="Arial"/>
          <w:sz w:val="27"/>
          <w:szCs w:val="27"/>
          <w:color w:val="auto"/>
        </w:rPr>
        <w:t xml:space="preserve">, </w:t>
      </w:r>
      <w:r>
        <w:rPr>
          <w:rFonts w:ascii="Arial" w:cs="Arial" w:eastAsia="Arial" w:hAnsi="Arial"/>
          <w:sz w:val="27"/>
          <w:szCs w:val="27"/>
          <w:color w:val="auto"/>
        </w:rPr>
        <w:t>лейкоциты</w:t>
      </w:r>
      <w:r>
        <w:rPr>
          <w:rFonts w:ascii="Arial" w:cs="Arial" w:eastAsia="Arial" w:hAnsi="Arial"/>
          <w:sz w:val="27"/>
          <w:szCs w:val="27"/>
          <w:color w:val="auto"/>
        </w:rPr>
        <w:t>,</w:t>
      </w:r>
      <w:r>
        <w:rPr>
          <w:rFonts w:ascii="Arial" w:cs="Arial" w:eastAsia="Arial" w:hAnsi="Arial"/>
          <w:sz w:val="27"/>
          <w:szCs w:val="27"/>
          <w:color w:val="auto"/>
        </w:rPr>
        <w:t xml:space="preserve"> тромбоциты</w:t>
      </w:r>
      <w:r>
        <w:rPr>
          <w:rFonts w:ascii="Arial" w:cs="Arial" w:eastAsia="Arial" w:hAnsi="Arial"/>
          <w:sz w:val="27"/>
          <w:szCs w:val="27"/>
          <w:color w:val="auto"/>
        </w:rPr>
        <w:t>) [21, 22].</w:t>
      </w:r>
    </w:p>
    <w:p>
      <w:pPr>
        <w:spacing w:after="0" w:line="186" w:lineRule="exact"/>
        <w:rPr>
          <w:sz w:val="20"/>
          <w:szCs w:val="20"/>
          <w:color w:val="auto"/>
        </w:rPr>
      </w:pPr>
    </w:p>
    <w:p>
      <w:pPr>
        <w:ind w:left="74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Для выявления предиабета</w:t>
      </w:r>
      <w:r>
        <w:rPr>
          <w:rFonts w:ascii="Arial" w:cs="Arial" w:eastAsia="Arial" w:hAnsi="Arial"/>
          <w:sz w:val="27"/>
          <w:szCs w:val="27"/>
          <w:color w:val="auto"/>
        </w:rPr>
        <w:t>,</w:t>
      </w:r>
      <w:r>
        <w:rPr>
          <w:rFonts w:ascii="Arial" w:cs="Arial" w:eastAsia="Arial" w:hAnsi="Arial"/>
          <w:sz w:val="27"/>
          <w:szCs w:val="27"/>
          <w:color w:val="auto"/>
        </w:rPr>
        <w:t xml:space="preserve"> СД и оценки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сосудистого риска всем пациентам с АГ рекомендуется исследование уровня глюкозы в венозной крови </w:t>
      </w:r>
      <w:r>
        <w:rPr>
          <w:rFonts w:ascii="Arial" w:cs="Arial" w:eastAsia="Arial" w:hAnsi="Arial"/>
          <w:sz w:val="27"/>
          <w:szCs w:val="27"/>
          <w:color w:val="auto"/>
        </w:rPr>
        <w:t>[53,54,55,56,57, 302].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25"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При значениях глюкозы</w:t>
      </w:r>
      <w:r>
        <w:rPr>
          <w:rFonts w:ascii="Arial" w:cs="Arial" w:eastAsia="Arial" w:hAnsi="Arial"/>
          <w:sz w:val="25"/>
          <w:szCs w:val="25"/>
          <w:b w:val="1"/>
          <w:bCs w:val="1"/>
          <w:color w:val="auto"/>
        </w:rPr>
        <w:t xml:space="preserve">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6,1</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ммоль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Л следует</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повторно определить ее уровень во всех случаях</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кроме несомненной гипергликемии с острой метаболической декомпенсацией или очевидными симптомами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 качестве теста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подтверждающего гипергликемию</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может быть определение гликированного гемоглобина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НвА</w:t>
      </w:r>
      <w:r>
        <w:rPr>
          <w:rFonts w:ascii="Arial" w:cs="Arial" w:eastAsia="Arial" w:hAnsi="Arial"/>
          <w:sz w:val="25"/>
          <w:szCs w:val="25"/>
          <w:b w:val="1"/>
          <w:bCs w:val="1"/>
          <w:i w:val="1"/>
          <w:iCs w:val="1"/>
          <w:color w:val="auto"/>
        </w:rPr>
        <w:t>1</w:t>
      </w:r>
      <w:r>
        <w:rPr>
          <w:rFonts w:ascii="Arial" w:cs="Arial" w:eastAsia="Arial" w:hAnsi="Arial"/>
          <w:sz w:val="25"/>
          <w:szCs w:val="25"/>
          <w:b w:val="1"/>
          <w:bCs w:val="1"/>
          <w:i w:val="1"/>
          <w:iCs w:val="1"/>
          <w:color w:val="auto"/>
        </w:rPr>
        <w:t>с</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Диагноз СД устанавливают на основании двух цифр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находящихся в диабетическом диапазоне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дважды определенный </w:t>
      </w:r>
      <w:r>
        <w:rPr>
          <w:rFonts w:ascii="Arial" w:cs="Arial" w:eastAsia="Arial" w:hAnsi="Arial"/>
          <w:sz w:val="25"/>
          <w:szCs w:val="25"/>
          <w:b w:val="1"/>
          <w:bCs w:val="1"/>
          <w:i w:val="1"/>
          <w:iCs w:val="1"/>
          <w:color w:val="auto"/>
        </w:rPr>
        <w:t>HbA1c</w:t>
      </w:r>
      <w:r>
        <w:rPr>
          <w:rFonts w:ascii="Arial" w:cs="Arial" w:eastAsia="Arial" w:hAnsi="Arial"/>
          <w:sz w:val="25"/>
          <w:szCs w:val="25"/>
          <w:b w:val="1"/>
          <w:bCs w:val="1"/>
          <w:i w:val="1"/>
          <w:iCs w:val="1"/>
          <w:color w:val="auto"/>
        </w:rPr>
        <w:t xml:space="preserve"> или однократное определение </w:t>
      </w:r>
      <w:r>
        <w:rPr>
          <w:rFonts w:ascii="Arial" w:cs="Arial" w:eastAsia="Arial" w:hAnsi="Arial"/>
          <w:sz w:val="25"/>
          <w:szCs w:val="25"/>
          <w:b w:val="1"/>
          <w:bCs w:val="1"/>
          <w:i w:val="1"/>
          <w:iCs w:val="1"/>
          <w:color w:val="auto"/>
        </w:rPr>
        <w:t>HbA1c</w:t>
      </w:r>
      <w:r>
        <w:rPr>
          <w:rFonts w:ascii="Arial" w:cs="Arial" w:eastAsia="Arial" w:hAnsi="Arial"/>
          <w:sz w:val="25"/>
          <w:szCs w:val="25"/>
          <w:b w:val="1"/>
          <w:bCs w:val="1"/>
          <w:i w:val="1"/>
          <w:iCs w:val="1"/>
          <w:color w:val="auto"/>
        </w:rPr>
        <w:t xml:space="preserve"> и однократное определение уровня глюкозы крови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Значения перечисленных параметров оценки гликемии выше нормальных</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но ниже диабетических</w:t>
      </w:r>
      <w:r>
        <w:rPr>
          <w:rFonts w:ascii="Arial" w:cs="Arial" w:eastAsia="Arial" w:hAnsi="Arial"/>
          <w:sz w:val="25"/>
          <w:szCs w:val="25"/>
          <w:b w:val="1"/>
          <w:bCs w:val="1"/>
          <w:i w:val="1"/>
          <w:iCs w:val="1"/>
          <w:color w:val="auto"/>
        </w:rPr>
        <w:t>,</w:t>
      </w:r>
    </w:p>
    <w:p>
      <w:pPr>
        <w:spacing w:after="0" w:line="8" w:lineRule="exact"/>
        <w:rPr>
          <w:sz w:val="20"/>
          <w:szCs w:val="20"/>
          <w:color w:val="auto"/>
        </w:rPr>
      </w:pPr>
    </w:p>
    <w:p>
      <w:pPr>
        <w:jc w:val="both"/>
        <w:ind w:left="680" w:right="220"/>
        <w:spacing w:after="0" w:line="361" w:lineRule="auto"/>
        <w:rPr>
          <w:sz w:val="20"/>
          <w:szCs w:val="20"/>
          <w:color w:val="auto"/>
        </w:rPr>
      </w:pPr>
      <w:r>
        <w:rPr>
          <w:rFonts w:ascii="Arial" w:cs="Arial" w:eastAsia="Arial" w:hAnsi="Arial"/>
          <w:sz w:val="23"/>
          <w:szCs w:val="23"/>
          <w:b w:val="1"/>
          <w:bCs w:val="1"/>
          <w:i w:val="1"/>
          <w:iCs w:val="1"/>
          <w:color w:val="auto"/>
        </w:rPr>
        <w:t>указывают на наличие предиабета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Пероральный глюкозотолерантный тест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ПГТТ</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проводится в сомнительных случаях для уточнения диагноза СД</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 также для выявления предиабета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Гликированный гемоглобин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НвА</w:t>
      </w:r>
      <w:r>
        <w:rPr>
          <w:rFonts w:ascii="Arial" w:cs="Arial" w:eastAsia="Arial" w:hAnsi="Arial"/>
          <w:sz w:val="23"/>
          <w:szCs w:val="23"/>
          <w:b w:val="1"/>
          <w:bCs w:val="1"/>
          <w:i w:val="1"/>
          <w:iCs w:val="1"/>
          <w:color w:val="auto"/>
        </w:rPr>
        <w:t>1</w:t>
      </w:r>
      <w:r>
        <w:rPr>
          <w:rFonts w:ascii="Arial" w:cs="Arial" w:eastAsia="Arial" w:hAnsi="Arial"/>
          <w:sz w:val="23"/>
          <w:szCs w:val="23"/>
          <w:b w:val="1"/>
          <w:bCs w:val="1"/>
          <w:i w:val="1"/>
          <w:iCs w:val="1"/>
          <w:color w:val="auto"/>
        </w:rPr>
        <w:t>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может быть использован для диагностики СД и предиабета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если метод его определения сертифицирован в соответствии с </w:t>
      </w:r>
      <w:r>
        <w:rPr>
          <w:rFonts w:ascii="Arial" w:cs="Arial" w:eastAsia="Arial" w:hAnsi="Arial"/>
          <w:sz w:val="23"/>
          <w:szCs w:val="23"/>
          <w:b w:val="1"/>
          <w:bCs w:val="1"/>
          <w:i w:val="1"/>
          <w:iCs w:val="1"/>
          <w:color w:val="auto"/>
        </w:rPr>
        <w:t>National</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 xml:space="preserve">Glycohemoglobin Standartization Program (NGSP), </w:t>
      </w:r>
      <w:r>
        <w:rPr>
          <w:rFonts w:ascii="Arial" w:cs="Arial" w:eastAsia="Arial" w:hAnsi="Arial"/>
          <w:sz w:val="23"/>
          <w:szCs w:val="23"/>
          <w:b w:val="1"/>
          <w:bCs w:val="1"/>
          <w:i w:val="1"/>
          <w:iCs w:val="1"/>
          <w:color w:val="auto"/>
        </w:rPr>
        <w:t>или</w:t>
      </w:r>
      <w:r>
        <w:rPr>
          <w:rFonts w:ascii="Arial" w:cs="Arial" w:eastAsia="Arial" w:hAnsi="Arial"/>
          <w:sz w:val="23"/>
          <w:szCs w:val="23"/>
          <w:b w:val="1"/>
          <w:bCs w:val="1"/>
          <w:i w:val="1"/>
          <w:iCs w:val="1"/>
          <w:color w:val="auto"/>
        </w:rPr>
        <w:t xml:space="preserve"> International Federation of Clinical Chemists (IFCC) </w:t>
      </w:r>
      <w:r>
        <w:rPr>
          <w:rFonts w:ascii="Arial" w:cs="Arial" w:eastAsia="Arial" w:hAnsi="Arial"/>
          <w:sz w:val="23"/>
          <w:szCs w:val="23"/>
          <w:b w:val="1"/>
          <w:bCs w:val="1"/>
          <w:i w:val="1"/>
          <w:iCs w:val="1"/>
          <w:color w:val="auto"/>
        </w:rPr>
        <w:t>и стандартизованного в</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соответствии с референсными значениями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принятыми в </w:t>
      </w:r>
      <w:r>
        <w:rPr>
          <w:rFonts w:ascii="Arial" w:cs="Arial" w:eastAsia="Arial" w:hAnsi="Arial"/>
          <w:sz w:val="23"/>
          <w:szCs w:val="23"/>
          <w:b w:val="1"/>
          <w:bCs w:val="1"/>
          <w:i w:val="1"/>
          <w:iCs w:val="1"/>
          <w:color w:val="auto"/>
        </w:rPr>
        <w:t xml:space="preserve">Diabetes Control and Complications Trial (DCCT). </w:t>
      </w:r>
      <w:r>
        <w:rPr>
          <w:rFonts w:ascii="Arial" w:cs="Arial" w:eastAsia="Arial" w:hAnsi="Arial"/>
          <w:sz w:val="23"/>
          <w:szCs w:val="23"/>
          <w:b w:val="1"/>
          <w:bCs w:val="1"/>
          <w:i w:val="1"/>
          <w:iCs w:val="1"/>
          <w:color w:val="auto"/>
        </w:rPr>
        <w:t>При наличии СД</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рекомендуется стратификация пациента в категорию высокого или очень высокого сердечно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сосудистого риска</w:t>
      </w:r>
    </w:p>
    <w:p>
      <w:pPr>
        <w:spacing w:after="0" w:line="178" w:lineRule="exact"/>
        <w:rPr>
          <w:sz w:val="20"/>
          <w:szCs w:val="20"/>
          <w:color w:val="auto"/>
        </w:rPr>
      </w:pPr>
    </w:p>
    <w:p>
      <w:pPr>
        <w:jc w:val="both"/>
        <w:ind w:left="680" w:right="220"/>
        <w:spacing w:after="0" w:line="263" w:lineRule="auto"/>
        <w:rPr>
          <w:sz w:val="20"/>
          <w:szCs w:val="20"/>
          <w:color w:val="auto"/>
        </w:rPr>
      </w:pPr>
      <w:r>
        <w:rPr>
          <w:rFonts w:ascii="Arial" w:cs="Arial" w:eastAsia="Arial" w:hAnsi="Arial"/>
          <w:sz w:val="27"/>
          <w:szCs w:val="27"/>
          <w:color w:val="auto"/>
        </w:rPr>
        <w:t>Всем пациентам с АГ для выявления нарушения функции почки оценки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сосудистого риска рекомендуются исследование уровня креатинина в сыворотке крови и расчет скорости клубочковой фильтрации </w:t>
      </w:r>
      <w:r>
        <w:rPr>
          <w:rFonts w:ascii="Arial" w:cs="Arial" w:eastAsia="Arial" w:hAnsi="Arial"/>
          <w:sz w:val="27"/>
          <w:szCs w:val="27"/>
          <w:color w:val="auto"/>
        </w:rPr>
        <w:t>(</w:t>
      </w:r>
      <w:r>
        <w:rPr>
          <w:rFonts w:ascii="Arial" w:cs="Arial" w:eastAsia="Arial" w:hAnsi="Arial"/>
          <w:sz w:val="27"/>
          <w:szCs w:val="27"/>
          <w:color w:val="auto"/>
        </w:rPr>
        <w:t>СКФ</w:t>
      </w:r>
      <w:r>
        <w:rPr>
          <w:rFonts w:ascii="Arial" w:cs="Arial" w:eastAsia="Arial" w:hAnsi="Arial"/>
          <w:sz w:val="27"/>
          <w:szCs w:val="27"/>
          <w:color w:val="auto"/>
        </w:rPr>
        <w:t>)</w:t>
      </w:r>
      <w:r>
        <w:rPr>
          <w:rFonts w:ascii="Arial" w:cs="Arial" w:eastAsia="Arial" w:hAnsi="Arial"/>
          <w:sz w:val="27"/>
          <w:szCs w:val="27"/>
          <w:color w:val="auto"/>
        </w:rPr>
        <w:t xml:space="preserve"> в мл</w:t>
      </w:r>
      <w:r>
        <w:rPr>
          <w:rFonts w:ascii="Arial" w:cs="Arial" w:eastAsia="Arial" w:hAnsi="Arial"/>
          <w:sz w:val="27"/>
          <w:szCs w:val="27"/>
          <w:color w:val="auto"/>
        </w:rPr>
        <w:t>/</w:t>
      </w:r>
      <w:r>
        <w:rPr>
          <w:rFonts w:ascii="Arial" w:cs="Arial" w:eastAsia="Arial" w:hAnsi="Arial"/>
          <w:sz w:val="27"/>
          <w:szCs w:val="27"/>
          <w:color w:val="auto"/>
        </w:rPr>
        <w:t>мин</w:t>
      </w:r>
      <w:r>
        <w:rPr>
          <w:rFonts w:ascii="Arial" w:cs="Arial" w:eastAsia="Arial" w:hAnsi="Arial"/>
          <w:sz w:val="27"/>
          <w:szCs w:val="27"/>
          <w:color w:val="auto"/>
        </w:rPr>
        <w:t>/1,73</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по формуле </w:t>
      </w:r>
      <w:r>
        <w:rPr>
          <w:rFonts w:ascii="Arial" w:cs="Arial" w:eastAsia="Arial" w:hAnsi="Arial"/>
          <w:sz w:val="27"/>
          <w:szCs w:val="27"/>
          <w:color w:val="auto"/>
        </w:rPr>
        <w:t>Chronic Kidney Disease Epidemiology (CKD-EPI) [58]</w:t>
      </w:r>
      <w:r>
        <w:rPr>
          <w:rFonts w:ascii="Arial" w:cs="Arial" w:eastAsia="Arial" w:hAnsi="Arial"/>
          <w:sz w:val="27"/>
          <w:szCs w:val="27"/>
          <w:color w:val="auto"/>
        </w:rPr>
        <w:t xml:space="preserve"> в специальных калькуляторах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3,</w:t>
      </w:r>
      <w:r>
        <w:rPr>
          <w:rFonts w:ascii="Arial" w:cs="Arial" w:eastAsia="Arial" w:hAnsi="Arial"/>
          <w:sz w:val="27"/>
          <w:szCs w:val="27"/>
          <w:color w:val="auto"/>
        </w:rPr>
        <w:t xml:space="preserve"> Приложение Г</w:t>
      </w:r>
      <w:r>
        <w:rPr>
          <w:rFonts w:ascii="Arial" w:cs="Arial" w:eastAsia="Arial" w:hAnsi="Arial"/>
          <w:sz w:val="27"/>
          <w:szCs w:val="27"/>
          <w:color w:val="auto"/>
        </w:rPr>
        <w:t>3) [21,</w:t>
      </w:r>
      <w:r>
        <w:rPr>
          <w:rFonts w:ascii="Arial" w:cs="Arial" w:eastAsia="Arial" w:hAnsi="Arial"/>
          <w:sz w:val="27"/>
          <w:szCs w:val="27"/>
          <w:color w:val="auto"/>
        </w:rPr>
        <w:t xml:space="preserve"> </w:t>
      </w:r>
      <w:r>
        <w:rPr>
          <w:rFonts w:ascii="Arial" w:cs="Arial" w:eastAsia="Arial" w:hAnsi="Arial"/>
          <w:sz w:val="27"/>
          <w:szCs w:val="27"/>
          <w:color w:val="auto"/>
        </w:rPr>
        <w:t>22, 58].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-1647825</wp:posOffset>
            </wp:positionV>
            <wp:extent cx="82550" cy="8255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59"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ectPr>
          <w:pgSz w:w="11900" w:h="16840" w:orient="portrait"/>
          <w:cols w:equalWidth="0" w:num="1">
            <w:col w:w="9020"/>
          </w:cols>
          <w:pgMar w:left="1440" w:top="19" w:right="1440" w:bottom="0" w:gutter="0" w:footer="0" w:header="0"/>
        </w:sectPr>
      </w:pPr>
    </w:p>
    <w:bookmarkStart w:id="32" w:name="page33"/>
    <w:bookmarkEnd w:id="32"/>
    <w:p>
      <w:pPr>
        <w:jc w:val="both"/>
        <w:ind w:left="680" w:right="220"/>
        <w:spacing w:after="0" w:line="308"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Выполняется у всех пациентов с АГ для</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выявления ХБП в связи с тем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снижение СКФ </w:t>
      </w:r>
      <w:r>
        <w:rPr>
          <w:rFonts w:ascii="Arial" w:cs="Arial" w:eastAsia="Arial" w:hAnsi="Arial"/>
          <w:sz w:val="24"/>
          <w:szCs w:val="24"/>
          <w:b w:val="1"/>
          <w:bCs w:val="1"/>
          <w:i w:val="1"/>
          <w:iCs w:val="1"/>
          <w:color w:val="auto"/>
        </w:rPr>
        <w:t>&lt;60</w:t>
      </w:r>
      <w:r>
        <w:rPr>
          <w:rFonts w:ascii="Arial" w:cs="Arial" w:eastAsia="Arial" w:hAnsi="Arial"/>
          <w:sz w:val="24"/>
          <w:szCs w:val="24"/>
          <w:b w:val="1"/>
          <w:bCs w:val="1"/>
          <w:i w:val="1"/>
          <w:iCs w:val="1"/>
          <w:color w:val="auto"/>
        </w:rPr>
        <w:t xml:space="preserve"> мл</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мин</w:t>
      </w:r>
      <w:r>
        <w:rPr>
          <w:rFonts w:ascii="Arial" w:cs="Arial" w:eastAsia="Arial" w:hAnsi="Arial"/>
          <w:sz w:val="24"/>
          <w:szCs w:val="24"/>
          <w:b w:val="1"/>
          <w:bCs w:val="1"/>
          <w:i w:val="1"/>
          <w:iCs w:val="1"/>
          <w:color w:val="auto"/>
        </w:rPr>
        <w:t>/1,73</w:t>
      </w:r>
      <w:r>
        <w:rPr>
          <w:rFonts w:ascii="Arial" w:cs="Arial" w:eastAsia="Arial" w:hAnsi="Arial"/>
          <w:sz w:val="24"/>
          <w:szCs w:val="24"/>
          <w:b w:val="1"/>
          <w:bCs w:val="1"/>
          <w:i w:val="1"/>
          <w:iCs w:val="1"/>
          <w:color w:val="auto"/>
        </w:rPr>
        <w:t>м</w:t>
      </w:r>
      <w:r>
        <w:rPr>
          <w:rFonts w:ascii="Arial" w:cs="Arial" w:eastAsia="Arial" w:hAnsi="Arial"/>
          <w:sz w:val="46"/>
          <w:szCs w:val="46"/>
          <w:b w:val="1"/>
          <w:bCs w:val="1"/>
          <w:i w:val="1"/>
          <w:iCs w:val="1"/>
          <w:color w:val="auto"/>
          <w:vertAlign w:val="superscript"/>
        </w:rPr>
        <w:t>2</w:t>
      </w:r>
      <w:r>
        <w:rPr>
          <w:rFonts w:ascii="Arial" w:cs="Arial" w:eastAsia="Arial" w:hAnsi="Arial"/>
          <w:sz w:val="24"/>
          <w:szCs w:val="24"/>
          <w:b w:val="1"/>
          <w:bCs w:val="1"/>
          <w:i w:val="1"/>
          <w:iCs w:val="1"/>
          <w:color w:val="auto"/>
        </w:rPr>
        <w:t xml:space="preserve"> является значимым прогностическим фактором при АГ </w:t>
      </w:r>
      <w:r>
        <w:rPr>
          <w:rFonts w:ascii="Arial" w:cs="Arial" w:eastAsia="Arial" w:hAnsi="Arial"/>
          <w:sz w:val="24"/>
          <w:szCs w:val="24"/>
          <w:b w:val="1"/>
          <w:bCs w:val="1"/>
          <w:i w:val="1"/>
          <w:iCs w:val="1"/>
          <w:color w:val="auto"/>
        </w:rPr>
        <w:t>[60]</w:t>
      </w:r>
      <w:r>
        <w:rPr>
          <w:rFonts w:ascii="Arial" w:cs="Arial" w:eastAsia="Arial" w:hAnsi="Arial"/>
          <w:sz w:val="24"/>
          <w:szCs w:val="24"/>
          <w:b w:val="1"/>
          <w:bCs w:val="1"/>
          <w:i w:val="1"/>
          <w:iCs w:val="1"/>
          <w:color w:val="auto"/>
        </w:rPr>
        <w:t xml:space="preserve"> и в связи с наличием доказанной связи между даже незначительным снижением СКФ и повышением сердечно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сосудистой смертности </w:t>
      </w:r>
      <w:r>
        <w:rPr>
          <w:rFonts w:ascii="Arial" w:cs="Arial" w:eastAsia="Arial" w:hAnsi="Arial"/>
          <w:sz w:val="24"/>
          <w:szCs w:val="24"/>
          <w:b w:val="1"/>
          <w:bCs w:val="1"/>
          <w:i w:val="1"/>
          <w:iCs w:val="1"/>
          <w:color w:val="auto"/>
        </w:rPr>
        <w:t>[61, 62].</w:t>
      </w:r>
      <w:r>
        <w:rPr>
          <w:rFonts w:ascii="Arial" w:cs="Arial" w:eastAsia="Arial" w:hAnsi="Arial"/>
          <w:sz w:val="24"/>
          <w:szCs w:val="24"/>
          <w:b w:val="1"/>
          <w:bCs w:val="1"/>
          <w:i w:val="1"/>
          <w:iCs w:val="1"/>
          <w:color w:val="auto"/>
        </w:rPr>
        <w:t xml:space="preserve"> Формула </w:t>
      </w:r>
      <w:r>
        <w:rPr>
          <w:rFonts w:ascii="Arial" w:cs="Arial" w:eastAsia="Arial" w:hAnsi="Arial"/>
          <w:sz w:val="24"/>
          <w:szCs w:val="24"/>
          <w:b w:val="1"/>
          <w:bCs w:val="1"/>
          <w:i w:val="1"/>
          <w:iCs w:val="1"/>
          <w:color w:val="auto"/>
        </w:rPr>
        <w:t>CKD-EPI</w:t>
      </w:r>
      <w:r>
        <w:rPr>
          <w:rFonts w:ascii="Arial" w:cs="Arial" w:eastAsia="Arial" w:hAnsi="Arial"/>
          <w:sz w:val="24"/>
          <w:szCs w:val="24"/>
          <w:b w:val="1"/>
          <w:bCs w:val="1"/>
          <w:i w:val="1"/>
          <w:iCs w:val="1"/>
          <w:color w:val="auto"/>
        </w:rPr>
        <w:t xml:space="preserve"> включает те же </w:t>
      </w:r>
      <w:r>
        <w:rPr>
          <w:rFonts w:ascii="Arial" w:cs="Arial" w:eastAsia="Arial" w:hAnsi="Arial"/>
          <w:sz w:val="24"/>
          <w:szCs w:val="24"/>
          <w:b w:val="1"/>
          <w:bCs w:val="1"/>
          <w:i w:val="1"/>
          <w:iCs w:val="1"/>
          <w:color w:val="auto"/>
        </w:rPr>
        <w:t>4</w:t>
      </w:r>
      <w:r>
        <w:rPr>
          <w:rFonts w:ascii="Arial" w:cs="Arial" w:eastAsia="Arial" w:hAnsi="Arial"/>
          <w:sz w:val="24"/>
          <w:szCs w:val="24"/>
          <w:b w:val="1"/>
          <w:bCs w:val="1"/>
          <w:i w:val="1"/>
          <w:iCs w:val="1"/>
          <w:color w:val="auto"/>
        </w:rPr>
        <w:t xml:space="preserve"> переменные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и формула </w:t>
      </w:r>
      <w:r>
        <w:rPr>
          <w:rFonts w:ascii="Arial" w:cs="Arial" w:eastAsia="Arial" w:hAnsi="Arial"/>
          <w:sz w:val="24"/>
          <w:szCs w:val="24"/>
          <w:b w:val="1"/>
          <w:bCs w:val="1"/>
          <w:i w:val="1"/>
          <w:iCs w:val="1"/>
          <w:color w:val="auto"/>
        </w:rPr>
        <w:t>MDRD.</w:t>
      </w:r>
      <w:r>
        <w:rPr>
          <w:rFonts w:ascii="Arial" w:cs="Arial" w:eastAsia="Arial" w:hAnsi="Arial"/>
          <w:sz w:val="24"/>
          <w:szCs w:val="24"/>
          <w:b w:val="1"/>
          <w:bCs w:val="1"/>
          <w:i w:val="1"/>
          <w:iCs w:val="1"/>
          <w:color w:val="auto"/>
        </w:rPr>
        <w:t xml:space="preserve"> Формула </w:t>
      </w:r>
      <w:r>
        <w:rPr>
          <w:rFonts w:ascii="Arial" w:cs="Arial" w:eastAsia="Arial" w:hAnsi="Arial"/>
          <w:sz w:val="24"/>
          <w:szCs w:val="24"/>
          <w:b w:val="1"/>
          <w:bCs w:val="1"/>
          <w:i w:val="1"/>
          <w:iCs w:val="1"/>
          <w:color w:val="auto"/>
        </w:rPr>
        <w:t>CKD-EPI</w:t>
      </w:r>
      <w:r>
        <w:rPr>
          <w:rFonts w:ascii="Arial" w:cs="Arial" w:eastAsia="Arial" w:hAnsi="Arial"/>
          <w:sz w:val="24"/>
          <w:szCs w:val="24"/>
          <w:b w:val="1"/>
          <w:bCs w:val="1"/>
          <w:i w:val="1"/>
          <w:iCs w:val="1"/>
          <w:color w:val="auto"/>
        </w:rPr>
        <w:t xml:space="preserve"> дает меньше погрешностей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чем формула </w:t>
      </w:r>
      <w:r>
        <w:rPr>
          <w:rFonts w:ascii="Arial" w:cs="Arial" w:eastAsia="Arial" w:hAnsi="Arial"/>
          <w:sz w:val="24"/>
          <w:szCs w:val="24"/>
          <w:b w:val="1"/>
          <w:bCs w:val="1"/>
          <w:i w:val="1"/>
          <w:iCs w:val="1"/>
          <w:color w:val="auto"/>
        </w:rPr>
        <w:t>MDRD,</w:t>
      </w:r>
      <w:r>
        <w:rPr>
          <w:rFonts w:ascii="Arial" w:cs="Arial" w:eastAsia="Arial" w:hAnsi="Arial"/>
          <w:sz w:val="24"/>
          <w:szCs w:val="24"/>
          <w:b w:val="1"/>
          <w:bCs w:val="1"/>
          <w:i w:val="1"/>
          <w:iCs w:val="1"/>
          <w:color w:val="auto"/>
        </w:rPr>
        <w:t xml:space="preserve"> особенно при СКФ</w:t>
      </w:r>
      <w:r>
        <w:rPr>
          <w:rFonts w:ascii="Times New Roman" w:cs="Times New Roman" w:eastAsia="Times New Roman" w:hAnsi="Times New Roman"/>
          <w:sz w:val="24"/>
          <w:szCs w:val="24"/>
          <w:i w:val="1"/>
          <w:iCs w:val="1"/>
          <w:color w:val="auto"/>
        </w:rPr>
        <w:t>≥</w:t>
      </w:r>
      <w:r>
        <w:rPr>
          <w:rFonts w:ascii="Arial" w:cs="Arial" w:eastAsia="Arial" w:hAnsi="Arial"/>
          <w:sz w:val="24"/>
          <w:szCs w:val="24"/>
          <w:b w:val="1"/>
          <w:bCs w:val="1"/>
          <w:i w:val="1"/>
          <w:iCs w:val="1"/>
          <w:color w:val="auto"/>
        </w:rPr>
        <w:t>60</w:t>
      </w:r>
      <w:r>
        <w:rPr>
          <w:rFonts w:ascii="Arial" w:cs="Arial" w:eastAsia="Arial" w:hAnsi="Arial"/>
          <w:sz w:val="24"/>
          <w:szCs w:val="24"/>
          <w:b w:val="1"/>
          <w:bCs w:val="1"/>
          <w:i w:val="1"/>
          <w:iCs w:val="1"/>
          <w:color w:val="auto"/>
        </w:rPr>
        <w:t xml:space="preserve"> мл</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мин</w:t>
      </w:r>
      <w:r>
        <w:rPr>
          <w:rFonts w:ascii="Arial" w:cs="Arial" w:eastAsia="Arial" w:hAnsi="Arial"/>
          <w:sz w:val="24"/>
          <w:szCs w:val="24"/>
          <w:b w:val="1"/>
          <w:bCs w:val="1"/>
          <w:i w:val="1"/>
          <w:iCs w:val="1"/>
          <w:color w:val="auto"/>
        </w:rPr>
        <w:t>/1,73</w:t>
      </w:r>
      <w:r>
        <w:rPr>
          <w:rFonts w:ascii="Arial" w:cs="Arial" w:eastAsia="Arial" w:hAnsi="Arial"/>
          <w:sz w:val="24"/>
          <w:szCs w:val="24"/>
          <w:b w:val="1"/>
          <w:bCs w:val="1"/>
          <w:i w:val="1"/>
          <w:iCs w:val="1"/>
          <w:color w:val="auto"/>
        </w:rPr>
        <w:t xml:space="preserve"> м</w:t>
      </w:r>
      <w:r>
        <w:rPr>
          <w:rFonts w:ascii="Arial" w:cs="Arial" w:eastAsia="Arial" w:hAnsi="Arial"/>
          <w:sz w:val="46"/>
          <w:szCs w:val="46"/>
          <w:b w:val="1"/>
          <w:bCs w:val="1"/>
          <w:i w:val="1"/>
          <w:iCs w:val="1"/>
          <w:color w:val="auto"/>
          <w:vertAlign w:val="superscript"/>
        </w:rPr>
        <w:t>2</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характеризуется несколько меньшим разбросом данных и б</w:t>
      </w:r>
      <w:r>
        <w:rPr>
          <w:rFonts w:ascii="Times New Roman" w:cs="Times New Roman" w:eastAsia="Times New Roman" w:hAnsi="Times New Roman"/>
          <w:sz w:val="24"/>
          <w:szCs w:val="24"/>
          <w:i w:val="1"/>
          <w:iCs w:val="1"/>
          <w:color w:val="auto"/>
        </w:rPr>
        <w:t>ό</w:t>
      </w:r>
      <w:r>
        <w:rPr>
          <w:rFonts w:ascii="Arial" w:cs="Arial" w:eastAsia="Arial" w:hAnsi="Arial"/>
          <w:sz w:val="24"/>
          <w:szCs w:val="24"/>
          <w:b w:val="1"/>
          <w:bCs w:val="1"/>
          <w:i w:val="1"/>
          <w:iCs w:val="1"/>
          <w:color w:val="auto"/>
        </w:rPr>
        <w:t>льшей точностью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Значительная часть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но не все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исследований в Северной Америке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Европе показали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формула </w:t>
      </w:r>
      <w:r>
        <w:rPr>
          <w:rFonts w:ascii="Arial" w:cs="Arial" w:eastAsia="Arial" w:hAnsi="Arial"/>
          <w:sz w:val="24"/>
          <w:szCs w:val="24"/>
          <w:b w:val="1"/>
          <w:bCs w:val="1"/>
          <w:i w:val="1"/>
          <w:iCs w:val="1"/>
          <w:color w:val="auto"/>
        </w:rPr>
        <w:t>CKD-EPI</w:t>
      </w:r>
      <w:r>
        <w:rPr>
          <w:rFonts w:ascii="Arial" w:cs="Arial" w:eastAsia="Arial" w:hAnsi="Arial"/>
          <w:sz w:val="24"/>
          <w:szCs w:val="24"/>
          <w:b w:val="1"/>
          <w:bCs w:val="1"/>
          <w:i w:val="1"/>
          <w:iCs w:val="1"/>
          <w:color w:val="auto"/>
        </w:rPr>
        <w:t xml:space="preserve"> дает более точные результаты</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чем формула </w:t>
      </w:r>
      <w:r>
        <w:rPr>
          <w:rFonts w:ascii="Arial" w:cs="Arial" w:eastAsia="Arial" w:hAnsi="Arial"/>
          <w:sz w:val="24"/>
          <w:szCs w:val="24"/>
          <w:b w:val="1"/>
          <w:bCs w:val="1"/>
          <w:i w:val="1"/>
          <w:iCs w:val="1"/>
          <w:color w:val="auto"/>
        </w:rPr>
        <w:t xml:space="preserve">MDRD, </w:t>
      </w:r>
      <w:r>
        <w:rPr>
          <w:rFonts w:ascii="Arial" w:cs="Arial" w:eastAsia="Arial" w:hAnsi="Arial"/>
          <w:sz w:val="24"/>
          <w:szCs w:val="24"/>
          <w:b w:val="1"/>
          <w:bCs w:val="1"/>
          <w:i w:val="1"/>
          <w:iCs w:val="1"/>
          <w:color w:val="auto"/>
        </w:rPr>
        <w:t>особенно при высокой СКФ</w:t>
      </w:r>
      <w:r>
        <w:rPr>
          <w:rFonts w:ascii="Arial" w:cs="Arial" w:eastAsia="Arial" w:hAnsi="Arial"/>
          <w:sz w:val="24"/>
          <w:szCs w:val="24"/>
          <w:b w:val="1"/>
          <w:bCs w:val="1"/>
          <w:i w:val="1"/>
          <w:iCs w:val="1"/>
          <w:color w:val="auto"/>
        </w:rPr>
        <w:t xml:space="preserve"> [63]. </w:t>
      </w:r>
      <w:r>
        <w:rPr>
          <w:rFonts w:ascii="Arial" w:cs="Arial" w:eastAsia="Arial" w:hAnsi="Arial"/>
          <w:sz w:val="24"/>
          <w:szCs w:val="24"/>
          <w:b w:val="1"/>
          <w:bCs w:val="1"/>
          <w:i w:val="1"/>
          <w:iCs w:val="1"/>
          <w:color w:val="auto"/>
        </w:rPr>
        <w:t>Меньшая погрешность</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 xml:space="preserve">формулы </w:t>
      </w:r>
      <w:r>
        <w:rPr>
          <w:rFonts w:ascii="Arial" w:cs="Arial" w:eastAsia="Arial" w:hAnsi="Arial"/>
          <w:sz w:val="24"/>
          <w:szCs w:val="24"/>
          <w:b w:val="1"/>
          <w:bCs w:val="1"/>
          <w:i w:val="1"/>
          <w:iCs w:val="1"/>
          <w:color w:val="auto"/>
        </w:rPr>
        <w:t>CKD-EPI</w:t>
      </w:r>
      <w:r>
        <w:rPr>
          <w:rFonts w:ascii="Arial" w:cs="Arial" w:eastAsia="Arial" w:hAnsi="Arial"/>
          <w:sz w:val="24"/>
          <w:szCs w:val="24"/>
          <w:b w:val="1"/>
          <w:bCs w:val="1"/>
          <w:i w:val="1"/>
          <w:iCs w:val="1"/>
          <w:color w:val="auto"/>
        </w:rPr>
        <w:t xml:space="preserve">по сравнению с формулой </w:t>
      </w:r>
      <w:r>
        <w:rPr>
          <w:rFonts w:ascii="Arial" w:cs="Arial" w:eastAsia="Arial" w:hAnsi="Arial"/>
          <w:sz w:val="24"/>
          <w:szCs w:val="24"/>
          <w:b w:val="1"/>
          <w:bCs w:val="1"/>
          <w:i w:val="1"/>
          <w:iCs w:val="1"/>
          <w:color w:val="auto"/>
        </w:rPr>
        <w:t>MDRD</w:t>
      </w:r>
      <w:r>
        <w:rPr>
          <w:rFonts w:ascii="Arial" w:cs="Arial" w:eastAsia="Arial" w:hAnsi="Arial"/>
          <w:sz w:val="24"/>
          <w:szCs w:val="24"/>
          <w:b w:val="1"/>
          <w:bCs w:val="1"/>
          <w:i w:val="1"/>
          <w:iCs w:val="1"/>
          <w:color w:val="auto"/>
        </w:rPr>
        <w:t xml:space="preserve"> отражает более высокую рСКФ в большей части возрастного диапазона и значений креатинина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особенно у лиц молодого возраста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женщин и представителей европеоидной расы </w:t>
      </w:r>
      <w:r>
        <w:rPr>
          <w:rFonts w:ascii="Arial" w:cs="Arial" w:eastAsia="Arial" w:hAnsi="Arial"/>
          <w:sz w:val="24"/>
          <w:szCs w:val="24"/>
          <w:b w:val="1"/>
          <w:bCs w:val="1"/>
          <w:i w:val="1"/>
          <w:iCs w:val="1"/>
          <w:color w:val="auto"/>
        </w:rPr>
        <w:t>[64].</w:t>
      </w:r>
    </w:p>
    <w:p>
      <w:pPr>
        <w:spacing w:after="0" w:line="231" w:lineRule="exact"/>
        <w:rPr>
          <w:sz w:val="20"/>
          <w:szCs w:val="20"/>
          <w:color w:val="auto"/>
        </w:rPr>
      </w:pPr>
    </w:p>
    <w:p>
      <w:pPr>
        <w:jc w:val="both"/>
        <w:ind w:left="680" w:right="220"/>
        <w:spacing w:after="0" w:line="310" w:lineRule="auto"/>
        <w:rPr>
          <w:sz w:val="20"/>
          <w:szCs w:val="20"/>
          <w:color w:val="auto"/>
        </w:rPr>
      </w:pPr>
      <w:r>
        <w:rPr>
          <w:rFonts w:ascii="Arial" w:cs="Arial" w:eastAsia="Arial" w:hAnsi="Arial"/>
          <w:sz w:val="27"/>
          <w:szCs w:val="27"/>
          <w:color w:val="auto"/>
        </w:rPr>
        <w:t xml:space="preserve">Всем пациентам с АГ для выявления заболеваний почек и оценки СС риска рекомендуется проводить общий </w:t>
      </w:r>
      <w:r>
        <w:rPr>
          <w:rFonts w:ascii="Arial" w:cs="Arial" w:eastAsia="Arial" w:hAnsi="Arial"/>
          <w:sz w:val="27"/>
          <w:szCs w:val="27"/>
          <w:color w:val="auto"/>
        </w:rPr>
        <w:t>(</w:t>
      </w:r>
      <w:r>
        <w:rPr>
          <w:rFonts w:ascii="Arial" w:cs="Arial" w:eastAsia="Arial" w:hAnsi="Arial"/>
          <w:sz w:val="27"/>
          <w:szCs w:val="27"/>
          <w:color w:val="auto"/>
        </w:rPr>
        <w:t>клинический</w:t>
      </w:r>
      <w:r>
        <w:rPr>
          <w:rFonts w:ascii="Arial" w:cs="Arial" w:eastAsia="Arial" w:hAnsi="Arial"/>
          <w:sz w:val="27"/>
          <w:szCs w:val="27"/>
          <w:color w:val="auto"/>
        </w:rPr>
        <w:t xml:space="preserve">) </w:t>
      </w:r>
      <w:r>
        <w:rPr>
          <w:rFonts w:ascii="Arial" w:cs="Arial" w:eastAsia="Arial" w:hAnsi="Arial"/>
          <w:sz w:val="27"/>
          <w:szCs w:val="27"/>
          <w:color w:val="auto"/>
        </w:rPr>
        <w:t>анализ мочи с микроскопическим</w:t>
      </w:r>
      <w:r>
        <w:rPr>
          <w:rFonts w:ascii="Arial" w:cs="Arial" w:eastAsia="Arial" w:hAnsi="Arial"/>
          <w:sz w:val="27"/>
          <w:szCs w:val="27"/>
          <w:color w:val="auto"/>
        </w:rPr>
        <w:t xml:space="preserve"> </w:t>
      </w:r>
      <w:r>
        <w:rPr>
          <w:rFonts w:ascii="Arial" w:cs="Arial" w:eastAsia="Arial" w:hAnsi="Arial"/>
          <w:sz w:val="27"/>
          <w:szCs w:val="27"/>
          <w:color w:val="auto"/>
        </w:rPr>
        <w:t>исследованием осадка мочи</w:t>
      </w:r>
      <w:r>
        <w:rPr>
          <w:rFonts w:ascii="Arial" w:cs="Arial" w:eastAsia="Arial" w:hAnsi="Arial"/>
          <w:sz w:val="27"/>
          <w:szCs w:val="27"/>
          <w:color w:val="auto"/>
        </w:rPr>
        <w:t>,</w:t>
      </w:r>
      <w:r>
        <w:rPr>
          <w:rFonts w:ascii="Arial" w:cs="Arial" w:eastAsia="Arial" w:hAnsi="Arial"/>
          <w:sz w:val="27"/>
          <w:szCs w:val="27"/>
          <w:color w:val="auto"/>
        </w:rPr>
        <w:t xml:space="preserve"> количественной оценкой альбуминурии или отношения альбумин</w:t>
      </w:r>
      <w:r>
        <w:rPr>
          <w:rFonts w:ascii="Arial" w:cs="Arial" w:eastAsia="Arial" w:hAnsi="Arial"/>
          <w:sz w:val="27"/>
          <w:szCs w:val="27"/>
          <w:color w:val="auto"/>
        </w:rPr>
        <w:t>/</w:t>
      </w:r>
      <w:r>
        <w:rPr>
          <w:rFonts w:ascii="Arial" w:cs="Arial" w:eastAsia="Arial" w:hAnsi="Arial"/>
          <w:sz w:val="27"/>
          <w:szCs w:val="27"/>
          <w:color w:val="auto"/>
        </w:rPr>
        <w:t xml:space="preserve">креатинин </w:t>
      </w:r>
      <w:r>
        <w:rPr>
          <w:rFonts w:ascii="Arial" w:cs="Arial" w:eastAsia="Arial" w:hAnsi="Arial"/>
          <w:sz w:val="27"/>
          <w:szCs w:val="27"/>
          <w:color w:val="auto"/>
        </w:rPr>
        <w:t>(</w:t>
      </w:r>
      <w:r>
        <w:rPr>
          <w:rFonts w:ascii="Arial" w:cs="Arial" w:eastAsia="Arial" w:hAnsi="Arial"/>
          <w:sz w:val="27"/>
          <w:szCs w:val="27"/>
          <w:color w:val="auto"/>
        </w:rPr>
        <w:t>оптимально</w:t>
      </w:r>
      <w:r>
        <w:rPr>
          <w:rFonts w:ascii="Arial" w:cs="Arial" w:eastAsia="Arial" w:hAnsi="Arial"/>
          <w:sz w:val="27"/>
          <w:szCs w:val="27"/>
          <w:color w:val="auto"/>
        </w:rPr>
        <w:t>) [64, 65].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-1193165</wp:posOffset>
            </wp:positionV>
            <wp:extent cx="82550" cy="8255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6"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Выполняется у всех пациентов с АГ в связи с</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тем</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что повреждение почек является значимым прогностическим фактором при АГ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наличием доказанной связи между выявлением альбуминурии и повышением середечно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сосудистой смертности </w:t>
      </w:r>
      <w:r>
        <w:rPr>
          <w:rFonts w:ascii="Arial" w:cs="Arial" w:eastAsia="Arial" w:hAnsi="Arial"/>
          <w:sz w:val="26"/>
          <w:szCs w:val="26"/>
          <w:b w:val="1"/>
          <w:bCs w:val="1"/>
          <w:i w:val="1"/>
          <w:iCs w:val="1"/>
          <w:color w:val="auto"/>
        </w:rPr>
        <w:t>[60, 61, 64, 66].</w:t>
      </w:r>
      <w:r>
        <w:rPr>
          <w:rFonts w:ascii="Arial" w:cs="Arial" w:eastAsia="Arial" w:hAnsi="Arial"/>
          <w:sz w:val="26"/>
          <w:szCs w:val="26"/>
          <w:b w:val="1"/>
          <w:bCs w:val="1"/>
          <w:i w:val="1"/>
          <w:iCs w:val="1"/>
          <w:color w:val="auto"/>
        </w:rPr>
        <w:t xml:space="preserve"> Суточная экскреция альбумина с мочой </w:t>
      </w:r>
      <w:r>
        <w:rPr>
          <w:rFonts w:ascii="Times New Roman" w:cs="Times New Roman" w:eastAsia="Times New Roman" w:hAnsi="Times New Roman"/>
          <w:sz w:val="26"/>
          <w:szCs w:val="26"/>
          <w:i w:val="1"/>
          <w:iCs w:val="1"/>
          <w:color w:val="auto"/>
        </w:rPr>
        <w:t>≥</w:t>
      </w:r>
      <w:r>
        <w:rPr>
          <w:rFonts w:ascii="Arial" w:cs="Arial" w:eastAsia="Arial" w:hAnsi="Arial"/>
          <w:sz w:val="26"/>
          <w:szCs w:val="26"/>
          <w:b w:val="1"/>
          <w:bCs w:val="1"/>
          <w:i w:val="1"/>
          <w:iCs w:val="1"/>
          <w:color w:val="auto"/>
        </w:rPr>
        <w:t>30</w:t>
      </w:r>
      <w:r>
        <w:rPr>
          <w:rFonts w:ascii="Arial" w:cs="Arial" w:eastAsia="Arial" w:hAnsi="Arial"/>
          <w:sz w:val="26"/>
          <w:szCs w:val="26"/>
          <w:b w:val="1"/>
          <w:bCs w:val="1"/>
          <w:i w:val="1"/>
          <w:iCs w:val="1"/>
          <w:color w:val="auto"/>
        </w:rPr>
        <w:t xml:space="preserve"> мг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сут ассоциирована с повышенным риском осложнений ХБП </w:t>
      </w:r>
      <w:r>
        <w:rPr>
          <w:rFonts w:ascii="Arial" w:cs="Arial" w:eastAsia="Arial" w:hAnsi="Arial"/>
          <w:sz w:val="26"/>
          <w:szCs w:val="26"/>
          <w:b w:val="1"/>
          <w:bCs w:val="1"/>
          <w:i w:val="1"/>
          <w:iCs w:val="1"/>
          <w:color w:val="auto"/>
        </w:rPr>
        <w:t>[64].</w:t>
      </w:r>
      <w:r>
        <w:rPr>
          <w:rFonts w:ascii="Arial" w:cs="Arial" w:eastAsia="Arial" w:hAnsi="Arial"/>
          <w:sz w:val="26"/>
          <w:szCs w:val="26"/>
          <w:b w:val="1"/>
          <w:bCs w:val="1"/>
          <w:i w:val="1"/>
          <w:iCs w:val="1"/>
          <w:color w:val="auto"/>
        </w:rPr>
        <w:t xml:space="preserve"> В мета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анализе Консорциума по прогнозу ХБП обнаружены ассоциации между СЭА </w:t>
      </w:r>
      <w:r>
        <w:rPr>
          <w:rFonts w:ascii="Times New Roman" w:cs="Times New Roman" w:eastAsia="Times New Roman" w:hAnsi="Times New Roman"/>
          <w:sz w:val="26"/>
          <w:szCs w:val="26"/>
          <w:i w:val="1"/>
          <w:iCs w:val="1"/>
          <w:color w:val="auto"/>
        </w:rPr>
        <w:t>≥</w:t>
      </w:r>
      <w:r>
        <w:rPr>
          <w:rFonts w:ascii="Arial" w:cs="Arial" w:eastAsia="Arial" w:hAnsi="Arial"/>
          <w:sz w:val="26"/>
          <w:szCs w:val="26"/>
          <w:b w:val="1"/>
          <w:bCs w:val="1"/>
          <w:i w:val="1"/>
          <w:iCs w:val="1"/>
          <w:color w:val="auto"/>
        </w:rPr>
        <w:t>30</w:t>
      </w:r>
      <w:r>
        <w:rPr>
          <w:rFonts w:ascii="Arial" w:cs="Arial" w:eastAsia="Arial" w:hAnsi="Arial"/>
          <w:sz w:val="26"/>
          <w:szCs w:val="26"/>
          <w:b w:val="1"/>
          <w:bCs w:val="1"/>
          <w:i w:val="1"/>
          <w:iCs w:val="1"/>
          <w:color w:val="auto"/>
        </w:rPr>
        <w:t xml:space="preserve"> мг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сут при исследовании тест</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полосками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 риском общей смертности и смертности от ССЗ</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почечной недостаточности прогрессирования ХБП в общей популяции и в популяциях с повышенным риском развития ССЗ</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Соотношение альбумин</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креатинин в моче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предпочтительно в утренней порции</w:t>
      </w:r>
      <w:r>
        <w:rPr>
          <w:rFonts w:ascii="Arial" w:cs="Arial" w:eastAsia="Arial" w:hAnsi="Arial"/>
          <w:sz w:val="26"/>
          <w:szCs w:val="26"/>
          <w:b w:val="1"/>
          <w:bCs w:val="1"/>
          <w:i w:val="1"/>
          <w:iCs w:val="1"/>
          <w:color w:val="auto"/>
        </w:rPr>
        <w:t>) 30–300</w:t>
      </w:r>
      <w:r>
        <w:rPr>
          <w:rFonts w:ascii="Arial" w:cs="Arial" w:eastAsia="Arial" w:hAnsi="Arial"/>
          <w:sz w:val="26"/>
          <w:szCs w:val="26"/>
          <w:b w:val="1"/>
          <w:bCs w:val="1"/>
          <w:i w:val="1"/>
          <w:iCs w:val="1"/>
          <w:color w:val="auto"/>
        </w:rPr>
        <w:t xml:space="preserve"> мг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г</w:t>
      </w:r>
      <w:r>
        <w:rPr>
          <w:rFonts w:ascii="Arial" w:cs="Arial" w:eastAsia="Arial" w:hAnsi="Arial"/>
          <w:sz w:val="26"/>
          <w:szCs w:val="26"/>
          <w:b w:val="1"/>
          <w:bCs w:val="1"/>
          <w:i w:val="1"/>
          <w:iCs w:val="1"/>
          <w:color w:val="auto"/>
        </w:rPr>
        <w:t>; 3,4–34</w:t>
      </w:r>
      <w:r>
        <w:rPr>
          <w:rFonts w:ascii="Arial" w:cs="Arial" w:eastAsia="Arial" w:hAnsi="Arial"/>
          <w:sz w:val="26"/>
          <w:szCs w:val="26"/>
          <w:b w:val="1"/>
          <w:bCs w:val="1"/>
          <w:i w:val="1"/>
          <w:iCs w:val="1"/>
          <w:color w:val="auto"/>
        </w:rPr>
        <w:t xml:space="preserve"> мг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ммоль является маркером повреждения почек </w:t>
      </w:r>
      <w:r>
        <w:rPr>
          <w:rFonts w:ascii="Arial" w:cs="Arial" w:eastAsia="Arial" w:hAnsi="Arial"/>
          <w:sz w:val="26"/>
          <w:szCs w:val="26"/>
          <w:b w:val="1"/>
          <w:bCs w:val="1"/>
          <w:i w:val="1"/>
          <w:iCs w:val="1"/>
          <w:color w:val="auto"/>
        </w:rPr>
        <w:t>[64].</w:t>
      </w:r>
    </w:p>
    <w:p>
      <w:pPr>
        <w:sectPr>
          <w:pgSz w:w="11900" w:h="16840" w:orient="portrait"/>
          <w:cols w:equalWidth="0" w:num="1">
            <w:col w:w="9020"/>
          </w:cols>
          <w:pgMar w:left="1440" w:top="19" w:right="1440" w:bottom="174" w:gutter="0" w:footer="0" w:header="0"/>
        </w:sectPr>
      </w:pPr>
    </w:p>
    <w:bookmarkStart w:id="33" w:name="page34"/>
    <w:bookmarkEnd w:id="33"/>
    <w:p>
      <w:pPr>
        <w:spacing w:after="0" w:line="79"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Всем пациентам с АГ для стратификации риска и выявления нарушений липидного обмена рекомендуется исследование уровня общего холестерина </w:t>
      </w:r>
      <w:r>
        <w:rPr>
          <w:rFonts w:ascii="Arial" w:cs="Arial" w:eastAsia="Arial" w:hAnsi="Arial"/>
          <w:sz w:val="27"/>
          <w:szCs w:val="27"/>
          <w:color w:val="auto"/>
        </w:rPr>
        <w:t>(</w:t>
      </w:r>
      <w:r>
        <w:rPr>
          <w:rFonts w:ascii="Arial" w:cs="Arial" w:eastAsia="Arial" w:hAnsi="Arial"/>
          <w:sz w:val="27"/>
          <w:szCs w:val="27"/>
          <w:color w:val="auto"/>
        </w:rPr>
        <w:t>ОХС</w:t>
      </w:r>
      <w:r>
        <w:rPr>
          <w:rFonts w:ascii="Arial" w:cs="Arial" w:eastAsia="Arial" w:hAnsi="Arial"/>
          <w:sz w:val="27"/>
          <w:szCs w:val="27"/>
          <w:color w:val="auto"/>
        </w:rPr>
        <w:t>),</w:t>
      </w:r>
      <w:r>
        <w:rPr>
          <w:rFonts w:ascii="Arial" w:cs="Arial" w:eastAsia="Arial" w:hAnsi="Arial"/>
          <w:sz w:val="27"/>
          <w:szCs w:val="27"/>
          <w:color w:val="auto"/>
        </w:rPr>
        <w:t xml:space="preserve"> холестерина липопротеинов высокой плотности </w:t>
      </w:r>
      <w:r>
        <w:rPr>
          <w:rFonts w:ascii="Arial" w:cs="Arial" w:eastAsia="Arial" w:hAnsi="Arial"/>
          <w:sz w:val="27"/>
          <w:szCs w:val="27"/>
          <w:color w:val="auto"/>
        </w:rPr>
        <w:t>(</w:t>
      </w:r>
      <w:r>
        <w:rPr>
          <w:rFonts w:ascii="Arial" w:cs="Arial" w:eastAsia="Arial" w:hAnsi="Arial"/>
          <w:sz w:val="27"/>
          <w:szCs w:val="27"/>
          <w:color w:val="auto"/>
        </w:rPr>
        <w:t>ХС</w:t>
      </w:r>
      <w:r>
        <w:rPr>
          <w:rFonts w:ascii="Arial" w:cs="Arial" w:eastAsia="Arial" w:hAnsi="Arial"/>
          <w:sz w:val="27"/>
          <w:szCs w:val="27"/>
          <w:color w:val="auto"/>
        </w:rPr>
        <w:t>-</w:t>
      </w:r>
      <w:r>
        <w:rPr>
          <w:rFonts w:ascii="Arial" w:cs="Arial" w:eastAsia="Arial" w:hAnsi="Arial"/>
          <w:sz w:val="27"/>
          <w:szCs w:val="27"/>
          <w:color w:val="auto"/>
        </w:rPr>
        <w:t>ЛВП</w:t>
      </w:r>
      <w:r>
        <w:rPr>
          <w:rFonts w:ascii="Arial" w:cs="Arial" w:eastAsia="Arial" w:hAnsi="Arial"/>
          <w:sz w:val="27"/>
          <w:szCs w:val="27"/>
          <w:color w:val="auto"/>
        </w:rPr>
        <w:t>),</w:t>
      </w:r>
      <w:r>
        <w:rPr>
          <w:rFonts w:ascii="Arial" w:cs="Arial" w:eastAsia="Arial" w:hAnsi="Arial"/>
          <w:sz w:val="27"/>
          <w:szCs w:val="27"/>
          <w:color w:val="auto"/>
        </w:rPr>
        <w:t xml:space="preserve"> холестерина липопротеинов низкой плотности </w:t>
      </w:r>
      <w:r>
        <w:rPr>
          <w:rFonts w:ascii="Arial" w:cs="Arial" w:eastAsia="Arial" w:hAnsi="Arial"/>
          <w:sz w:val="27"/>
          <w:szCs w:val="27"/>
          <w:color w:val="auto"/>
        </w:rPr>
        <w:t>(</w:t>
      </w:r>
      <w:r>
        <w:rPr>
          <w:rFonts w:ascii="Arial" w:cs="Arial" w:eastAsia="Arial" w:hAnsi="Arial"/>
          <w:sz w:val="27"/>
          <w:szCs w:val="27"/>
          <w:color w:val="auto"/>
        </w:rPr>
        <w:t>ХС</w:t>
      </w:r>
      <w:r>
        <w:rPr>
          <w:rFonts w:ascii="Arial" w:cs="Arial" w:eastAsia="Arial" w:hAnsi="Arial"/>
          <w:sz w:val="27"/>
          <w:szCs w:val="27"/>
          <w:color w:val="auto"/>
        </w:rPr>
        <w:t>-</w:t>
      </w:r>
      <w:r>
        <w:rPr>
          <w:rFonts w:ascii="Arial" w:cs="Arial" w:eastAsia="Arial" w:hAnsi="Arial"/>
          <w:sz w:val="27"/>
          <w:szCs w:val="27"/>
          <w:color w:val="auto"/>
        </w:rPr>
        <w:t>ЛНП</w:t>
      </w:r>
      <w:r>
        <w:rPr>
          <w:rFonts w:ascii="Arial" w:cs="Arial" w:eastAsia="Arial" w:hAnsi="Arial"/>
          <w:sz w:val="27"/>
          <w:szCs w:val="27"/>
          <w:color w:val="auto"/>
        </w:rPr>
        <w:t>) (</w:t>
      </w:r>
      <w:r>
        <w:rPr>
          <w:rFonts w:ascii="Arial" w:cs="Arial" w:eastAsia="Arial" w:hAnsi="Arial"/>
          <w:sz w:val="27"/>
          <w:szCs w:val="27"/>
          <w:color w:val="auto"/>
        </w:rPr>
        <w:t>прямое измерение или расчетно</w:t>
      </w:r>
      <w:r>
        <w:rPr>
          <w:rFonts w:ascii="Arial" w:cs="Arial" w:eastAsia="Arial" w:hAnsi="Arial"/>
          <w:sz w:val="27"/>
          <w:szCs w:val="27"/>
          <w:color w:val="auto"/>
        </w:rPr>
        <w:t>)</w:t>
      </w:r>
      <w:r>
        <w:rPr>
          <w:rFonts w:ascii="Arial" w:cs="Arial" w:eastAsia="Arial" w:hAnsi="Arial"/>
          <w:sz w:val="27"/>
          <w:szCs w:val="27"/>
          <w:color w:val="auto"/>
        </w:rPr>
        <w:t xml:space="preserve"> и триглицеридов </w:t>
      </w:r>
      <w:r>
        <w:rPr>
          <w:rFonts w:ascii="Arial" w:cs="Arial" w:eastAsia="Arial" w:hAnsi="Arial"/>
          <w:sz w:val="27"/>
          <w:szCs w:val="27"/>
          <w:color w:val="auto"/>
        </w:rPr>
        <w:t>(</w:t>
      </w:r>
      <w:r>
        <w:rPr>
          <w:rFonts w:ascii="Arial" w:cs="Arial" w:eastAsia="Arial" w:hAnsi="Arial"/>
          <w:sz w:val="27"/>
          <w:szCs w:val="27"/>
          <w:color w:val="auto"/>
        </w:rPr>
        <w:t>ТГ</w:t>
      </w:r>
      <w:r>
        <w:rPr>
          <w:rFonts w:ascii="Arial" w:cs="Arial" w:eastAsia="Arial" w:hAnsi="Arial"/>
          <w:sz w:val="27"/>
          <w:szCs w:val="27"/>
          <w:color w:val="auto"/>
        </w:rPr>
        <w:t>)</w:t>
      </w:r>
      <w:r>
        <w:rPr>
          <w:rFonts w:ascii="Arial" w:cs="Arial" w:eastAsia="Arial" w:hAnsi="Arial"/>
          <w:sz w:val="27"/>
          <w:szCs w:val="27"/>
          <w:color w:val="auto"/>
        </w:rPr>
        <w:t xml:space="preserve"> в крови </w:t>
      </w:r>
      <w:r>
        <w:rPr>
          <w:rFonts w:ascii="Arial" w:cs="Arial" w:eastAsia="Arial" w:hAnsi="Arial"/>
          <w:sz w:val="27"/>
          <w:szCs w:val="27"/>
          <w:color w:val="auto"/>
        </w:rPr>
        <w:t>[21, 67, 68].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Выполняется у всех пациентов с АГ для</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 xml:space="preserve">стратификации риска </w:t>
      </w:r>
      <w:r>
        <w:rPr>
          <w:rFonts w:ascii="Arial" w:cs="Arial" w:eastAsia="Arial" w:hAnsi="Arial"/>
          <w:sz w:val="23"/>
          <w:szCs w:val="23"/>
          <w:b w:val="1"/>
          <w:bCs w:val="1"/>
          <w:i w:val="1"/>
          <w:iCs w:val="1"/>
          <w:color w:val="auto"/>
        </w:rPr>
        <w:t>[67, 68],</w:t>
      </w:r>
      <w:r>
        <w:rPr>
          <w:rFonts w:ascii="Arial" w:cs="Arial" w:eastAsia="Arial" w:hAnsi="Arial"/>
          <w:sz w:val="23"/>
          <w:szCs w:val="23"/>
          <w:b w:val="1"/>
          <w:bCs w:val="1"/>
          <w:i w:val="1"/>
          <w:iCs w:val="1"/>
          <w:color w:val="auto"/>
        </w:rPr>
        <w:t xml:space="preserve"> а также в связи с высокой распространенностью дислипидемии в популяции пациентов с АГ</w:t>
      </w:r>
    </w:p>
    <w:p>
      <w:pPr>
        <w:ind w:left="680" w:right="220" w:hanging="4"/>
        <w:spacing w:after="0" w:line="334" w:lineRule="auto"/>
        <w:tabs>
          <w:tab w:leader="none" w:pos="894" w:val="left"/>
        </w:tabs>
        <w:numPr>
          <w:ilvl w:val="0"/>
          <w:numId w:val="16"/>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положительным эффектом коррекции дислипидемии на СС риск у пациентов с АГ </w:t>
      </w:r>
      <w:r>
        <w:rPr>
          <w:rFonts w:ascii="Arial" w:cs="Arial" w:eastAsia="Arial" w:hAnsi="Arial"/>
          <w:sz w:val="27"/>
          <w:szCs w:val="27"/>
          <w:b w:val="1"/>
          <w:bCs w:val="1"/>
          <w:i w:val="1"/>
          <w:iCs w:val="1"/>
          <w:color w:val="auto"/>
        </w:rPr>
        <w:t>[21, 22].</w:t>
      </w:r>
    </w:p>
    <w:p>
      <w:pPr>
        <w:spacing w:after="0" w:line="18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АГ для выявления электролитных нарушений и дифференциального диагноза с вторичной АГ рекомендуется исследование уровня калия и натрия в крови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Выполняется у всех пациентов с АГ для</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выявления электролитных нарушений в связи с доказанной взаимосвязью между уровнем калия и натрия сыворотки крови и уровнем АД </w:t>
      </w:r>
      <w:r>
        <w:rPr>
          <w:rFonts w:ascii="Arial" w:cs="Arial" w:eastAsia="Arial" w:hAnsi="Arial"/>
          <w:sz w:val="27"/>
          <w:szCs w:val="27"/>
          <w:b w:val="1"/>
          <w:bCs w:val="1"/>
          <w:i w:val="1"/>
          <w:iCs w:val="1"/>
          <w:color w:val="auto"/>
        </w:rPr>
        <w:t>[69, 70].</w:t>
      </w:r>
    </w:p>
    <w:p>
      <w:pPr>
        <w:spacing w:after="0" w:line="21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АГ для выявления гиперурикемии рекомендуется исследование уровня мочевой кислоты в крови </w:t>
      </w:r>
      <w:r>
        <w:rPr>
          <w:rFonts w:ascii="Arial" w:cs="Arial" w:eastAsia="Arial" w:hAnsi="Arial"/>
          <w:sz w:val="27"/>
          <w:szCs w:val="27"/>
          <w:color w:val="auto"/>
        </w:rPr>
        <w:t>[71].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74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Выполняется у всех пациентов с АГ в связи с</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тем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что уровень мочевой кислоты является значимым прогностическим фактором при АГ</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 также наличием доказанной связи между гиперурикемией и повышением сердечно</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сосудистой смертности </w:t>
      </w:r>
      <w:r>
        <w:rPr>
          <w:rFonts w:ascii="Arial" w:cs="Arial" w:eastAsia="Arial" w:hAnsi="Arial"/>
          <w:sz w:val="27"/>
          <w:szCs w:val="27"/>
          <w:b w:val="1"/>
          <w:bCs w:val="1"/>
          <w:i w:val="1"/>
          <w:iCs w:val="1"/>
          <w:color w:val="auto"/>
        </w:rPr>
        <w:t>[71-73].</w:t>
      </w:r>
    </w:p>
    <w:p>
      <w:pPr>
        <w:spacing w:after="0" w:line="200" w:lineRule="exact"/>
        <w:rPr>
          <w:sz w:val="20"/>
          <w:szCs w:val="20"/>
          <w:color w:val="auto"/>
        </w:rPr>
      </w:pPr>
    </w:p>
    <w:p>
      <w:pPr>
        <w:spacing w:after="0" w:line="200" w:lineRule="exact"/>
        <w:rPr>
          <w:sz w:val="20"/>
          <w:szCs w:val="20"/>
          <w:color w:val="auto"/>
        </w:rPr>
      </w:pPr>
    </w:p>
    <w:p>
      <w:pPr>
        <w:spacing w:after="0" w:line="225"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2.8. </w:t>
      </w:r>
      <w:r>
        <w:rPr>
          <w:rFonts w:ascii="Arial" w:cs="Arial" w:eastAsia="Arial" w:hAnsi="Arial"/>
          <w:sz w:val="33"/>
          <w:szCs w:val="33"/>
          <w:b w:val="1"/>
          <w:bCs w:val="1"/>
          <w:color w:val="auto"/>
        </w:rPr>
        <w:t>Инструментальная диагностика</w:t>
      </w:r>
    </w:p>
    <w:p>
      <w:pPr>
        <w:sectPr>
          <w:pgSz w:w="11900" w:h="16919" w:orient="portrait"/>
          <w:cols w:equalWidth="0" w:num="1">
            <w:col w:w="9020"/>
          </w:cols>
          <w:pgMar w:left="1440" w:top="19" w:right="1440" w:bottom="0" w:gutter="0" w:footer="0" w:header="0"/>
        </w:sectPr>
      </w:pP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94" w:lineRule="auto"/>
        <w:rPr>
          <w:sz w:val="20"/>
          <w:szCs w:val="20"/>
          <w:color w:val="auto"/>
        </w:rPr>
      </w:pPr>
      <w:r>
        <w:rPr>
          <w:rFonts w:ascii="Arial" w:cs="Arial" w:eastAsia="Arial" w:hAnsi="Arial"/>
          <w:sz w:val="23"/>
          <w:szCs w:val="23"/>
          <w:b w:val="1"/>
          <w:bCs w:val="1"/>
          <w:i w:val="1"/>
          <w:iCs w:val="1"/>
          <w:color w:val="auto"/>
        </w:rPr>
        <w:t>Проведение инструментальных методов диагностики является необходимым для исключения вторичных форм АГ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выявления поражения органов</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мишеней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оценки сердечно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сосудистого риска</w:t>
      </w:r>
      <w:r>
        <w:rPr>
          <w:rFonts w:ascii="Arial" w:cs="Arial" w:eastAsia="Arial" w:hAnsi="Arial"/>
          <w:sz w:val="23"/>
          <w:szCs w:val="23"/>
          <w:b w:val="1"/>
          <w:bCs w:val="1"/>
          <w:i w:val="1"/>
          <w:iCs w:val="1"/>
          <w:color w:val="auto"/>
        </w:rPr>
        <w:t>,</w:t>
      </w:r>
    </w:p>
    <w:p>
      <w:pPr>
        <w:sectPr>
          <w:pgSz w:w="11900" w:h="16919" w:orient="portrait"/>
          <w:cols w:equalWidth="0" w:num="1">
            <w:col w:w="9020"/>
          </w:cols>
          <w:pgMar w:left="1440" w:top="19" w:right="1440" w:bottom="0" w:gutter="0" w:footer="0" w:header="0"/>
          <w:type w:val="continuous"/>
        </w:sectPr>
      </w:pPr>
    </w:p>
    <w:bookmarkStart w:id="34" w:name="page35"/>
    <w:bookmarkEnd w:id="34"/>
    <w:p>
      <w:pPr>
        <w:ind w:left="680" w:right="220" w:hanging="4"/>
        <w:spacing w:after="0" w:line="334" w:lineRule="auto"/>
        <w:tabs>
          <w:tab w:leader="none" w:pos="1039" w:val="left"/>
        </w:tabs>
        <w:numPr>
          <w:ilvl w:val="0"/>
          <w:numId w:val="17"/>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сопутствующей патологии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влияющей на эффективность лечения и качество жизни пациента</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АГ для выявления ГЛЖ и определения СС риска рекомендуется проведение </w:t>
      </w:r>
      <w:r>
        <w:rPr>
          <w:rFonts w:ascii="Arial" w:cs="Arial" w:eastAsia="Arial" w:hAnsi="Arial"/>
          <w:sz w:val="27"/>
          <w:szCs w:val="27"/>
          <w:color w:val="auto"/>
        </w:rPr>
        <w:t>12-</w:t>
      </w:r>
      <w:r>
        <w:rPr>
          <w:rFonts w:ascii="Arial" w:cs="Arial" w:eastAsia="Arial" w:hAnsi="Arial"/>
          <w:sz w:val="27"/>
          <w:szCs w:val="27"/>
          <w:color w:val="auto"/>
        </w:rPr>
        <w:t xml:space="preserve">канальной ЭКГ </w:t>
      </w:r>
      <w:r>
        <w:rPr>
          <w:rFonts w:ascii="Arial" w:cs="Arial" w:eastAsia="Arial" w:hAnsi="Arial"/>
          <w:sz w:val="27"/>
          <w:szCs w:val="27"/>
          <w:color w:val="auto"/>
        </w:rPr>
        <w:t>[21, 22, 78,</w:t>
      </w:r>
      <w:r>
        <w:rPr>
          <w:rFonts w:ascii="Arial" w:cs="Arial" w:eastAsia="Arial" w:hAnsi="Arial"/>
          <w:sz w:val="27"/>
          <w:szCs w:val="27"/>
          <w:color w:val="auto"/>
        </w:rPr>
        <w:t xml:space="preserve"> </w:t>
      </w:r>
      <w:r>
        <w:rPr>
          <w:rFonts w:ascii="Arial" w:cs="Arial" w:eastAsia="Arial" w:hAnsi="Arial"/>
          <w:sz w:val="27"/>
          <w:szCs w:val="27"/>
          <w:color w:val="auto"/>
        </w:rPr>
        <w:t>297].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Выполняется у всех пациентов с АГ для</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 xml:space="preserve">выявления гипертрофии левого желудочка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ГЛЖ</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определения сердечно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сосудистого риска </w:t>
      </w:r>
      <w:r>
        <w:rPr>
          <w:rFonts w:ascii="Arial" w:cs="Arial" w:eastAsia="Arial" w:hAnsi="Arial"/>
          <w:sz w:val="24"/>
          <w:szCs w:val="24"/>
          <w:b w:val="1"/>
          <w:bCs w:val="1"/>
          <w:i w:val="1"/>
          <w:iCs w:val="1"/>
          <w:color w:val="auto"/>
        </w:rPr>
        <w:t>[74–84].</w:t>
      </w:r>
      <w:r>
        <w:rPr>
          <w:rFonts w:ascii="Arial" w:cs="Arial" w:eastAsia="Arial" w:hAnsi="Arial"/>
          <w:sz w:val="24"/>
          <w:szCs w:val="24"/>
          <w:b w:val="1"/>
          <w:bCs w:val="1"/>
          <w:i w:val="1"/>
          <w:iCs w:val="1"/>
          <w:color w:val="auto"/>
        </w:rPr>
        <w:t xml:space="preserve"> ГЛЖ характеризуют индекс Соколова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Лайона </w:t>
      </w:r>
      <w:r>
        <w:rPr>
          <w:rFonts w:ascii="Arial" w:cs="Arial" w:eastAsia="Arial" w:hAnsi="Arial"/>
          <w:sz w:val="24"/>
          <w:szCs w:val="24"/>
          <w:b w:val="1"/>
          <w:bCs w:val="1"/>
          <w:i w:val="1"/>
          <w:iCs w:val="1"/>
          <w:color w:val="auto"/>
        </w:rPr>
        <w:t>(SV1+RV5-6 &gt;35</w:t>
      </w:r>
      <w:r>
        <w:rPr>
          <w:rFonts w:ascii="Arial" w:cs="Arial" w:eastAsia="Arial" w:hAnsi="Arial"/>
          <w:sz w:val="24"/>
          <w:szCs w:val="24"/>
          <w:b w:val="1"/>
          <w:bCs w:val="1"/>
          <w:i w:val="1"/>
          <w:iCs w:val="1"/>
          <w:color w:val="auto"/>
        </w:rPr>
        <w:t xml:space="preserve"> мм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амплитуда зубца </w:t>
      </w:r>
      <w:r>
        <w:rPr>
          <w:rFonts w:ascii="Arial" w:cs="Arial" w:eastAsia="Arial" w:hAnsi="Arial"/>
          <w:sz w:val="24"/>
          <w:szCs w:val="24"/>
          <w:b w:val="1"/>
          <w:bCs w:val="1"/>
          <w:i w:val="1"/>
          <w:iCs w:val="1"/>
          <w:color w:val="auto"/>
        </w:rPr>
        <w:t>R</w:t>
      </w:r>
      <w:r>
        <w:rPr>
          <w:rFonts w:ascii="Arial" w:cs="Arial" w:eastAsia="Arial" w:hAnsi="Arial"/>
          <w:sz w:val="24"/>
          <w:szCs w:val="24"/>
          <w:b w:val="1"/>
          <w:bCs w:val="1"/>
          <w:i w:val="1"/>
          <w:iCs w:val="1"/>
          <w:color w:val="auto"/>
        </w:rPr>
        <w:t xml:space="preserve"> в Корнельский показатель </w:t>
      </w:r>
      <w:r>
        <w:rPr>
          <w:rFonts w:ascii="Arial" w:cs="Arial" w:eastAsia="Arial" w:hAnsi="Arial"/>
          <w:sz w:val="24"/>
          <w:szCs w:val="24"/>
          <w:b w:val="1"/>
          <w:bCs w:val="1"/>
          <w:i w:val="1"/>
          <w:iCs w:val="1"/>
          <w:color w:val="auto"/>
        </w:rPr>
        <w:t>(RaVL+SV3) &gt;20</w:t>
      </w:r>
      <w:r>
        <w:rPr>
          <w:rFonts w:ascii="Arial" w:cs="Arial" w:eastAsia="Arial" w:hAnsi="Arial"/>
          <w:sz w:val="24"/>
          <w:szCs w:val="24"/>
          <w:b w:val="1"/>
          <w:bCs w:val="1"/>
          <w:i w:val="1"/>
          <w:iCs w:val="1"/>
          <w:color w:val="auto"/>
        </w:rPr>
        <w:t xml:space="preserve"> мм для женщин</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 xml:space="preserve">(RAVL+SV3) &gt;28 </w:t>
      </w:r>
      <w:r>
        <w:rPr>
          <w:rFonts w:ascii="Arial" w:cs="Arial" w:eastAsia="Arial" w:hAnsi="Arial"/>
          <w:sz w:val="24"/>
          <w:szCs w:val="24"/>
          <w:b w:val="1"/>
          <w:bCs w:val="1"/>
          <w:i w:val="1"/>
          <w:iCs w:val="1"/>
          <w:color w:val="auto"/>
        </w:rPr>
        <w:t>мм для мужчин</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Корнельское произведение</w:t>
      </w:r>
    </w:p>
    <w:p>
      <w:pPr>
        <w:spacing w:after="0" w:line="2" w:lineRule="exact"/>
        <w:rPr>
          <w:sz w:val="20"/>
          <w:szCs w:val="20"/>
          <w:color w:val="auto"/>
        </w:rPr>
      </w:pPr>
    </w:p>
    <w:p>
      <w:pPr>
        <w:jc w:val="both"/>
        <w:ind w:left="680" w:right="220"/>
        <w:spacing w:after="0" w:line="380" w:lineRule="auto"/>
        <w:rPr>
          <w:sz w:val="20"/>
          <w:szCs w:val="20"/>
          <w:color w:val="auto"/>
        </w:rPr>
      </w:pPr>
      <w:r>
        <w:rPr>
          <w:rFonts w:ascii="Arial" w:cs="Arial" w:eastAsia="Arial" w:hAnsi="Arial"/>
          <w:sz w:val="23"/>
          <w:szCs w:val="23"/>
          <w:b w:val="1"/>
          <w:bCs w:val="1"/>
          <w:i w:val="1"/>
          <w:iCs w:val="1"/>
          <w:color w:val="auto"/>
        </w:rPr>
        <w:t xml:space="preserve">(RAVL+SV5) </w:t>
      </w:r>
      <w:r>
        <w:rPr>
          <w:rFonts w:ascii="Arial" w:cs="Arial" w:eastAsia="Arial" w:hAnsi="Arial"/>
          <w:sz w:val="23"/>
          <w:szCs w:val="23"/>
          <w:b w:val="1"/>
          <w:bCs w:val="1"/>
          <w:i w:val="1"/>
          <w:iCs w:val="1"/>
          <w:color w:val="auto"/>
        </w:rPr>
        <w:t>мм х</w:t>
      </w:r>
      <w:r>
        <w:rPr>
          <w:rFonts w:ascii="Arial" w:cs="Arial" w:eastAsia="Arial" w:hAnsi="Arial"/>
          <w:sz w:val="23"/>
          <w:szCs w:val="23"/>
          <w:b w:val="1"/>
          <w:bCs w:val="1"/>
          <w:i w:val="1"/>
          <w:iCs w:val="1"/>
          <w:color w:val="auto"/>
        </w:rPr>
        <w:t xml:space="preserve"> QRS </w:t>
      </w:r>
      <w:r>
        <w:rPr>
          <w:rFonts w:ascii="Arial" w:cs="Arial" w:eastAsia="Arial" w:hAnsi="Arial"/>
          <w:sz w:val="23"/>
          <w:szCs w:val="23"/>
          <w:b w:val="1"/>
          <w:bCs w:val="1"/>
          <w:i w:val="1"/>
          <w:iCs w:val="1"/>
          <w:color w:val="auto"/>
        </w:rPr>
        <w:t>мс</w:t>
      </w:r>
      <w:r>
        <w:rPr>
          <w:rFonts w:ascii="Arial" w:cs="Arial" w:eastAsia="Arial" w:hAnsi="Arial"/>
          <w:sz w:val="23"/>
          <w:szCs w:val="23"/>
          <w:b w:val="1"/>
          <w:bCs w:val="1"/>
          <w:i w:val="1"/>
          <w:iCs w:val="1"/>
          <w:color w:val="auto"/>
        </w:rPr>
        <w:t xml:space="preserve">&gt; 2440 </w:t>
      </w:r>
      <w:r>
        <w:rPr>
          <w:rFonts w:ascii="Arial" w:cs="Arial" w:eastAsia="Arial" w:hAnsi="Arial"/>
          <w:sz w:val="23"/>
          <w:szCs w:val="23"/>
          <w:b w:val="1"/>
          <w:bCs w:val="1"/>
          <w:i w:val="1"/>
          <w:iCs w:val="1"/>
          <w:color w:val="auto"/>
        </w:rPr>
        <w:t>мм х мс</w:t>
      </w:r>
      <w:r>
        <w:rPr>
          <w:rFonts w:ascii="Arial" w:cs="Arial" w:eastAsia="Arial" w:hAnsi="Arial"/>
          <w:sz w:val="23"/>
          <w:szCs w:val="23"/>
          <w:b w:val="1"/>
          <w:bCs w:val="1"/>
          <w:i w:val="1"/>
          <w:iCs w:val="1"/>
          <w:color w:val="auto"/>
        </w:rPr>
        <w:t xml:space="preserve"> [21, 22]. </w:t>
      </w:r>
      <w:r>
        <w:rPr>
          <w:rFonts w:ascii="Arial" w:cs="Arial" w:eastAsia="Arial" w:hAnsi="Arial"/>
          <w:sz w:val="23"/>
          <w:szCs w:val="23"/>
          <w:b w:val="1"/>
          <w:bCs w:val="1"/>
          <w:i w:val="1"/>
          <w:iCs w:val="1"/>
          <w:color w:val="auto"/>
        </w:rPr>
        <w:t>Несмотря на то</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 xml:space="preserve">что ЭКГ является менее чувствительным методом диагностики ГЛЖ по сравнению с ЭхоКГ </w:t>
      </w:r>
      <w:r>
        <w:rPr>
          <w:rFonts w:ascii="Arial" w:cs="Arial" w:eastAsia="Arial" w:hAnsi="Arial"/>
          <w:sz w:val="23"/>
          <w:szCs w:val="23"/>
          <w:b w:val="1"/>
          <w:bCs w:val="1"/>
          <w:i w:val="1"/>
          <w:iCs w:val="1"/>
          <w:color w:val="auto"/>
        </w:rPr>
        <w:t>[80, 82, 84],</w:t>
      </w:r>
      <w:r>
        <w:rPr>
          <w:rFonts w:ascii="Arial" w:cs="Arial" w:eastAsia="Arial" w:hAnsi="Arial"/>
          <w:sz w:val="23"/>
          <w:szCs w:val="23"/>
          <w:b w:val="1"/>
          <w:bCs w:val="1"/>
          <w:i w:val="1"/>
          <w:iCs w:val="1"/>
          <w:color w:val="auto"/>
        </w:rPr>
        <w:t xml:space="preserve"> она незаменима для документирования сердечного ритма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ЧСС и выявления аритмий</w:t>
      </w:r>
      <w:r>
        <w:rPr>
          <w:rFonts w:ascii="Arial" w:cs="Arial" w:eastAsia="Arial" w:hAnsi="Arial"/>
          <w:sz w:val="23"/>
          <w:szCs w:val="23"/>
          <w:b w:val="1"/>
          <w:bCs w:val="1"/>
          <w:i w:val="1"/>
          <w:iCs w:val="1"/>
          <w:color w:val="auto"/>
        </w:rPr>
        <w:t>.</w:t>
      </w:r>
    </w:p>
    <w:p>
      <w:pPr>
        <w:spacing w:after="0" w:line="15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Пациентам с АГ при наличии изменений на ЭКГ или симптомов</w:t>
      </w:r>
      <w:r>
        <w:rPr>
          <w:rFonts w:ascii="Arial" w:cs="Arial" w:eastAsia="Arial" w:hAnsi="Arial"/>
          <w:sz w:val="27"/>
          <w:szCs w:val="27"/>
          <w:color w:val="auto"/>
        </w:rPr>
        <w:t>/</w:t>
      </w:r>
      <w:r>
        <w:rPr>
          <w:rFonts w:ascii="Arial" w:cs="Arial" w:eastAsia="Arial" w:hAnsi="Arial"/>
          <w:sz w:val="27"/>
          <w:szCs w:val="27"/>
          <w:color w:val="auto"/>
        </w:rPr>
        <w:t xml:space="preserve">признаков дисфункции левого желудочка рекомендуется проведение ЭхоКГ для выявления степени ГЛЖ </w:t>
      </w:r>
      <w:r>
        <w:rPr>
          <w:rFonts w:ascii="Arial" w:cs="Arial" w:eastAsia="Arial" w:hAnsi="Arial"/>
          <w:sz w:val="27"/>
          <w:szCs w:val="27"/>
          <w:color w:val="auto"/>
        </w:rPr>
        <w:t>[21, 22, 81].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В таблице П</w:t>
      </w:r>
      <w:r>
        <w:rPr>
          <w:rFonts w:ascii="Arial" w:cs="Arial" w:eastAsia="Arial" w:hAnsi="Arial"/>
          <w:sz w:val="27"/>
          <w:szCs w:val="27"/>
          <w:b w:val="1"/>
          <w:bCs w:val="1"/>
          <w:i w:val="1"/>
          <w:iCs w:val="1"/>
          <w:color w:val="auto"/>
        </w:rPr>
        <w:t>6 (</w:t>
      </w:r>
      <w:r>
        <w:rPr>
          <w:rFonts w:ascii="Arial" w:cs="Arial" w:eastAsia="Arial" w:hAnsi="Arial"/>
          <w:sz w:val="27"/>
          <w:szCs w:val="27"/>
          <w:b w:val="1"/>
          <w:bCs w:val="1"/>
          <w:i w:val="1"/>
          <w:iCs w:val="1"/>
          <w:color w:val="auto"/>
        </w:rPr>
        <w:t>Приложение Г</w:t>
      </w:r>
      <w:r>
        <w:rPr>
          <w:rFonts w:ascii="Arial" w:cs="Arial" w:eastAsia="Arial" w:hAnsi="Arial"/>
          <w:sz w:val="27"/>
          <w:szCs w:val="27"/>
          <w:b w:val="1"/>
          <w:bCs w:val="1"/>
          <w:i w:val="1"/>
          <w:iCs w:val="1"/>
          <w:color w:val="auto"/>
        </w:rPr>
        <w:t>2)</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приведены</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эхокардиографические критерии для диагностики изменений левых отделов сердца </w:t>
      </w:r>
      <w:r>
        <w:rPr>
          <w:rFonts w:ascii="Arial" w:cs="Arial" w:eastAsia="Arial" w:hAnsi="Arial"/>
          <w:sz w:val="27"/>
          <w:szCs w:val="27"/>
          <w:b w:val="1"/>
          <w:bCs w:val="1"/>
          <w:i w:val="1"/>
          <w:iCs w:val="1"/>
          <w:color w:val="auto"/>
        </w:rPr>
        <w:t>[85].</w:t>
      </w:r>
    </w:p>
    <w:p>
      <w:pPr>
        <w:spacing w:after="0" w:line="210"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Пациентам с АГ в сочетании с ЦВБ или признаками атеросклеротического поражения сосудов других локализаций</w:t>
      </w:r>
      <w:r>
        <w:rPr>
          <w:rFonts w:ascii="Arial" w:cs="Arial" w:eastAsia="Arial" w:hAnsi="Arial"/>
          <w:sz w:val="27"/>
          <w:szCs w:val="27"/>
          <w:color w:val="auto"/>
        </w:rPr>
        <w:t>,</w:t>
      </w:r>
      <w:r>
        <w:rPr>
          <w:rFonts w:ascii="Arial" w:cs="Arial" w:eastAsia="Arial" w:hAnsi="Arial"/>
          <w:sz w:val="27"/>
          <w:szCs w:val="27"/>
          <w:color w:val="auto"/>
        </w:rPr>
        <w:t xml:space="preserve"> при указании в анамнезе на преходящую слабость в конечностях с одной стороны или онемение половины тела</w:t>
      </w:r>
      <w:r>
        <w:rPr>
          <w:rFonts w:ascii="Arial" w:cs="Arial" w:eastAsia="Arial" w:hAnsi="Arial"/>
          <w:sz w:val="27"/>
          <w:szCs w:val="27"/>
          <w:color w:val="auto"/>
        </w:rPr>
        <w:t>,</w:t>
      </w:r>
      <w:r>
        <w:rPr>
          <w:rFonts w:ascii="Arial" w:cs="Arial" w:eastAsia="Arial" w:hAnsi="Arial"/>
          <w:sz w:val="27"/>
          <w:szCs w:val="27"/>
          <w:color w:val="auto"/>
        </w:rPr>
        <w:t xml:space="preserve"> а также мужчинам старше </w:t>
      </w:r>
      <w:r>
        <w:rPr>
          <w:rFonts w:ascii="Arial" w:cs="Arial" w:eastAsia="Arial" w:hAnsi="Arial"/>
          <w:sz w:val="27"/>
          <w:szCs w:val="27"/>
          <w:color w:val="auto"/>
        </w:rPr>
        <w:t>40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женщинам старше </w:t>
      </w:r>
      <w:r>
        <w:rPr>
          <w:rFonts w:ascii="Arial" w:cs="Arial" w:eastAsia="Arial" w:hAnsi="Arial"/>
          <w:sz w:val="27"/>
          <w:szCs w:val="27"/>
          <w:color w:val="auto"/>
        </w:rPr>
        <w:t>50</w:t>
      </w:r>
      <w:r>
        <w:rPr>
          <w:rFonts w:ascii="Arial" w:cs="Arial" w:eastAsia="Arial" w:hAnsi="Arial"/>
          <w:sz w:val="27"/>
          <w:szCs w:val="27"/>
          <w:color w:val="auto"/>
        </w:rPr>
        <w:t xml:space="preserve"> лет и пациентам с высоким общим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сосудистым риском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 xml:space="preserve">12, </w:t>
      </w:r>
      <w:r>
        <w:rPr>
          <w:rFonts w:ascii="Arial" w:cs="Arial" w:eastAsia="Arial" w:hAnsi="Arial"/>
          <w:sz w:val="27"/>
          <w:szCs w:val="27"/>
          <w:color w:val="auto"/>
        </w:rPr>
        <w:t>Приложение Г</w:t>
      </w:r>
      <w:r>
        <w:rPr>
          <w:rFonts w:ascii="Arial" w:cs="Arial" w:eastAsia="Arial" w:hAnsi="Arial"/>
          <w:sz w:val="27"/>
          <w:szCs w:val="27"/>
          <w:color w:val="auto"/>
        </w:rPr>
        <w:t xml:space="preserve">2) </w:t>
      </w:r>
      <w:r>
        <w:rPr>
          <w:rFonts w:ascii="Arial" w:cs="Arial" w:eastAsia="Arial" w:hAnsi="Arial"/>
          <w:sz w:val="27"/>
          <w:szCs w:val="27"/>
          <w:color w:val="auto"/>
        </w:rPr>
        <w:t>рекомендуется дуплексное</w:t>
      </w:r>
      <w:r>
        <w:rPr>
          <w:rFonts w:ascii="Arial" w:cs="Arial" w:eastAsia="Arial" w:hAnsi="Arial"/>
          <w:sz w:val="27"/>
          <w:szCs w:val="27"/>
          <w:color w:val="auto"/>
        </w:rPr>
        <w:t xml:space="preserve"> </w:t>
      </w:r>
      <w:r>
        <w:rPr>
          <w:rFonts w:ascii="Arial" w:cs="Arial" w:eastAsia="Arial" w:hAnsi="Arial"/>
          <w:sz w:val="27"/>
          <w:szCs w:val="27"/>
          <w:color w:val="auto"/>
        </w:rPr>
        <w:t>сканирование брахиоцефальных артерий для выявления атеросклеротических бляшек</w:t>
      </w:r>
      <w:r>
        <w:rPr>
          <w:rFonts w:ascii="Arial" w:cs="Arial" w:eastAsia="Arial" w:hAnsi="Arial"/>
          <w:sz w:val="27"/>
          <w:szCs w:val="27"/>
          <w:color w:val="auto"/>
        </w:rPr>
        <w:t>/</w:t>
      </w:r>
      <w:r>
        <w:rPr>
          <w:rFonts w:ascii="Arial" w:cs="Arial" w:eastAsia="Arial" w:hAnsi="Arial"/>
          <w:sz w:val="27"/>
          <w:szCs w:val="27"/>
          <w:color w:val="auto"/>
        </w:rPr>
        <w:t xml:space="preserve">стенозов внутренних сонных артерий </w:t>
      </w:r>
      <w:r>
        <w:rPr>
          <w:rFonts w:ascii="Arial" w:cs="Arial" w:eastAsia="Arial" w:hAnsi="Arial"/>
          <w:sz w:val="27"/>
          <w:szCs w:val="27"/>
          <w:color w:val="auto"/>
        </w:rPr>
        <w:t>[21, 298].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-2425065</wp:posOffset>
            </wp:positionV>
            <wp:extent cx="82550" cy="8255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840" w:orient="portrait"/>
          <w:cols w:equalWidth="0" w:num="1">
            <w:col w:w="9020"/>
          </w:cols>
          <w:pgMar w:left="1440" w:top="19" w:right="1440" w:bottom="519" w:gutter="0" w:footer="0" w:header="0"/>
        </w:sectPr>
      </w:pPr>
    </w:p>
    <w:bookmarkStart w:id="35" w:name="page36"/>
    <w:bookmarkEnd w:id="35"/>
    <w:p>
      <w:pPr>
        <w:spacing w:after="0" w:line="36" w:lineRule="exact"/>
        <w:rPr>
          <w:sz w:val="20"/>
          <w:szCs w:val="20"/>
          <w:color w:val="auto"/>
        </w:rPr>
      </w:pPr>
    </w:p>
    <w:p>
      <w:pPr>
        <w:jc w:val="both"/>
        <w:ind w:left="680" w:right="220"/>
        <w:spacing w:after="0" w:line="343"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О наличии бляшки говорит толщина комплекса</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интима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медиа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КИМ</w:t>
      </w:r>
      <w:r>
        <w:rPr>
          <w:rFonts w:ascii="Arial" w:cs="Arial" w:eastAsia="Arial" w:hAnsi="Arial"/>
          <w:sz w:val="25"/>
          <w:szCs w:val="25"/>
          <w:b w:val="1"/>
          <w:bCs w:val="1"/>
          <w:i w:val="1"/>
          <w:iCs w:val="1"/>
          <w:color w:val="auto"/>
        </w:rPr>
        <w:t>)&gt;1,5</w:t>
      </w:r>
      <w:r>
        <w:rPr>
          <w:rFonts w:ascii="Arial" w:cs="Arial" w:eastAsia="Arial" w:hAnsi="Arial"/>
          <w:sz w:val="25"/>
          <w:szCs w:val="25"/>
          <w:b w:val="1"/>
          <w:bCs w:val="1"/>
          <w:i w:val="1"/>
          <w:iCs w:val="1"/>
          <w:color w:val="auto"/>
        </w:rPr>
        <w:t xml:space="preserve"> мм или локальное увеличение толщины на </w:t>
      </w:r>
      <w:r>
        <w:rPr>
          <w:rFonts w:ascii="Arial" w:cs="Arial" w:eastAsia="Arial" w:hAnsi="Arial"/>
          <w:sz w:val="25"/>
          <w:szCs w:val="25"/>
          <w:b w:val="1"/>
          <w:bCs w:val="1"/>
          <w:i w:val="1"/>
          <w:iCs w:val="1"/>
          <w:color w:val="auto"/>
        </w:rPr>
        <w:t>0,5</w:t>
      </w:r>
      <w:r>
        <w:rPr>
          <w:rFonts w:ascii="Arial" w:cs="Arial" w:eastAsia="Arial" w:hAnsi="Arial"/>
          <w:sz w:val="25"/>
          <w:szCs w:val="25"/>
          <w:b w:val="1"/>
          <w:bCs w:val="1"/>
          <w:i w:val="1"/>
          <w:iCs w:val="1"/>
          <w:color w:val="auto"/>
        </w:rPr>
        <w:t xml:space="preserve"> мм или на </w:t>
      </w:r>
      <w:r>
        <w:rPr>
          <w:rFonts w:ascii="Arial" w:cs="Arial" w:eastAsia="Arial" w:hAnsi="Arial"/>
          <w:sz w:val="25"/>
          <w:szCs w:val="25"/>
          <w:b w:val="1"/>
          <w:bCs w:val="1"/>
          <w:i w:val="1"/>
          <w:iCs w:val="1"/>
          <w:color w:val="auto"/>
        </w:rPr>
        <w:t>50%,</w:t>
      </w:r>
      <w:r>
        <w:rPr>
          <w:rFonts w:ascii="Arial" w:cs="Arial" w:eastAsia="Arial" w:hAnsi="Arial"/>
          <w:sz w:val="25"/>
          <w:szCs w:val="25"/>
          <w:b w:val="1"/>
          <w:bCs w:val="1"/>
          <w:i w:val="1"/>
          <w:iCs w:val="1"/>
          <w:color w:val="auto"/>
        </w:rPr>
        <w:t xml:space="preserve"> по сравнению со значением КИМ в прилежащих участках сонной артерии </w:t>
      </w:r>
      <w:r>
        <w:rPr>
          <w:rFonts w:ascii="Arial" w:cs="Arial" w:eastAsia="Arial" w:hAnsi="Arial"/>
          <w:sz w:val="25"/>
          <w:szCs w:val="25"/>
          <w:b w:val="1"/>
          <w:bCs w:val="1"/>
          <w:i w:val="1"/>
          <w:iCs w:val="1"/>
          <w:color w:val="auto"/>
        </w:rPr>
        <w:t>[21].</w:t>
      </w:r>
    </w:p>
    <w:p>
      <w:pPr>
        <w:spacing w:after="0" w:line="187"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Рекомендуется определение ЛПИ в целях уточнения категории риска пациентам с симптомами значимого атеросклероза артерий нижних конечностей или пациентам умеренного риска</w:t>
      </w:r>
      <w:r>
        <w:rPr>
          <w:rFonts w:ascii="Arial" w:cs="Arial" w:eastAsia="Arial" w:hAnsi="Arial"/>
          <w:sz w:val="27"/>
          <w:szCs w:val="27"/>
          <w:color w:val="auto"/>
        </w:rPr>
        <w:t>,</w:t>
      </w:r>
      <w:r>
        <w:rPr>
          <w:rFonts w:ascii="Arial" w:cs="Arial" w:eastAsia="Arial" w:hAnsi="Arial"/>
          <w:sz w:val="27"/>
          <w:szCs w:val="27"/>
          <w:color w:val="auto"/>
        </w:rPr>
        <w:t xml:space="preserve"> у которых положительные результаты данного исследованияприведут к изменению категории риска </w:t>
      </w:r>
      <w:r>
        <w:rPr>
          <w:rFonts w:ascii="Arial" w:cs="Arial" w:eastAsia="Arial" w:hAnsi="Arial"/>
          <w:sz w:val="27"/>
          <w:szCs w:val="27"/>
          <w:color w:val="auto"/>
        </w:rPr>
        <w:t>[86, 87].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Всем пациентам с нарушением функции почек</w:t>
      </w:r>
      <w:r>
        <w:rPr>
          <w:rFonts w:ascii="Arial" w:cs="Arial" w:eastAsia="Arial" w:hAnsi="Arial"/>
          <w:sz w:val="27"/>
          <w:szCs w:val="27"/>
          <w:color w:val="auto"/>
        </w:rPr>
        <w:t>,</w:t>
      </w:r>
      <w:r>
        <w:rPr>
          <w:rFonts w:ascii="Arial" w:cs="Arial" w:eastAsia="Arial" w:hAnsi="Arial"/>
          <w:sz w:val="27"/>
          <w:szCs w:val="27"/>
          <w:color w:val="auto"/>
        </w:rPr>
        <w:t xml:space="preserve"> альбуминурией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hanging="4"/>
        <w:spacing w:after="0" w:line="309" w:lineRule="auto"/>
        <w:tabs>
          <w:tab w:leader="none" w:pos="920" w:val="left"/>
        </w:tabs>
        <w:numPr>
          <w:ilvl w:val="0"/>
          <w:numId w:val="18"/>
        </w:numPr>
        <w:rPr>
          <w:rFonts w:ascii="Arial" w:cs="Arial" w:eastAsia="Arial" w:hAnsi="Arial"/>
          <w:sz w:val="27"/>
          <w:szCs w:val="27"/>
          <w:color w:val="auto"/>
        </w:rPr>
      </w:pPr>
      <w:r>
        <w:rPr>
          <w:rFonts w:ascii="Arial" w:cs="Arial" w:eastAsia="Arial" w:hAnsi="Arial"/>
          <w:sz w:val="27"/>
          <w:szCs w:val="27"/>
          <w:color w:val="auto"/>
        </w:rPr>
        <w:t xml:space="preserve">при подозрении на вторичную АГ рекомендуется проведение УЗИ </w:t>
      </w:r>
      <w:r>
        <w:rPr>
          <w:rFonts w:ascii="Arial" w:cs="Arial" w:eastAsia="Arial" w:hAnsi="Arial"/>
          <w:sz w:val="27"/>
          <w:szCs w:val="27"/>
          <w:color w:val="auto"/>
        </w:rPr>
        <w:t>(</w:t>
      </w:r>
      <w:r>
        <w:rPr>
          <w:rFonts w:ascii="Arial" w:cs="Arial" w:eastAsia="Arial" w:hAnsi="Arial"/>
          <w:sz w:val="27"/>
          <w:szCs w:val="27"/>
          <w:color w:val="auto"/>
        </w:rPr>
        <w:t>ультразвукового исследования</w:t>
      </w:r>
      <w:r>
        <w:rPr>
          <w:rFonts w:ascii="Arial" w:cs="Arial" w:eastAsia="Arial" w:hAnsi="Arial"/>
          <w:sz w:val="27"/>
          <w:szCs w:val="27"/>
          <w:color w:val="auto"/>
        </w:rPr>
        <w:t>)</w:t>
      </w:r>
      <w:r>
        <w:rPr>
          <w:rFonts w:ascii="Arial" w:cs="Arial" w:eastAsia="Arial" w:hAnsi="Arial"/>
          <w:sz w:val="27"/>
          <w:szCs w:val="27"/>
          <w:color w:val="auto"/>
        </w:rPr>
        <w:t xml:space="preserve"> почек и дуплексного сканирования артерий почек с целью оценки размеров</w:t>
      </w:r>
      <w:r>
        <w:rPr>
          <w:rFonts w:ascii="Arial" w:cs="Arial" w:eastAsia="Arial" w:hAnsi="Arial"/>
          <w:sz w:val="27"/>
          <w:szCs w:val="27"/>
          <w:color w:val="auto"/>
        </w:rPr>
        <w:t>,</w:t>
      </w:r>
      <w:r>
        <w:rPr>
          <w:rFonts w:ascii="Arial" w:cs="Arial" w:eastAsia="Arial" w:hAnsi="Arial"/>
          <w:sz w:val="27"/>
          <w:szCs w:val="27"/>
          <w:color w:val="auto"/>
        </w:rPr>
        <w:t xml:space="preserve"> структуры</w:t>
      </w:r>
      <w:r>
        <w:rPr>
          <w:rFonts w:ascii="Arial" w:cs="Arial" w:eastAsia="Arial" w:hAnsi="Arial"/>
          <w:sz w:val="27"/>
          <w:szCs w:val="27"/>
          <w:color w:val="auto"/>
        </w:rPr>
        <w:t>,</w:t>
      </w:r>
      <w:r>
        <w:rPr>
          <w:rFonts w:ascii="Arial" w:cs="Arial" w:eastAsia="Arial" w:hAnsi="Arial"/>
          <w:sz w:val="27"/>
          <w:szCs w:val="27"/>
          <w:color w:val="auto"/>
        </w:rPr>
        <w:t xml:space="preserve"> а также наличия врожденных аномалий почек или стеноза почечных артерий </w:t>
      </w:r>
      <w:r>
        <w:rPr>
          <w:rFonts w:ascii="Arial" w:cs="Arial" w:eastAsia="Arial" w:hAnsi="Arial"/>
          <w:sz w:val="27"/>
          <w:szCs w:val="27"/>
          <w:color w:val="auto"/>
        </w:rPr>
        <w:t>[60, 61, 64].</w:t>
      </w:r>
    </w:p>
    <w:p>
      <w:pPr>
        <w:spacing w:after="0" w:line="22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IIaC (</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с АГ </w:t>
      </w:r>
      <w:r>
        <w:rPr>
          <w:rFonts w:ascii="Arial" w:cs="Arial" w:eastAsia="Arial" w:hAnsi="Arial"/>
          <w:sz w:val="27"/>
          <w:szCs w:val="27"/>
          <w:color w:val="auto"/>
        </w:rPr>
        <w:t>2–3-</w:t>
      </w:r>
      <w:r>
        <w:rPr>
          <w:rFonts w:ascii="Arial" w:cs="Arial" w:eastAsia="Arial" w:hAnsi="Arial"/>
          <w:sz w:val="27"/>
          <w:szCs w:val="27"/>
          <w:color w:val="auto"/>
        </w:rPr>
        <w:t>й степеней</w:t>
      </w:r>
      <w:r>
        <w:rPr>
          <w:rFonts w:ascii="Arial" w:cs="Arial" w:eastAsia="Arial" w:hAnsi="Arial"/>
          <w:sz w:val="27"/>
          <w:szCs w:val="27"/>
          <w:color w:val="auto"/>
        </w:rPr>
        <w:t>,</w:t>
      </w:r>
      <w:r>
        <w:rPr>
          <w:rFonts w:ascii="Arial" w:cs="Arial" w:eastAsia="Arial" w:hAnsi="Arial"/>
          <w:sz w:val="27"/>
          <w:szCs w:val="27"/>
          <w:color w:val="auto"/>
        </w:rPr>
        <w:t xml:space="preserve"> всем пациентам с сахарным диабетом и АГ рекомендуется проводить исследование глазного дна врачом</w:t>
      </w:r>
      <w:r>
        <w:rPr>
          <w:rFonts w:ascii="Arial" w:cs="Arial" w:eastAsia="Arial" w:hAnsi="Arial"/>
          <w:sz w:val="27"/>
          <w:szCs w:val="27"/>
          <w:color w:val="auto"/>
        </w:rPr>
        <w:t>-</w:t>
      </w:r>
      <w:r>
        <w:rPr>
          <w:rFonts w:ascii="Arial" w:cs="Arial" w:eastAsia="Arial" w:hAnsi="Arial"/>
          <w:sz w:val="27"/>
          <w:szCs w:val="27"/>
          <w:color w:val="auto"/>
        </w:rPr>
        <w:t xml:space="preserve">офтальмологом </w:t>
      </w:r>
      <w:r>
        <w:rPr>
          <w:rFonts w:ascii="Arial" w:cs="Arial" w:eastAsia="Arial" w:hAnsi="Arial"/>
          <w:sz w:val="27"/>
          <w:szCs w:val="27"/>
          <w:color w:val="auto"/>
        </w:rPr>
        <w:t>(</w:t>
      </w:r>
      <w:r>
        <w:rPr>
          <w:rFonts w:ascii="Arial" w:cs="Arial" w:eastAsia="Arial" w:hAnsi="Arial"/>
          <w:sz w:val="27"/>
          <w:szCs w:val="27"/>
          <w:color w:val="auto"/>
        </w:rPr>
        <w:t>геморрагии</w:t>
      </w:r>
      <w:r>
        <w:rPr>
          <w:rFonts w:ascii="Arial" w:cs="Arial" w:eastAsia="Arial" w:hAnsi="Arial"/>
          <w:sz w:val="27"/>
          <w:szCs w:val="27"/>
          <w:color w:val="auto"/>
        </w:rPr>
        <w:t>,</w:t>
      </w:r>
      <w:r>
        <w:rPr>
          <w:rFonts w:ascii="Arial" w:cs="Arial" w:eastAsia="Arial" w:hAnsi="Arial"/>
          <w:sz w:val="27"/>
          <w:szCs w:val="27"/>
          <w:color w:val="auto"/>
        </w:rPr>
        <w:t xml:space="preserve"> экссудаты</w:t>
      </w:r>
      <w:r>
        <w:rPr>
          <w:rFonts w:ascii="Arial" w:cs="Arial" w:eastAsia="Arial" w:hAnsi="Arial"/>
          <w:sz w:val="27"/>
          <w:szCs w:val="27"/>
          <w:color w:val="auto"/>
        </w:rPr>
        <w:t>,</w:t>
      </w:r>
      <w:r>
        <w:rPr>
          <w:rFonts w:ascii="Arial" w:cs="Arial" w:eastAsia="Arial" w:hAnsi="Arial"/>
          <w:sz w:val="27"/>
          <w:szCs w:val="27"/>
          <w:color w:val="auto"/>
        </w:rPr>
        <w:t xml:space="preserve"> отек соска зрительного нерва</w:t>
      </w:r>
      <w:r>
        <w:rPr>
          <w:rFonts w:ascii="Arial" w:cs="Arial" w:eastAsia="Arial" w:hAnsi="Arial"/>
          <w:sz w:val="27"/>
          <w:szCs w:val="27"/>
          <w:color w:val="auto"/>
        </w:rPr>
        <w:t>)</w:t>
      </w:r>
      <w:r>
        <w:rPr>
          <w:rFonts w:ascii="Arial" w:cs="Arial" w:eastAsia="Arial" w:hAnsi="Arial"/>
          <w:sz w:val="27"/>
          <w:szCs w:val="27"/>
          <w:color w:val="auto"/>
        </w:rPr>
        <w:t xml:space="preserve"> для выявления гипертонической ретинопатии </w:t>
      </w:r>
      <w:r>
        <w:rPr>
          <w:rFonts w:ascii="Arial" w:cs="Arial" w:eastAsia="Arial" w:hAnsi="Arial"/>
          <w:sz w:val="27"/>
          <w:szCs w:val="27"/>
          <w:color w:val="auto"/>
        </w:rPr>
        <w:t>[21, 89].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62"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Гипертоническая ретинопатия</w:t>
      </w:r>
      <w:r>
        <w:rPr>
          <w:rFonts w:ascii="Arial" w:cs="Arial" w:eastAsia="Arial" w:hAnsi="Arial"/>
          <w:sz w:val="23"/>
          <w:szCs w:val="23"/>
          <w:b w:val="1"/>
          <w:bCs w:val="1"/>
          <w:i w:val="1"/>
          <w:i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выявленная с</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 xml:space="preserve">помощью фундоскопии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осмотра глазного дна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имеет высокую прогностическую значимость при АГ </w:t>
      </w:r>
      <w:r>
        <w:rPr>
          <w:rFonts w:ascii="Arial" w:cs="Arial" w:eastAsia="Arial" w:hAnsi="Arial"/>
          <w:sz w:val="23"/>
          <w:szCs w:val="23"/>
          <w:b w:val="1"/>
          <w:bCs w:val="1"/>
          <w:i w:val="1"/>
          <w:iCs w:val="1"/>
          <w:color w:val="auto"/>
        </w:rPr>
        <w:t>[88–90].</w:t>
      </w:r>
      <w:r>
        <w:rPr>
          <w:rFonts w:ascii="Arial" w:cs="Arial" w:eastAsia="Arial" w:hAnsi="Arial"/>
          <w:sz w:val="23"/>
          <w:szCs w:val="23"/>
          <w:b w:val="1"/>
          <w:bCs w:val="1"/>
          <w:i w:val="1"/>
          <w:iCs w:val="1"/>
          <w:color w:val="auto"/>
        </w:rPr>
        <w:t xml:space="preserve"> Обнаружение кровоизлияний в сетчатку</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микроаневризм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твердых экссудатов</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папиллоэдемы указывает на тяжелую гипертоническую ретинопатию и значимо коррелирует с плохим прогнозом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Изменения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характерные для ранних стадий ретинопатии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не имеют существенного прогностического значения и характеризуются низкой воспроизводимостью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Фундоскопия также показана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если диагноз важен для экспертизы трудоспособности или определения годности к военной службе</w:t>
      </w:r>
      <w:r>
        <w:rPr>
          <w:rFonts w:ascii="Arial" w:cs="Arial" w:eastAsia="Arial" w:hAnsi="Arial"/>
          <w:sz w:val="23"/>
          <w:szCs w:val="23"/>
          <w:b w:val="1"/>
          <w:bCs w:val="1"/>
          <w:i w:val="1"/>
          <w:iCs w:val="1"/>
          <w:color w:val="auto"/>
        </w:rPr>
        <w:t>.</w:t>
      </w:r>
    </w:p>
    <w:p>
      <w:pPr>
        <w:spacing w:after="0" w:line="174"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Пациентам с АГ при наличии неврологических симптомов и</w:t>
      </w:r>
      <w:r>
        <w:rPr>
          <w:rFonts w:ascii="Arial" w:cs="Arial" w:eastAsia="Arial" w:hAnsi="Arial"/>
          <w:sz w:val="27"/>
          <w:szCs w:val="27"/>
          <w:color w:val="auto"/>
        </w:rPr>
        <w:t>/</w:t>
      </w:r>
      <w:r>
        <w:rPr>
          <w:rFonts w:ascii="Arial" w:cs="Arial" w:eastAsia="Arial" w:hAnsi="Arial"/>
          <w:sz w:val="27"/>
          <w:szCs w:val="27"/>
          <w:color w:val="auto"/>
        </w:rPr>
        <w:t xml:space="preserve"> или когнитивных нарушений рекомендуется выполнение КТ или МРТ головного мозга для исключения инфарктов мозга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76" w:orient="portrait"/>
          <w:cols w:equalWidth="0" w:num="1">
            <w:col w:w="9020"/>
          </w:cols>
          <w:pgMar w:left="1440" w:top="19" w:right="1440" w:bottom="0" w:gutter="0" w:footer="0" w:header="0"/>
        </w:sectPr>
      </w:pPr>
    </w:p>
    <w:bookmarkStart w:id="36" w:name="page37"/>
    <w:bookmarkEnd w:id="36"/>
    <w:p>
      <w:pPr>
        <w:jc w:val="both"/>
        <w:ind w:left="680" w:right="220"/>
        <w:spacing w:after="0" w:line="334" w:lineRule="auto"/>
        <w:rPr>
          <w:sz w:val="20"/>
          <w:szCs w:val="20"/>
          <w:color w:val="auto"/>
        </w:rPr>
      </w:pPr>
      <w:r>
        <w:rPr>
          <w:rFonts w:ascii="Arial" w:cs="Arial" w:eastAsia="Arial" w:hAnsi="Arial"/>
          <w:sz w:val="27"/>
          <w:szCs w:val="27"/>
          <w:color w:val="auto"/>
        </w:rPr>
        <w:t xml:space="preserve">микрокровоизлияний и повреждений белого вещества и других патологических образований </w:t>
      </w:r>
      <w:r>
        <w:rPr>
          <w:rFonts w:ascii="Arial" w:cs="Arial" w:eastAsia="Arial" w:hAnsi="Arial"/>
          <w:sz w:val="27"/>
          <w:szCs w:val="27"/>
          <w:color w:val="auto"/>
        </w:rPr>
        <w:t>[21, 91, 92].</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w:t>
      </w:r>
      <w:r>
        <w:rPr>
          <w:rFonts w:ascii="Arial" w:cs="Arial" w:eastAsia="Arial" w:hAnsi="Arial"/>
          <w:sz w:val="27"/>
          <w:szCs w:val="27"/>
          <w:b w:val="1"/>
          <w:bCs w:val="1"/>
          <w:color w:val="auto"/>
        </w:rPr>
        <w:t xml:space="preserve">аВ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80"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Гиперинтенсивные очаги в белом веществе</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головного мозга и бессимптомные инфаркты ассоциированы с прогрессированием когнитивной дисфункции и повышением риска инсульта в связи с дегенеративной и сосудистой деменцией</w:t>
      </w:r>
      <w:r>
        <w:rPr>
          <w:rFonts w:ascii="Arial" w:cs="Arial" w:eastAsia="Arial" w:hAnsi="Arial"/>
          <w:sz w:val="23"/>
          <w:szCs w:val="23"/>
          <w:b w:val="1"/>
          <w:bCs w:val="1"/>
          <w:i w:val="1"/>
          <w:iCs w:val="1"/>
          <w:color w:val="auto"/>
        </w:rPr>
        <w:t>.</w:t>
      </w:r>
    </w:p>
    <w:p>
      <w:pPr>
        <w:spacing w:after="0" w:line="200" w:lineRule="exact"/>
        <w:rPr>
          <w:sz w:val="20"/>
          <w:szCs w:val="20"/>
          <w:color w:val="auto"/>
        </w:rPr>
      </w:pPr>
    </w:p>
    <w:p>
      <w:pPr>
        <w:spacing w:after="0" w:line="359"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2.9. </w:t>
      </w:r>
      <w:r>
        <w:rPr>
          <w:rFonts w:ascii="Arial" w:cs="Arial" w:eastAsia="Arial" w:hAnsi="Arial"/>
          <w:sz w:val="33"/>
          <w:szCs w:val="33"/>
          <w:b w:val="1"/>
          <w:bCs w:val="1"/>
          <w:color w:val="auto"/>
        </w:rPr>
        <w:t>Иные диагностические исследования</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Иные диагностические исследования в рамках диагностики АГ не предусмотрены</w:t>
      </w:r>
      <w:r>
        <w:rPr>
          <w:rFonts w:ascii="Arial" w:cs="Arial" w:eastAsia="Arial" w:hAnsi="Arial"/>
          <w:sz w:val="27"/>
          <w:szCs w:val="27"/>
          <w:color w:val="auto"/>
        </w:rPr>
        <w:t>,</w:t>
      </w:r>
      <w:r>
        <w:rPr>
          <w:rFonts w:ascii="Arial" w:cs="Arial" w:eastAsia="Arial" w:hAnsi="Arial"/>
          <w:sz w:val="27"/>
          <w:szCs w:val="27"/>
          <w:color w:val="auto"/>
        </w:rPr>
        <w:t xml:space="preserve"> возможно расширение диагностических исследований по решению врача в зависимости от клинической ситуации и состояния пациента</w:t>
      </w:r>
      <w:r>
        <w:rPr>
          <w:rFonts w:ascii="Arial" w:cs="Arial" w:eastAsia="Arial" w:hAnsi="Arial"/>
          <w:sz w:val="27"/>
          <w:szCs w:val="27"/>
          <w:color w:val="auto"/>
        </w:rPr>
        <w:t>.</w:t>
      </w:r>
    </w:p>
    <w:p>
      <w:pPr>
        <w:spacing w:after="0" w:line="216"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Когнитивные нарушения у пожилых пациентов частично ассоциированы с АГ</w:t>
      </w:r>
      <w:r>
        <w:rPr>
          <w:rFonts w:ascii="Arial" w:cs="Arial" w:eastAsia="Arial" w:hAnsi="Arial"/>
          <w:sz w:val="27"/>
          <w:szCs w:val="27"/>
          <w:color w:val="auto"/>
        </w:rPr>
        <w:t>,</w:t>
      </w:r>
      <w:r>
        <w:rPr>
          <w:rFonts w:ascii="Arial" w:cs="Arial" w:eastAsia="Arial" w:hAnsi="Arial"/>
          <w:sz w:val="27"/>
          <w:szCs w:val="27"/>
          <w:color w:val="auto"/>
        </w:rPr>
        <w:t xml:space="preserve"> в связи с чем у пожилых пациентов с анамнезом</w:t>
      </w:r>
      <w:r>
        <w:rPr>
          <w:rFonts w:ascii="Arial" w:cs="Arial" w:eastAsia="Arial" w:hAnsi="Arial"/>
          <w:sz w:val="27"/>
          <w:szCs w:val="27"/>
          <w:color w:val="auto"/>
        </w:rPr>
        <w:t>,</w:t>
      </w:r>
      <w:r>
        <w:rPr>
          <w:rFonts w:ascii="Arial" w:cs="Arial" w:eastAsia="Arial" w:hAnsi="Arial"/>
          <w:sz w:val="27"/>
          <w:szCs w:val="27"/>
          <w:color w:val="auto"/>
        </w:rPr>
        <w:t xml:space="preserve"> позволяющим предположить ранний когнитивный дефицит</w:t>
      </w:r>
      <w:r>
        <w:rPr>
          <w:rFonts w:ascii="Arial" w:cs="Arial" w:eastAsia="Arial" w:hAnsi="Arial"/>
          <w:sz w:val="27"/>
          <w:szCs w:val="27"/>
          <w:color w:val="auto"/>
        </w:rPr>
        <w:t>,</w:t>
      </w:r>
      <w:r>
        <w:rPr>
          <w:rFonts w:ascii="Arial" w:cs="Arial" w:eastAsia="Arial" w:hAnsi="Arial"/>
          <w:sz w:val="27"/>
          <w:szCs w:val="27"/>
          <w:color w:val="auto"/>
        </w:rPr>
        <w:t xml:space="preserve"> рекомендована оценка когнитивной функции с использованием теста </w:t>
      </w:r>
      <w:r>
        <w:rPr>
          <w:rFonts w:ascii="Arial" w:cs="Arial" w:eastAsia="Arial" w:hAnsi="Arial"/>
          <w:sz w:val="27"/>
          <w:szCs w:val="27"/>
          <w:color w:val="auto"/>
        </w:rPr>
        <w:t>MMSE (MiniMentalStateExamination) [93,</w:t>
      </w:r>
      <w:r>
        <w:rPr>
          <w:rFonts w:ascii="Arial" w:cs="Arial" w:eastAsia="Arial" w:hAnsi="Arial"/>
          <w:sz w:val="27"/>
          <w:szCs w:val="27"/>
          <w:color w:val="auto"/>
        </w:rPr>
        <w:t xml:space="preserve"> </w:t>
      </w:r>
      <w:r>
        <w:rPr>
          <w:rFonts w:ascii="Arial" w:cs="Arial" w:eastAsia="Arial" w:hAnsi="Arial"/>
          <w:sz w:val="27"/>
          <w:szCs w:val="27"/>
          <w:color w:val="auto"/>
        </w:rPr>
        <w:t>94].</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ЕОК</w:t>
      </w:r>
      <w:r>
        <w:rPr>
          <w:rFonts w:ascii="Arial" w:cs="Arial" w:eastAsia="Arial" w:hAnsi="Arial"/>
          <w:sz w:val="27"/>
          <w:szCs w:val="27"/>
          <w:color w:val="auto"/>
        </w:rPr>
        <w:t>/</w:t>
      </w:r>
      <w:r>
        <w:rPr>
          <w:rFonts w:ascii="Arial" w:cs="Arial" w:eastAsia="Arial" w:hAnsi="Arial"/>
          <w:sz w:val="27"/>
          <w:szCs w:val="27"/>
          <w:color w:val="auto"/>
        </w:rPr>
        <w:t xml:space="preserve">ЕОАГ нет </w:t>
      </w:r>
      <w:r>
        <w:rPr>
          <w:rFonts w:ascii="Arial" w:cs="Arial" w:eastAsia="Arial" w:hAnsi="Arial"/>
          <w:sz w:val="27"/>
          <w:szCs w:val="27"/>
          <w:color w:val="auto"/>
        </w:rPr>
        <w:t>(</w:t>
      </w:r>
      <w:r>
        <w:rPr>
          <w:rFonts w:ascii="Arial" w:cs="Arial" w:eastAsia="Arial" w:hAnsi="Arial"/>
          <w:sz w:val="27"/>
          <w:szCs w:val="27"/>
          <w:color w:val="auto"/>
        </w:rPr>
        <w:t xml:space="preserve">УУР </w:t>
      </w:r>
      <w:r>
        <w:rPr>
          <w:rFonts w:ascii="Arial" w:cs="Arial" w:eastAsia="Arial" w:hAnsi="Arial"/>
          <w:sz w:val="27"/>
          <w:szCs w:val="27"/>
          <w:color w:val="auto"/>
        </w:rPr>
        <w:t>A,</w:t>
      </w:r>
      <w:r>
        <w:rPr>
          <w:rFonts w:ascii="Arial" w:cs="Arial" w:eastAsia="Arial" w:hAnsi="Arial"/>
          <w:sz w:val="27"/>
          <w:szCs w:val="27"/>
          <w:color w:val="auto"/>
        </w:rPr>
        <w:t xml:space="preserve"> УДД </w:t>
      </w:r>
      <w:r>
        <w:rPr>
          <w:rFonts w:ascii="Arial" w:cs="Arial" w:eastAsia="Arial" w:hAnsi="Arial"/>
          <w:sz w:val="27"/>
          <w:szCs w:val="27"/>
          <w:color w:val="auto"/>
        </w:rPr>
        <w:t>1)</w:t>
      </w:r>
    </w:p>
    <w:p>
      <w:pPr>
        <w:sectPr>
          <w:pgSz w:w="11900" w:h="16840" w:orient="portrait"/>
          <w:cols w:equalWidth="0" w:num="1">
            <w:col w:w="9020"/>
          </w:cols>
          <w:pgMar w:left="1440" w:top="19" w:right="1440" w:bottom="1440" w:gutter="0" w:footer="0" w:header="0"/>
        </w:sectPr>
      </w:pPr>
    </w:p>
    <w:bookmarkStart w:id="37" w:name="page38"/>
    <w:bookmarkEnd w:id="37"/>
    <w:p>
      <w:pPr>
        <w:ind w:left="900" w:hanging="539"/>
        <w:spacing w:after="0"/>
        <w:tabs>
          <w:tab w:leader="none" w:pos="900" w:val="left"/>
        </w:tabs>
        <w:numPr>
          <w:ilvl w:val="0"/>
          <w:numId w:val="19"/>
        </w:numPr>
        <w:rPr>
          <w:rFonts w:ascii="Arial" w:cs="Arial" w:eastAsia="Arial" w:hAnsi="Arial"/>
          <w:sz w:val="48"/>
          <w:szCs w:val="48"/>
          <w:b w:val="1"/>
          <w:bCs w:val="1"/>
          <w:color w:val="auto"/>
        </w:rPr>
      </w:pPr>
      <w:r>
        <w:rPr>
          <w:rFonts w:ascii="Arial" w:cs="Arial" w:eastAsia="Arial" w:hAnsi="Arial"/>
          <w:sz w:val="48"/>
          <w:szCs w:val="48"/>
          <w:b w:val="1"/>
          <w:bCs w:val="1"/>
          <w:color w:val="auto"/>
        </w:rPr>
        <w:t>Лечение</w:t>
      </w:r>
    </w:p>
    <w:p>
      <w:pPr>
        <w:spacing w:after="0" w:line="200" w:lineRule="exact"/>
        <w:rPr>
          <w:sz w:val="20"/>
          <w:szCs w:val="20"/>
          <w:color w:val="auto"/>
        </w:rPr>
      </w:pPr>
    </w:p>
    <w:p>
      <w:pPr>
        <w:spacing w:after="0" w:line="277"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b w:val="1"/>
          <w:bCs w:val="1"/>
          <w:i w:val="1"/>
          <w:iCs w:val="1"/>
          <w:color w:val="auto"/>
        </w:rPr>
        <w:t>Решение о тактике лечения рекомендуется принимать в зависимости от исходного уровня АД и общего сердечно</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сосудистого риска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Показания к АГТ суммированы в таблице П</w:t>
      </w:r>
      <w:r>
        <w:rPr>
          <w:rFonts w:ascii="Arial" w:cs="Arial" w:eastAsia="Arial" w:hAnsi="Arial"/>
          <w:sz w:val="27"/>
          <w:szCs w:val="27"/>
          <w:b w:val="1"/>
          <w:bCs w:val="1"/>
          <w:i w:val="1"/>
          <w:iCs w:val="1"/>
          <w:color w:val="auto"/>
        </w:rPr>
        <w:t>1,</w:t>
      </w:r>
      <w:r>
        <w:rPr>
          <w:rFonts w:ascii="Arial" w:cs="Arial" w:eastAsia="Arial" w:hAnsi="Arial"/>
          <w:sz w:val="27"/>
          <w:szCs w:val="27"/>
          <w:b w:val="1"/>
          <w:bCs w:val="1"/>
          <w:i w:val="1"/>
          <w:iCs w:val="1"/>
          <w:color w:val="auto"/>
        </w:rPr>
        <w:t xml:space="preserve"> Приложение Г</w:t>
      </w:r>
      <w:r>
        <w:rPr>
          <w:rFonts w:ascii="Arial" w:cs="Arial" w:eastAsia="Arial" w:hAnsi="Arial"/>
          <w:sz w:val="27"/>
          <w:szCs w:val="27"/>
          <w:b w:val="1"/>
          <w:bCs w:val="1"/>
          <w:i w:val="1"/>
          <w:iCs w:val="1"/>
          <w:color w:val="auto"/>
        </w:rPr>
        <w:t>4.</w:t>
      </w:r>
    </w:p>
    <w:p>
      <w:pPr>
        <w:spacing w:after="0" w:line="21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АГ </w:t>
      </w:r>
      <w:r>
        <w:rPr>
          <w:rFonts w:ascii="Arial" w:cs="Arial" w:eastAsia="Arial" w:hAnsi="Arial"/>
          <w:sz w:val="27"/>
          <w:szCs w:val="27"/>
          <w:color w:val="auto"/>
        </w:rPr>
        <w:t>1-</w:t>
      </w:r>
      <w:r>
        <w:rPr>
          <w:rFonts w:ascii="Arial" w:cs="Arial" w:eastAsia="Arial" w:hAnsi="Arial"/>
          <w:sz w:val="27"/>
          <w:szCs w:val="27"/>
          <w:color w:val="auto"/>
        </w:rPr>
        <w:t xml:space="preserve">й степени рекомендуется проводить мероприятия по изменению </w:t>
      </w:r>
      <w:r>
        <w:rPr>
          <w:rFonts w:ascii="Arial" w:cs="Arial" w:eastAsia="Arial" w:hAnsi="Arial"/>
          <w:sz w:val="27"/>
          <w:szCs w:val="27"/>
          <w:color w:val="auto"/>
        </w:rPr>
        <w:t>(</w:t>
      </w:r>
      <w:r>
        <w:rPr>
          <w:rFonts w:ascii="Arial" w:cs="Arial" w:eastAsia="Arial" w:hAnsi="Arial"/>
          <w:sz w:val="27"/>
          <w:szCs w:val="27"/>
          <w:color w:val="auto"/>
        </w:rPr>
        <w:t>оздоровлению</w:t>
      </w:r>
      <w:r>
        <w:rPr>
          <w:rFonts w:ascii="Arial" w:cs="Arial" w:eastAsia="Arial" w:hAnsi="Arial"/>
          <w:sz w:val="27"/>
          <w:szCs w:val="27"/>
          <w:color w:val="auto"/>
        </w:rPr>
        <w:t>)</w:t>
      </w:r>
      <w:r>
        <w:rPr>
          <w:rFonts w:ascii="Arial" w:cs="Arial" w:eastAsia="Arial" w:hAnsi="Arial"/>
          <w:sz w:val="27"/>
          <w:szCs w:val="27"/>
          <w:color w:val="auto"/>
        </w:rPr>
        <w:t xml:space="preserve"> образа жизни с целью нормализации АД и коррекции факторов риска </w:t>
      </w:r>
      <w:r>
        <w:rPr>
          <w:rFonts w:ascii="Arial" w:cs="Arial" w:eastAsia="Arial" w:hAnsi="Arial"/>
          <w:sz w:val="27"/>
          <w:szCs w:val="27"/>
          <w:color w:val="auto"/>
        </w:rPr>
        <w:t>[21, 95,</w:t>
      </w:r>
      <w:r>
        <w:rPr>
          <w:rFonts w:ascii="Arial" w:cs="Arial" w:eastAsia="Arial" w:hAnsi="Arial"/>
          <w:sz w:val="27"/>
          <w:szCs w:val="27"/>
          <w:color w:val="auto"/>
        </w:rPr>
        <w:t xml:space="preserve"> </w:t>
      </w:r>
      <w:r>
        <w:rPr>
          <w:rFonts w:ascii="Arial" w:cs="Arial" w:eastAsia="Arial" w:hAnsi="Arial"/>
          <w:sz w:val="27"/>
          <w:szCs w:val="27"/>
          <w:color w:val="auto"/>
        </w:rPr>
        <w:t>96].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w:t>
      </w:r>
      <w:r>
        <w:rPr>
          <w:rFonts w:ascii="Arial" w:cs="Arial" w:eastAsia="Arial" w:hAnsi="Arial"/>
          <w:sz w:val="27"/>
          <w:szCs w:val="27"/>
          <w:b w:val="1"/>
          <w:bCs w:val="1"/>
          <w:color w:val="auto"/>
        </w:rPr>
        <w:t>а</w:t>
      </w:r>
      <w:r>
        <w:rPr>
          <w:rFonts w:ascii="Arial" w:cs="Arial" w:eastAsia="Arial" w:hAnsi="Arial"/>
          <w:sz w:val="27"/>
          <w:szCs w:val="27"/>
          <w:b w:val="1"/>
          <w:bCs w:val="1"/>
          <w:color w:val="auto"/>
        </w:rPr>
        <w:t>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Подробный подход к изменению образа жизни с</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целью снижения СС риска представлен в разделе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Немедикаментозное лечение АГ</w:t>
      </w:r>
      <w:r>
        <w:rPr>
          <w:rFonts w:ascii="Arial" w:cs="Arial" w:eastAsia="Arial" w:hAnsi="Arial"/>
          <w:sz w:val="27"/>
          <w:szCs w:val="27"/>
          <w:b w:val="1"/>
          <w:bCs w:val="1"/>
          <w:i w:val="1"/>
          <w:iCs w:val="1"/>
          <w:color w:val="auto"/>
        </w:rPr>
        <w:t>».</w:t>
      </w:r>
    </w:p>
    <w:p>
      <w:pPr>
        <w:spacing w:after="0" w:line="200" w:lineRule="exact"/>
        <w:rPr>
          <w:sz w:val="20"/>
          <w:szCs w:val="20"/>
          <w:color w:val="auto"/>
        </w:rPr>
      </w:pPr>
    </w:p>
    <w:p>
      <w:pPr>
        <w:spacing w:after="0" w:line="200" w:lineRule="exact"/>
        <w:rPr>
          <w:sz w:val="20"/>
          <w:szCs w:val="20"/>
          <w:color w:val="auto"/>
        </w:rPr>
      </w:pPr>
    </w:p>
    <w:p>
      <w:pPr>
        <w:spacing w:after="0" w:line="21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3.1 </w:t>
      </w:r>
      <w:r>
        <w:rPr>
          <w:rFonts w:ascii="Arial" w:cs="Arial" w:eastAsia="Arial" w:hAnsi="Arial"/>
          <w:sz w:val="33"/>
          <w:szCs w:val="33"/>
          <w:b w:val="1"/>
          <w:bCs w:val="1"/>
          <w:color w:val="auto"/>
        </w:rPr>
        <w:t>Показания к антигипертензивной терапии</w:t>
      </w:r>
    </w:p>
    <w:p>
      <w:pPr>
        <w:spacing w:after="0" w:line="200" w:lineRule="exact"/>
        <w:rPr>
          <w:sz w:val="20"/>
          <w:szCs w:val="20"/>
          <w:color w:val="auto"/>
        </w:rPr>
      </w:pPr>
    </w:p>
    <w:p>
      <w:pPr>
        <w:spacing w:after="0" w:line="278" w:lineRule="exact"/>
        <w:rPr>
          <w:sz w:val="20"/>
          <w:szCs w:val="20"/>
          <w:color w:val="auto"/>
        </w:rPr>
      </w:pPr>
    </w:p>
    <w:p>
      <w:pPr>
        <w:ind w:left="680"/>
        <w:spacing w:after="0"/>
        <w:rPr>
          <w:sz w:val="20"/>
          <w:szCs w:val="20"/>
          <w:color w:val="auto"/>
        </w:rPr>
      </w:pP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 xml:space="preserve">2, </w:t>
      </w:r>
      <w:r>
        <w:rPr>
          <w:rFonts w:ascii="Arial" w:cs="Arial" w:eastAsia="Arial" w:hAnsi="Arial"/>
          <w:sz w:val="27"/>
          <w:szCs w:val="27"/>
          <w:color w:val="auto"/>
        </w:rPr>
        <w:t>Приложение Г</w:t>
      </w:r>
      <w:r>
        <w:rPr>
          <w:rFonts w:ascii="Arial" w:cs="Arial" w:eastAsia="Arial" w:hAnsi="Arial"/>
          <w:sz w:val="27"/>
          <w:szCs w:val="27"/>
          <w:color w:val="auto"/>
        </w:rPr>
        <w:t>4)</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Пациентам с АГ </w:t>
      </w:r>
      <w:r>
        <w:rPr>
          <w:rFonts w:ascii="Arial" w:cs="Arial" w:eastAsia="Arial" w:hAnsi="Arial"/>
          <w:sz w:val="27"/>
          <w:szCs w:val="27"/>
          <w:color w:val="auto"/>
        </w:rPr>
        <w:t>2-</w:t>
      </w:r>
      <w:r>
        <w:rPr>
          <w:rFonts w:ascii="Arial" w:cs="Arial" w:eastAsia="Arial" w:hAnsi="Arial"/>
          <w:sz w:val="27"/>
          <w:szCs w:val="27"/>
          <w:color w:val="auto"/>
        </w:rPr>
        <w:t xml:space="preserve">й или </w:t>
      </w:r>
      <w:r>
        <w:rPr>
          <w:rFonts w:ascii="Arial" w:cs="Arial" w:eastAsia="Arial" w:hAnsi="Arial"/>
          <w:sz w:val="27"/>
          <w:szCs w:val="27"/>
          <w:color w:val="auto"/>
        </w:rPr>
        <w:t>3-</w:t>
      </w:r>
      <w:r>
        <w:rPr>
          <w:rFonts w:ascii="Arial" w:cs="Arial" w:eastAsia="Arial" w:hAnsi="Arial"/>
          <w:sz w:val="27"/>
          <w:szCs w:val="27"/>
          <w:color w:val="auto"/>
        </w:rPr>
        <w:t>й степени при любом уровне СС</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риска рекомендуется незамедлительное начало антигипертензивной лекарственной терапии для снижения риска развития сердечно</w:t>
      </w:r>
      <w:r>
        <w:rPr>
          <w:rFonts w:ascii="Arial" w:cs="Arial" w:eastAsia="Arial" w:hAnsi="Arial"/>
          <w:sz w:val="27"/>
          <w:szCs w:val="27"/>
          <w:color w:val="auto"/>
        </w:rPr>
        <w:t>-</w:t>
      </w:r>
      <w:r>
        <w:rPr>
          <w:rFonts w:ascii="Arial" w:cs="Arial" w:eastAsia="Arial" w:hAnsi="Arial"/>
          <w:sz w:val="27"/>
          <w:szCs w:val="27"/>
          <w:color w:val="auto"/>
        </w:rPr>
        <w:t>сосудистых осложнений</w:t>
      </w:r>
      <w:r>
        <w:rPr>
          <w:rFonts w:ascii="Arial" w:cs="Arial" w:eastAsia="Arial" w:hAnsi="Arial"/>
          <w:sz w:val="27"/>
          <w:szCs w:val="27"/>
          <w:color w:val="auto"/>
        </w:rPr>
        <w:t>,</w:t>
      </w:r>
      <w:r>
        <w:rPr>
          <w:rFonts w:ascii="Arial" w:cs="Arial" w:eastAsia="Arial" w:hAnsi="Arial"/>
          <w:sz w:val="27"/>
          <w:szCs w:val="27"/>
          <w:color w:val="auto"/>
        </w:rPr>
        <w:t xml:space="preserve"> СС смерти одновременно с рекомендациями по изменению образа жизни </w:t>
      </w:r>
      <w:r>
        <w:rPr>
          <w:rFonts w:ascii="Arial" w:cs="Arial" w:eastAsia="Arial" w:hAnsi="Arial"/>
          <w:sz w:val="27"/>
          <w:szCs w:val="27"/>
          <w:color w:val="auto"/>
        </w:rPr>
        <w:t>[59, 110].</w:t>
      </w:r>
    </w:p>
    <w:p>
      <w:pPr>
        <w:spacing w:after="0" w:line="22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Пациентам с АГ </w:t>
      </w:r>
      <w:r>
        <w:rPr>
          <w:rFonts w:ascii="Arial" w:cs="Arial" w:eastAsia="Arial" w:hAnsi="Arial"/>
          <w:sz w:val="27"/>
          <w:szCs w:val="27"/>
          <w:color w:val="auto"/>
        </w:rPr>
        <w:t>1-</w:t>
      </w:r>
      <w:r>
        <w:rPr>
          <w:rFonts w:ascii="Arial" w:cs="Arial" w:eastAsia="Arial" w:hAnsi="Arial"/>
          <w:sz w:val="27"/>
          <w:szCs w:val="27"/>
          <w:color w:val="auto"/>
        </w:rPr>
        <w:t>й степени</w:t>
      </w:r>
      <w:r>
        <w:rPr>
          <w:rFonts w:ascii="Arial" w:cs="Arial" w:eastAsia="Arial" w:hAnsi="Arial"/>
          <w:sz w:val="27"/>
          <w:szCs w:val="27"/>
          <w:color w:val="auto"/>
        </w:rPr>
        <w:t>,</w:t>
      </w:r>
      <w:r>
        <w:rPr>
          <w:rFonts w:ascii="Arial" w:cs="Arial" w:eastAsia="Arial" w:hAnsi="Arial"/>
          <w:sz w:val="27"/>
          <w:szCs w:val="27"/>
          <w:color w:val="auto"/>
        </w:rPr>
        <w:t xml:space="preserve"> относящимся к категориям низкого</w:t>
      </w:r>
      <w:r>
        <w:rPr>
          <w:rFonts w:ascii="Arial" w:cs="Arial" w:eastAsia="Arial" w:hAnsi="Arial"/>
          <w:sz w:val="27"/>
          <w:szCs w:val="27"/>
          <w:color w:val="auto"/>
        </w:rPr>
        <w:t>/</w:t>
      </w:r>
      <w:r>
        <w:rPr>
          <w:rFonts w:ascii="Arial" w:cs="Arial" w:eastAsia="Arial" w:hAnsi="Arial"/>
          <w:sz w:val="27"/>
          <w:szCs w:val="27"/>
          <w:color w:val="auto"/>
        </w:rPr>
        <w:t xml:space="preserve">умеренного риска без признаков ПОМ </w:t>
      </w:r>
      <w:r>
        <w:rPr>
          <w:rFonts w:ascii="Arial" w:cs="Arial" w:eastAsia="Arial" w:hAnsi="Arial"/>
          <w:sz w:val="27"/>
          <w:szCs w:val="27"/>
          <w:color w:val="auto"/>
        </w:rPr>
        <w:t>(</w:t>
      </w:r>
      <w:r>
        <w:rPr>
          <w:rFonts w:ascii="Arial" w:cs="Arial" w:eastAsia="Arial" w:hAnsi="Arial"/>
          <w:sz w:val="27"/>
          <w:szCs w:val="27"/>
          <w:color w:val="auto"/>
        </w:rPr>
        <w:t xml:space="preserve">оценка риска по шкале </w:t>
      </w:r>
      <w:r>
        <w:rPr>
          <w:rFonts w:ascii="Arial" w:cs="Arial" w:eastAsia="Arial" w:hAnsi="Arial"/>
          <w:sz w:val="27"/>
          <w:szCs w:val="27"/>
          <w:color w:val="auto"/>
        </w:rPr>
        <w:t>SCORE (</w:t>
      </w:r>
      <w:r>
        <w:rPr>
          <w:rFonts w:ascii="Arial" w:cs="Arial" w:eastAsia="Arial" w:hAnsi="Arial"/>
          <w:sz w:val="27"/>
          <w:szCs w:val="27"/>
          <w:color w:val="auto"/>
        </w:rPr>
        <w:t>Таблица П</w:t>
      </w:r>
      <w:r>
        <w:rPr>
          <w:rFonts w:ascii="Arial" w:cs="Arial" w:eastAsia="Arial" w:hAnsi="Arial"/>
          <w:sz w:val="27"/>
          <w:szCs w:val="27"/>
          <w:color w:val="auto"/>
        </w:rPr>
        <w:t>11,</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рекомендуется начинать антигипертензивную лекарственную терапию в том случае</w:t>
      </w:r>
      <w:r>
        <w:rPr>
          <w:rFonts w:ascii="Arial" w:cs="Arial" w:eastAsia="Arial" w:hAnsi="Arial"/>
          <w:sz w:val="27"/>
          <w:szCs w:val="27"/>
          <w:color w:val="auto"/>
        </w:rPr>
        <w:t>,</w:t>
      </w:r>
      <w:r>
        <w:rPr>
          <w:rFonts w:ascii="Arial" w:cs="Arial" w:eastAsia="Arial" w:hAnsi="Arial"/>
          <w:sz w:val="27"/>
          <w:szCs w:val="27"/>
          <w:color w:val="auto"/>
        </w:rPr>
        <w:t xml:space="preserve"> если у них сохраняется повышенное АД</w:t>
      </w:r>
      <w:r>
        <w:rPr>
          <w:rFonts w:ascii="Arial" w:cs="Arial" w:eastAsia="Arial" w:hAnsi="Arial"/>
          <w:sz w:val="27"/>
          <w:szCs w:val="27"/>
          <w:color w:val="auto"/>
        </w:rPr>
        <w:t>,</w:t>
      </w:r>
      <w:r>
        <w:rPr>
          <w:rFonts w:ascii="Arial" w:cs="Arial" w:eastAsia="Arial" w:hAnsi="Arial"/>
          <w:sz w:val="27"/>
          <w:szCs w:val="27"/>
          <w:color w:val="auto"/>
        </w:rPr>
        <w:t xml:space="preserve"> несмотря на мероприятия по изменению образа жизни в течение </w:t>
      </w:r>
      <w:r>
        <w:rPr>
          <w:rFonts w:ascii="Arial" w:cs="Arial" w:eastAsia="Arial" w:hAnsi="Arial"/>
          <w:sz w:val="27"/>
          <w:szCs w:val="27"/>
          <w:color w:val="auto"/>
        </w:rPr>
        <w:t>3</w:t>
      </w:r>
      <w:r>
        <w:rPr>
          <w:rFonts w:ascii="Arial" w:cs="Arial" w:eastAsia="Arial" w:hAnsi="Arial"/>
          <w:sz w:val="27"/>
          <w:szCs w:val="27"/>
          <w:color w:val="auto"/>
        </w:rPr>
        <w:t xml:space="preserve"> месяцев </w:t>
      </w:r>
      <w:r>
        <w:rPr>
          <w:rFonts w:ascii="Arial" w:cs="Arial" w:eastAsia="Arial" w:hAnsi="Arial"/>
          <w:sz w:val="27"/>
          <w:szCs w:val="27"/>
          <w:color w:val="auto"/>
        </w:rPr>
        <w:t>[21, 22, 97].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840" w:orient="portrait"/>
          <w:cols w:equalWidth="0" w:num="1">
            <w:col w:w="9020"/>
          </w:cols>
          <w:pgMar w:left="1440" w:top="671" w:right="1440" w:bottom="309" w:gutter="0" w:footer="0" w:header="0"/>
        </w:sectPr>
      </w:pPr>
    </w:p>
    <w:bookmarkStart w:id="38" w:name="page39"/>
    <w:bookmarkEnd w:id="38"/>
    <w:p>
      <w:pPr>
        <w:spacing w:after="0" w:line="117"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Пациентам с АГ </w:t>
      </w:r>
      <w:r>
        <w:rPr>
          <w:rFonts w:ascii="Arial" w:cs="Arial" w:eastAsia="Arial" w:hAnsi="Arial"/>
          <w:sz w:val="27"/>
          <w:szCs w:val="27"/>
          <w:color w:val="auto"/>
        </w:rPr>
        <w:t>1-</w:t>
      </w:r>
      <w:r>
        <w:rPr>
          <w:rFonts w:ascii="Arial" w:cs="Arial" w:eastAsia="Arial" w:hAnsi="Arial"/>
          <w:sz w:val="27"/>
          <w:szCs w:val="27"/>
          <w:color w:val="auto"/>
        </w:rPr>
        <w:t>й степени</w:t>
      </w:r>
      <w:r>
        <w:rPr>
          <w:rFonts w:ascii="Arial" w:cs="Arial" w:eastAsia="Arial" w:hAnsi="Arial"/>
          <w:sz w:val="27"/>
          <w:szCs w:val="27"/>
          <w:color w:val="auto"/>
        </w:rPr>
        <w:t>,</w:t>
      </w:r>
      <w:r>
        <w:rPr>
          <w:rFonts w:ascii="Arial" w:cs="Arial" w:eastAsia="Arial" w:hAnsi="Arial"/>
          <w:sz w:val="27"/>
          <w:szCs w:val="27"/>
          <w:color w:val="auto"/>
        </w:rPr>
        <w:t xml:space="preserve"> относящимся к категории высокого риска </w:t>
      </w:r>
      <w:r>
        <w:rPr>
          <w:rFonts w:ascii="Arial" w:cs="Arial" w:eastAsia="Arial" w:hAnsi="Arial"/>
          <w:sz w:val="27"/>
          <w:szCs w:val="27"/>
          <w:color w:val="auto"/>
        </w:rPr>
        <w:t>(</w:t>
      </w:r>
      <w:r>
        <w:rPr>
          <w:rFonts w:ascii="Arial" w:cs="Arial" w:eastAsia="Arial" w:hAnsi="Arial"/>
          <w:sz w:val="27"/>
          <w:szCs w:val="27"/>
          <w:color w:val="auto"/>
        </w:rPr>
        <w:t xml:space="preserve">оценка риска по шкале </w:t>
      </w:r>
      <w:r>
        <w:rPr>
          <w:rFonts w:ascii="Arial" w:cs="Arial" w:eastAsia="Arial" w:hAnsi="Arial"/>
          <w:sz w:val="27"/>
          <w:szCs w:val="27"/>
          <w:color w:val="auto"/>
        </w:rPr>
        <w:t>SCORE (</w:t>
      </w:r>
      <w:r>
        <w:rPr>
          <w:rFonts w:ascii="Arial" w:cs="Arial" w:eastAsia="Arial" w:hAnsi="Arial"/>
          <w:sz w:val="27"/>
          <w:szCs w:val="27"/>
          <w:color w:val="auto"/>
        </w:rPr>
        <w:t>Приложение Г</w:t>
      </w:r>
      <w:r>
        <w:rPr>
          <w:rFonts w:ascii="Arial" w:cs="Arial" w:eastAsia="Arial" w:hAnsi="Arial"/>
          <w:sz w:val="27"/>
          <w:szCs w:val="27"/>
          <w:color w:val="auto"/>
        </w:rPr>
        <w:t>3)</w:t>
      </w:r>
      <w:r>
        <w:rPr>
          <w:rFonts w:ascii="Arial" w:cs="Arial" w:eastAsia="Arial" w:hAnsi="Arial"/>
          <w:sz w:val="27"/>
          <w:szCs w:val="27"/>
          <w:color w:val="auto"/>
        </w:rPr>
        <w:t xml:space="preserve"> при неосложненной АГ или при наличии ПОМ</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незамедлительное начало антигипертензивной лекарственной терапии одновременно с рекомендациями по изменению образа жизни </w:t>
      </w:r>
      <w:r>
        <w:rPr>
          <w:rFonts w:ascii="Arial" w:cs="Arial" w:eastAsia="Arial" w:hAnsi="Arial"/>
          <w:sz w:val="27"/>
          <w:szCs w:val="27"/>
          <w:color w:val="auto"/>
        </w:rPr>
        <w:t>[21, 22, 97].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высоким нормальным АД </w:t>
      </w:r>
      <w:r>
        <w:rPr>
          <w:rFonts w:ascii="Arial" w:cs="Arial" w:eastAsia="Arial" w:hAnsi="Arial"/>
          <w:sz w:val="27"/>
          <w:szCs w:val="27"/>
          <w:color w:val="auto"/>
        </w:rPr>
        <w:t>(130–139/85–89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начало АГТ при очень высоком уровне СС риска вследствие наличия ССЗ </w:t>
      </w:r>
      <w:r>
        <w:rPr>
          <w:rFonts w:ascii="Arial" w:cs="Arial" w:eastAsia="Arial" w:hAnsi="Arial"/>
          <w:sz w:val="27"/>
          <w:szCs w:val="27"/>
          <w:color w:val="auto"/>
        </w:rPr>
        <w:t>(</w:t>
      </w:r>
      <w:r>
        <w:rPr>
          <w:rFonts w:ascii="Arial" w:cs="Arial" w:eastAsia="Arial" w:hAnsi="Arial"/>
          <w:sz w:val="27"/>
          <w:szCs w:val="27"/>
          <w:color w:val="auto"/>
        </w:rPr>
        <w:t>особенно ИБС</w:t>
      </w:r>
      <w:r>
        <w:rPr>
          <w:rFonts w:ascii="Arial" w:cs="Arial" w:eastAsia="Arial" w:hAnsi="Arial"/>
          <w:sz w:val="27"/>
          <w:szCs w:val="27"/>
          <w:color w:val="auto"/>
        </w:rPr>
        <w:t>) (</w:t>
      </w:r>
      <w:r>
        <w:rPr>
          <w:rFonts w:ascii="Arial" w:cs="Arial" w:eastAsia="Arial" w:hAnsi="Arial"/>
          <w:sz w:val="27"/>
          <w:szCs w:val="27"/>
          <w:color w:val="auto"/>
        </w:rPr>
        <w:t>Таблица П</w:t>
      </w:r>
      <w:r>
        <w:rPr>
          <w:rFonts w:ascii="Arial" w:cs="Arial" w:eastAsia="Arial" w:hAnsi="Arial"/>
          <w:sz w:val="27"/>
          <w:szCs w:val="27"/>
          <w:color w:val="auto"/>
        </w:rPr>
        <w:t>12,</w:t>
      </w:r>
      <w:r>
        <w:rPr>
          <w:rFonts w:ascii="Arial" w:cs="Arial" w:eastAsia="Arial" w:hAnsi="Arial"/>
          <w:sz w:val="27"/>
          <w:szCs w:val="27"/>
          <w:color w:val="auto"/>
        </w:rPr>
        <w:t xml:space="preserve"> Приложение Г</w:t>
      </w:r>
      <w:r>
        <w:rPr>
          <w:rFonts w:ascii="Arial" w:cs="Arial" w:eastAsia="Arial" w:hAnsi="Arial"/>
          <w:sz w:val="27"/>
          <w:szCs w:val="27"/>
          <w:color w:val="auto"/>
        </w:rPr>
        <w:t>2) [21, 22, 99].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 xml:space="preserve">Пожилым пациентам с АГ </w:t>
      </w:r>
      <w:r>
        <w:rPr>
          <w:rFonts w:ascii="Arial" w:cs="Arial" w:eastAsia="Arial" w:hAnsi="Arial"/>
          <w:sz w:val="27"/>
          <w:szCs w:val="27"/>
          <w:color w:val="auto"/>
        </w:rPr>
        <w:t>(</w:t>
      </w:r>
      <w:r>
        <w:rPr>
          <w:rFonts w:ascii="Arial" w:cs="Arial" w:eastAsia="Arial" w:hAnsi="Arial"/>
          <w:sz w:val="27"/>
          <w:szCs w:val="27"/>
          <w:color w:val="auto"/>
        </w:rPr>
        <w:t xml:space="preserve">даже в возрасте </w:t>
      </w:r>
      <w:r>
        <w:rPr>
          <w:rFonts w:ascii="Arial" w:cs="Arial" w:eastAsia="Arial" w:hAnsi="Arial"/>
          <w:sz w:val="27"/>
          <w:szCs w:val="27"/>
          <w:color w:val="auto"/>
        </w:rPr>
        <w:t>&gt;80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находящимся в удовлетворительном физическом состоянии</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изменение образа жизни и АГТ при уровне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160</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u w:val="single" w:color="auto"/>
          <w:color w:val="auto"/>
        </w:rPr>
        <w:t>[</w:t>
      </w:r>
      <w:r>
        <w:rPr>
          <w:rFonts w:ascii="Arial" w:cs="Arial" w:eastAsia="Arial" w:hAnsi="Arial"/>
          <w:sz w:val="27"/>
          <w:szCs w:val="27"/>
          <w:color w:val="auto"/>
        </w:rPr>
        <w:t>21, 22, 100].</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Пожилым пациентам</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(&gt;65</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лет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но</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 xml:space="preserve">не </w:t>
      </w:r>
      <w:r>
        <w:rPr>
          <w:rFonts w:ascii="Arial" w:cs="Arial" w:eastAsia="Arial" w:hAnsi="Arial"/>
          <w:sz w:val="27"/>
          <w:szCs w:val="27"/>
          <w:color w:val="auto"/>
        </w:rPr>
        <w:t>&gt;80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находящимся в удовлетворительном физическом состоянии </w:t>
      </w:r>
      <w:r>
        <w:rPr>
          <w:rFonts w:ascii="Arial" w:cs="Arial" w:eastAsia="Arial" w:hAnsi="Arial"/>
          <w:sz w:val="27"/>
          <w:szCs w:val="27"/>
          <w:color w:val="auto"/>
        </w:rPr>
        <w:t>(</w:t>
      </w:r>
      <w:r>
        <w:rPr>
          <w:rFonts w:ascii="Arial" w:cs="Arial" w:eastAsia="Arial" w:hAnsi="Arial"/>
          <w:sz w:val="27"/>
          <w:szCs w:val="27"/>
          <w:color w:val="auto"/>
        </w:rPr>
        <w:t>без синдрома старческой астении</w:t>
      </w:r>
      <w:r>
        <w:rPr>
          <w:rFonts w:ascii="Arial" w:cs="Arial" w:eastAsia="Arial" w:hAnsi="Arial"/>
          <w:sz w:val="27"/>
          <w:szCs w:val="27"/>
          <w:color w:val="auto"/>
        </w:rPr>
        <w:t>),</w:t>
      </w:r>
      <w:r>
        <w:rPr>
          <w:rFonts w:ascii="Arial" w:cs="Arial" w:eastAsia="Arial" w:hAnsi="Arial"/>
          <w:sz w:val="27"/>
          <w:szCs w:val="27"/>
          <w:color w:val="auto"/>
        </w:rPr>
        <w:t xml:space="preserve"> если их САД соответствует показателям АГ </w:t>
      </w:r>
      <w:r>
        <w:rPr>
          <w:rFonts w:ascii="Arial" w:cs="Arial" w:eastAsia="Arial" w:hAnsi="Arial"/>
          <w:sz w:val="27"/>
          <w:szCs w:val="27"/>
          <w:color w:val="auto"/>
        </w:rPr>
        <w:t>1-</w:t>
      </w:r>
      <w:r>
        <w:rPr>
          <w:rFonts w:ascii="Arial" w:cs="Arial" w:eastAsia="Arial" w:hAnsi="Arial"/>
          <w:sz w:val="27"/>
          <w:szCs w:val="27"/>
          <w:color w:val="auto"/>
        </w:rPr>
        <w:t xml:space="preserve">й степени </w:t>
      </w:r>
      <w:r>
        <w:rPr>
          <w:rFonts w:ascii="Arial" w:cs="Arial" w:eastAsia="Arial" w:hAnsi="Arial"/>
          <w:sz w:val="27"/>
          <w:szCs w:val="27"/>
          <w:color w:val="auto"/>
        </w:rPr>
        <w:t>(140–159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рекомендуются изменение образа жизни и АГТ при хорошей переносимости </w:t>
      </w:r>
      <w:r>
        <w:rPr>
          <w:rFonts w:ascii="Arial" w:cs="Arial" w:eastAsia="Arial" w:hAnsi="Arial"/>
          <w:sz w:val="27"/>
          <w:szCs w:val="27"/>
          <w:color w:val="auto"/>
        </w:rPr>
        <w:t>[21, 22, 100, 101, 102, 235].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-2176780</wp:posOffset>
            </wp:positionV>
            <wp:extent cx="82550" cy="8255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7"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Рекомендуется рассмотреть возможность назначения АГТ пожилым пациентам с синдромом старческой астении при удовлетворительной переносимости </w:t>
      </w:r>
      <w:r>
        <w:rPr>
          <w:rFonts w:ascii="Arial" w:cs="Arial" w:eastAsia="Arial" w:hAnsi="Arial"/>
          <w:sz w:val="27"/>
          <w:szCs w:val="27"/>
          <w:color w:val="auto"/>
        </w:rPr>
        <w:t>[100, 101, 235].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У пациентов старше </w:t>
      </w:r>
      <w:r>
        <w:rPr>
          <w:rFonts w:ascii="Arial" w:cs="Arial" w:eastAsia="Arial" w:hAnsi="Arial"/>
          <w:sz w:val="27"/>
          <w:szCs w:val="27"/>
          <w:color w:val="auto"/>
        </w:rPr>
        <w:t>80</w:t>
      </w:r>
      <w:r>
        <w:rPr>
          <w:rFonts w:ascii="Arial" w:cs="Arial" w:eastAsia="Arial" w:hAnsi="Arial"/>
          <w:sz w:val="27"/>
          <w:szCs w:val="27"/>
          <w:color w:val="auto"/>
        </w:rPr>
        <w:t xml:space="preserve"> лет не рекомендуется отменять антигипертензивную лекарственную терапию</w:t>
      </w:r>
      <w:r>
        <w:rPr>
          <w:rFonts w:ascii="Arial" w:cs="Arial" w:eastAsia="Arial" w:hAnsi="Arial"/>
          <w:sz w:val="27"/>
          <w:szCs w:val="27"/>
          <w:color w:val="auto"/>
        </w:rPr>
        <w:t>,</w:t>
      </w:r>
      <w:r>
        <w:rPr>
          <w:rFonts w:ascii="Arial" w:cs="Arial" w:eastAsia="Arial" w:hAnsi="Arial"/>
          <w:sz w:val="27"/>
          <w:szCs w:val="27"/>
          <w:color w:val="auto"/>
        </w:rPr>
        <w:t xml:space="preserve"> при условии</w:t>
      </w:r>
      <w:r>
        <w:rPr>
          <w:rFonts w:ascii="Arial" w:cs="Arial" w:eastAsia="Arial" w:hAnsi="Arial"/>
          <w:sz w:val="27"/>
          <w:szCs w:val="27"/>
          <w:color w:val="auto"/>
        </w:rPr>
        <w:t>,</w:t>
      </w:r>
      <w:r>
        <w:rPr>
          <w:rFonts w:ascii="Arial" w:cs="Arial" w:eastAsia="Arial" w:hAnsi="Arial"/>
          <w:sz w:val="27"/>
          <w:szCs w:val="27"/>
          <w:color w:val="auto"/>
        </w:rPr>
        <w:t xml:space="preserve"> что эта терапия хорошо переносится</w:t>
      </w:r>
      <w:r>
        <w:rPr>
          <w:rFonts w:ascii="Arial" w:cs="Arial" w:eastAsia="Arial" w:hAnsi="Arial"/>
          <w:sz w:val="27"/>
          <w:szCs w:val="27"/>
          <w:color w:val="auto"/>
        </w:rPr>
        <w:t>,</w:t>
      </w:r>
      <w:r>
        <w:rPr>
          <w:rFonts w:ascii="Arial" w:cs="Arial" w:eastAsia="Arial" w:hAnsi="Arial"/>
          <w:sz w:val="27"/>
          <w:szCs w:val="27"/>
          <w:color w:val="auto"/>
        </w:rPr>
        <w:t xml:space="preserve"> не сопровождается</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-661670</wp:posOffset>
            </wp:positionV>
            <wp:extent cx="82550" cy="8255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ортостатической гипотонией</w:t>
      </w:r>
      <w:r>
        <w:rPr>
          <w:rFonts w:ascii="Arial" w:cs="Arial" w:eastAsia="Arial" w:hAnsi="Arial"/>
          <w:sz w:val="27"/>
          <w:szCs w:val="27"/>
          <w:color w:val="auto"/>
        </w:rPr>
        <w:t>,</w:t>
      </w:r>
      <w:r>
        <w:rPr>
          <w:rFonts w:ascii="Arial" w:cs="Arial" w:eastAsia="Arial" w:hAnsi="Arial"/>
          <w:sz w:val="27"/>
          <w:szCs w:val="27"/>
          <w:color w:val="auto"/>
        </w:rPr>
        <w:t xml:space="preserve"> развитием</w:t>
      </w:r>
      <w:r>
        <w:rPr>
          <w:rFonts w:ascii="Arial" w:cs="Arial" w:eastAsia="Arial" w:hAnsi="Arial"/>
          <w:sz w:val="27"/>
          <w:szCs w:val="27"/>
          <w:color w:val="auto"/>
        </w:rPr>
        <w:t>/</w:t>
      </w:r>
      <w:r>
        <w:rPr>
          <w:rFonts w:ascii="Arial" w:cs="Arial" w:eastAsia="Arial" w:hAnsi="Arial"/>
          <w:sz w:val="27"/>
          <w:szCs w:val="27"/>
          <w:color w:val="auto"/>
        </w:rPr>
        <w:t>усугублением гериатрических синдромов и снижением функционального статуса в связи с доказанными преимуществами в отношении</w:t>
      </w:r>
    </w:p>
    <w:p>
      <w:pPr>
        <w:spacing w:after="0" w:line="2" w:lineRule="exact"/>
        <w:rPr>
          <w:sz w:val="20"/>
          <w:szCs w:val="20"/>
          <w:color w:val="auto"/>
        </w:rPr>
      </w:pPr>
    </w:p>
    <w:p>
      <w:pPr>
        <w:ind w:left="1080" w:hanging="404"/>
        <w:spacing w:after="0"/>
        <w:tabs>
          <w:tab w:leader="none" w:pos="1080" w:val="left"/>
        </w:tabs>
        <w:numPr>
          <w:ilvl w:val="0"/>
          <w:numId w:val="20"/>
        </w:numPr>
        <w:rPr>
          <w:rFonts w:ascii="Arial" w:cs="Arial" w:eastAsia="Arial" w:hAnsi="Arial"/>
          <w:sz w:val="27"/>
          <w:szCs w:val="27"/>
          <w:color w:val="auto"/>
        </w:rPr>
      </w:pPr>
      <w:r>
        <w:rPr>
          <w:rFonts w:ascii="Arial" w:cs="Arial" w:eastAsia="Arial" w:hAnsi="Arial"/>
          <w:sz w:val="27"/>
          <w:szCs w:val="27"/>
          <w:color w:val="auto"/>
        </w:rPr>
        <w:t xml:space="preserve">смертности </w:t>
      </w:r>
      <w:r>
        <w:rPr>
          <w:rFonts w:ascii="Arial" w:cs="Arial" w:eastAsia="Arial" w:hAnsi="Arial"/>
          <w:sz w:val="27"/>
          <w:szCs w:val="27"/>
          <w:color w:val="auto"/>
        </w:rPr>
        <w:t>[21, 22, 101, 103, 104].</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957" w:orient="portrait"/>
          <w:cols w:equalWidth="0" w:num="1">
            <w:col w:w="9020"/>
          </w:cols>
          <w:pgMar w:left="1440" w:top="19" w:right="1440" w:bottom="0" w:gutter="0" w:footer="0" w:header="0"/>
        </w:sectPr>
      </w:pPr>
    </w:p>
    <w:p>
      <w:pPr>
        <w:spacing w:after="0" w:line="200" w:lineRule="exact"/>
        <w:rPr>
          <w:sz w:val="20"/>
          <w:szCs w:val="20"/>
          <w:color w:val="auto"/>
        </w:rPr>
      </w:pPr>
    </w:p>
    <w:p>
      <w:pPr>
        <w:spacing w:after="0" w:line="200" w:lineRule="exact"/>
        <w:rPr>
          <w:sz w:val="20"/>
          <w:szCs w:val="20"/>
          <w:color w:val="auto"/>
        </w:rPr>
      </w:pPr>
    </w:p>
    <w:p>
      <w:pPr>
        <w:spacing w:after="0" w:line="353" w:lineRule="exact"/>
        <w:rPr>
          <w:sz w:val="20"/>
          <w:szCs w:val="20"/>
          <w:color w:val="auto"/>
        </w:rPr>
      </w:pPr>
    </w:p>
    <w:p>
      <w:pPr>
        <w:ind w:left="360"/>
        <w:spacing w:after="0"/>
        <w:rPr>
          <w:sz w:val="20"/>
          <w:szCs w:val="20"/>
          <w:color w:val="auto"/>
        </w:rPr>
      </w:pPr>
      <w:r>
        <w:rPr>
          <w:rFonts w:ascii="Arial" w:cs="Arial" w:eastAsia="Arial" w:hAnsi="Arial"/>
          <w:sz w:val="32"/>
          <w:szCs w:val="32"/>
          <w:b w:val="1"/>
          <w:bCs w:val="1"/>
          <w:color w:val="auto"/>
        </w:rPr>
        <w:t xml:space="preserve">3.2 </w:t>
      </w:r>
      <w:r>
        <w:rPr>
          <w:rFonts w:ascii="Arial" w:cs="Arial" w:eastAsia="Arial" w:hAnsi="Arial"/>
          <w:sz w:val="32"/>
          <w:szCs w:val="32"/>
          <w:b w:val="1"/>
          <w:bCs w:val="1"/>
          <w:color w:val="auto"/>
        </w:rPr>
        <w:t>Целевые уровни артериального давления</w:t>
      </w:r>
    </w:p>
    <w:p>
      <w:pPr>
        <w:sectPr>
          <w:pgSz w:w="11900" w:h="16957" w:orient="portrait"/>
          <w:cols w:equalWidth="0" w:num="1">
            <w:col w:w="9020"/>
          </w:cols>
          <w:pgMar w:left="1440" w:top="19" w:right="1440" w:bottom="0" w:gutter="0" w:footer="0" w:header="0"/>
          <w:type w:val="continuous"/>
        </w:sectPr>
      </w:pPr>
    </w:p>
    <w:bookmarkStart w:id="39" w:name="page40"/>
    <w:bookmarkEnd w:id="39"/>
    <w:p>
      <w:pPr>
        <w:jc w:val="both"/>
        <w:ind w:left="680" w:right="220"/>
        <w:spacing w:after="0" w:line="307" w:lineRule="auto"/>
        <w:rPr>
          <w:sz w:val="20"/>
          <w:szCs w:val="20"/>
          <w:color w:val="auto"/>
        </w:rPr>
      </w:pPr>
      <w:r>
        <w:rPr>
          <w:rFonts w:ascii="Arial" w:cs="Arial" w:eastAsia="Arial" w:hAnsi="Arial"/>
          <w:sz w:val="27"/>
          <w:szCs w:val="27"/>
          <w:color w:val="auto"/>
        </w:rPr>
        <w:t>Всем пациентам с АГ</w:t>
      </w:r>
      <w:r>
        <w:rPr>
          <w:rFonts w:ascii="Arial" w:cs="Arial" w:eastAsia="Arial" w:hAnsi="Arial"/>
          <w:sz w:val="27"/>
          <w:szCs w:val="27"/>
          <w:color w:val="auto"/>
        </w:rPr>
        <w:t>,</w:t>
      </w:r>
      <w:r>
        <w:rPr>
          <w:rFonts w:ascii="Arial" w:cs="Arial" w:eastAsia="Arial" w:hAnsi="Arial"/>
          <w:sz w:val="27"/>
          <w:szCs w:val="27"/>
          <w:color w:val="auto"/>
        </w:rPr>
        <w:t xml:space="preserve"> получающим лечение</w:t>
      </w:r>
      <w:r>
        <w:rPr>
          <w:rFonts w:ascii="Arial" w:cs="Arial" w:eastAsia="Arial" w:hAnsi="Arial"/>
          <w:sz w:val="27"/>
          <w:szCs w:val="27"/>
          <w:color w:val="auto"/>
        </w:rPr>
        <w:t>,</w:t>
      </w:r>
      <w:r>
        <w:rPr>
          <w:rFonts w:ascii="Arial" w:cs="Arial" w:eastAsia="Arial" w:hAnsi="Arial"/>
          <w:sz w:val="27"/>
          <w:szCs w:val="27"/>
          <w:color w:val="auto"/>
        </w:rPr>
        <w:t xml:space="preserve"> независимо от возраста и степени риска</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в качестве первого целевого уровня снижать АД до значений </w:t>
      </w:r>
      <w:r>
        <w:rPr>
          <w:rFonts w:ascii="Arial" w:cs="Arial" w:eastAsia="Arial" w:hAnsi="Arial"/>
          <w:sz w:val="27"/>
          <w:szCs w:val="27"/>
          <w:color w:val="auto"/>
        </w:rPr>
        <w:t>&lt;140/90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а при условии хорошей переносимости </w:t>
      </w:r>
      <w:r>
        <w:rPr>
          <w:rFonts w:ascii="Arial" w:cs="Arial" w:eastAsia="Arial" w:hAnsi="Arial"/>
          <w:sz w:val="27"/>
          <w:szCs w:val="27"/>
          <w:color w:val="auto"/>
        </w:rPr>
        <w:t>—</w:t>
      </w:r>
      <w:r>
        <w:rPr>
          <w:rFonts w:ascii="Arial" w:cs="Arial" w:eastAsia="Arial" w:hAnsi="Arial"/>
          <w:sz w:val="27"/>
          <w:szCs w:val="27"/>
          <w:color w:val="auto"/>
        </w:rPr>
        <w:t xml:space="preserve"> до целевого уровня </w:t>
      </w:r>
      <w:r>
        <w:rPr>
          <w:rFonts w:ascii="Arial" w:cs="Arial" w:eastAsia="Arial" w:hAnsi="Arial"/>
          <w:sz w:val="27"/>
          <w:szCs w:val="27"/>
          <w:color w:val="auto"/>
        </w:rPr>
        <w:t xml:space="preserve">130/80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xml:space="preserve">. </w:t>
      </w:r>
      <w:r>
        <w:rPr>
          <w:rFonts w:ascii="Arial" w:cs="Arial" w:eastAsia="Arial" w:hAnsi="Arial"/>
          <w:sz w:val="27"/>
          <w:szCs w:val="27"/>
          <w:color w:val="auto"/>
        </w:rPr>
        <w:t>или ниже</w:t>
      </w:r>
      <w:r>
        <w:rPr>
          <w:rFonts w:ascii="Arial" w:cs="Arial" w:eastAsia="Arial" w:hAnsi="Arial"/>
          <w:sz w:val="27"/>
          <w:szCs w:val="27"/>
          <w:color w:val="auto"/>
        </w:rPr>
        <w:t xml:space="preserve">, </w:t>
      </w:r>
      <w:r>
        <w:rPr>
          <w:rFonts w:ascii="Arial" w:cs="Arial" w:eastAsia="Arial" w:hAnsi="Arial"/>
          <w:sz w:val="27"/>
          <w:szCs w:val="27"/>
          <w:color w:val="auto"/>
        </w:rPr>
        <w:t>в связи с доказанными</w:t>
      </w:r>
      <w:r>
        <w:rPr>
          <w:rFonts w:ascii="Arial" w:cs="Arial" w:eastAsia="Arial" w:hAnsi="Arial"/>
          <w:sz w:val="27"/>
          <w:szCs w:val="27"/>
          <w:color w:val="auto"/>
        </w:rPr>
        <w:t xml:space="preserve"> </w:t>
      </w:r>
      <w:r>
        <w:rPr>
          <w:rFonts w:ascii="Arial" w:cs="Arial" w:eastAsia="Arial" w:hAnsi="Arial"/>
          <w:sz w:val="27"/>
          <w:szCs w:val="27"/>
          <w:color w:val="auto"/>
        </w:rPr>
        <w:t>преимуществами в плане снижения риска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сосудистых осложнений </w:t>
      </w:r>
      <w:r>
        <w:rPr>
          <w:rFonts w:ascii="Arial" w:cs="Arial" w:eastAsia="Arial" w:hAnsi="Arial"/>
          <w:sz w:val="27"/>
          <w:szCs w:val="27"/>
          <w:color w:val="auto"/>
        </w:rPr>
        <w:t>[59, 105, 107].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моложе </w:t>
      </w:r>
      <w:r>
        <w:rPr>
          <w:rFonts w:ascii="Arial" w:cs="Arial" w:eastAsia="Arial" w:hAnsi="Arial"/>
          <w:sz w:val="27"/>
          <w:szCs w:val="27"/>
          <w:color w:val="auto"/>
        </w:rPr>
        <w:t>65</w:t>
      </w:r>
      <w:r>
        <w:rPr>
          <w:rFonts w:ascii="Arial" w:cs="Arial" w:eastAsia="Arial" w:hAnsi="Arial"/>
          <w:sz w:val="27"/>
          <w:szCs w:val="27"/>
          <w:color w:val="auto"/>
        </w:rPr>
        <w:t xml:space="preserve"> лет и без ХБП</w:t>
      </w:r>
      <w:r>
        <w:rPr>
          <w:rFonts w:ascii="Arial" w:cs="Arial" w:eastAsia="Arial" w:hAnsi="Arial"/>
          <w:sz w:val="27"/>
          <w:szCs w:val="27"/>
          <w:color w:val="auto"/>
        </w:rPr>
        <w:t>,</w:t>
      </w:r>
      <w:r>
        <w:rPr>
          <w:rFonts w:ascii="Arial" w:cs="Arial" w:eastAsia="Arial" w:hAnsi="Arial"/>
          <w:sz w:val="27"/>
          <w:szCs w:val="27"/>
          <w:color w:val="auto"/>
        </w:rPr>
        <w:t xml:space="preserve"> получающих антигипертензивную терапию</w:t>
      </w:r>
      <w:r>
        <w:rPr>
          <w:rFonts w:ascii="Arial" w:cs="Arial" w:eastAsia="Arial" w:hAnsi="Arial"/>
          <w:sz w:val="27"/>
          <w:szCs w:val="27"/>
          <w:color w:val="auto"/>
        </w:rPr>
        <w:t>,</w:t>
      </w:r>
      <w:r>
        <w:rPr>
          <w:rFonts w:ascii="Arial" w:cs="Arial" w:eastAsia="Arial" w:hAnsi="Arial"/>
          <w:sz w:val="27"/>
          <w:szCs w:val="27"/>
          <w:color w:val="auto"/>
        </w:rPr>
        <w:t xml:space="preserve"> рекомендуется снижать САД до значений </w:t>
      </w:r>
      <w:r>
        <w:rPr>
          <w:rFonts w:ascii="Arial" w:cs="Arial" w:eastAsia="Arial" w:hAnsi="Arial"/>
          <w:sz w:val="27"/>
          <w:szCs w:val="27"/>
          <w:color w:val="auto"/>
        </w:rPr>
        <w:t>120–130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 влиянием вмешательства на СС риск </w:t>
      </w:r>
      <w:r>
        <w:rPr>
          <w:rFonts w:ascii="Arial" w:cs="Arial" w:eastAsia="Arial" w:hAnsi="Arial"/>
          <w:sz w:val="27"/>
          <w:szCs w:val="27"/>
          <w:color w:val="auto"/>
        </w:rPr>
        <w:t>[59, 103, 106, 107, 108].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w:t>
      </w:r>
      <w:r>
        <w:rPr>
          <w:rFonts w:ascii="Arial" w:cs="Arial" w:eastAsia="Arial" w:hAnsi="Arial"/>
          <w:sz w:val="27"/>
          <w:szCs w:val="27"/>
          <w:color w:val="auto"/>
        </w:rPr>
        <w:t>65</w:t>
      </w:r>
      <w:r>
        <w:rPr>
          <w:rFonts w:ascii="Arial" w:cs="Arial" w:eastAsia="Arial" w:hAnsi="Arial"/>
          <w:sz w:val="27"/>
          <w:szCs w:val="27"/>
          <w:color w:val="auto"/>
        </w:rPr>
        <w:t xml:space="preserve"> лет и старше без старческой астении</w:t>
      </w:r>
      <w:r>
        <w:rPr>
          <w:rFonts w:ascii="Arial" w:cs="Arial" w:eastAsia="Arial" w:hAnsi="Arial"/>
          <w:sz w:val="27"/>
          <w:szCs w:val="27"/>
          <w:color w:val="auto"/>
        </w:rPr>
        <w:t>,</w:t>
      </w:r>
      <w:r>
        <w:rPr>
          <w:rFonts w:ascii="Arial" w:cs="Arial" w:eastAsia="Arial" w:hAnsi="Arial"/>
          <w:sz w:val="27"/>
          <w:szCs w:val="27"/>
          <w:color w:val="auto"/>
        </w:rPr>
        <w:t xml:space="preserve"> получающим антигипертензивную терапию</w:t>
      </w:r>
      <w:r>
        <w:rPr>
          <w:rFonts w:ascii="Arial" w:cs="Arial" w:eastAsia="Arial" w:hAnsi="Arial"/>
          <w:sz w:val="27"/>
          <w:szCs w:val="27"/>
          <w:color w:val="auto"/>
        </w:rPr>
        <w:t>,</w:t>
      </w:r>
      <w:r>
        <w:rPr>
          <w:rFonts w:ascii="Arial" w:cs="Arial" w:eastAsia="Arial" w:hAnsi="Arial"/>
          <w:sz w:val="27"/>
          <w:szCs w:val="27"/>
          <w:color w:val="auto"/>
        </w:rPr>
        <w:t xml:space="preserve"> вне зависимости от уровня СС риска и наличия ССЗ рекомендуется снижать САД до целевых значений </w:t>
      </w:r>
      <w:r>
        <w:rPr>
          <w:rFonts w:ascii="Arial" w:cs="Arial" w:eastAsia="Arial" w:hAnsi="Arial"/>
          <w:sz w:val="27"/>
          <w:szCs w:val="27"/>
          <w:color w:val="auto"/>
        </w:rPr>
        <w:t>130–139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при условии хорошей переносимости</w:t>
      </w:r>
      <w:r>
        <w:rPr>
          <w:rFonts w:ascii="Arial" w:cs="Arial" w:eastAsia="Arial" w:hAnsi="Arial"/>
          <w:sz w:val="27"/>
          <w:szCs w:val="27"/>
          <w:color w:val="auto"/>
        </w:rPr>
        <w:t>. [59, 103, 107, 108].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8"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Всем пациентам в возрасте</w:t>
      </w:r>
      <w:r>
        <w:rPr>
          <w:rFonts w:ascii="Arial" w:cs="Arial" w:eastAsia="Arial" w:hAnsi="Arial"/>
          <w:sz w:val="24"/>
          <w:szCs w:val="24"/>
          <w:b w:val="1"/>
          <w:bCs w:val="1"/>
          <w:color w:val="auto"/>
        </w:rPr>
        <w:t xml:space="preserve"> </w:t>
      </w:r>
      <w:r>
        <w:rPr>
          <w:rFonts w:ascii="Times New Roman" w:cs="Times New Roman" w:eastAsia="Times New Roman" w:hAnsi="Times New Roman"/>
          <w:sz w:val="24"/>
          <w:szCs w:val="24"/>
          <w:i w:val="1"/>
          <w:iCs w:val="1"/>
          <w:color w:val="auto"/>
        </w:rPr>
        <w:t>≥</w:t>
      </w:r>
      <w:r>
        <w:rPr>
          <w:rFonts w:ascii="Arial" w:cs="Arial" w:eastAsia="Arial" w:hAnsi="Arial"/>
          <w:sz w:val="24"/>
          <w:szCs w:val="24"/>
          <w:b w:val="1"/>
          <w:bCs w:val="1"/>
          <w:i w:val="1"/>
          <w:iCs w:val="1"/>
          <w:color w:val="auto"/>
        </w:rPr>
        <w:t>65</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лет</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получающим антигипертензивную терапию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каждом визите</w:t>
      </w:r>
    </w:p>
    <w:p>
      <w:pPr>
        <w:spacing w:after="0" w:line="2" w:lineRule="exact"/>
        <w:rPr>
          <w:sz w:val="20"/>
          <w:szCs w:val="20"/>
          <w:color w:val="auto"/>
        </w:rPr>
      </w:pPr>
    </w:p>
    <w:p>
      <w:pPr>
        <w:ind w:left="680" w:right="220" w:hanging="4"/>
        <w:spacing w:after="0" w:line="334" w:lineRule="auto"/>
        <w:tabs>
          <w:tab w:leader="none" w:pos="1208" w:val="left"/>
        </w:tabs>
        <w:numPr>
          <w:ilvl w:val="0"/>
          <w:numId w:val="21"/>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врачу рекомендуется проводить оценку возможных нежелательных явлений</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Всем пациентам с АГ вне зависимости от возраста</w:t>
      </w:r>
      <w:r>
        <w:rPr>
          <w:rFonts w:ascii="Arial" w:cs="Arial" w:eastAsia="Arial" w:hAnsi="Arial"/>
          <w:sz w:val="27"/>
          <w:szCs w:val="27"/>
          <w:color w:val="auto"/>
        </w:rPr>
        <w:t>,</w:t>
      </w:r>
      <w:r>
        <w:rPr>
          <w:rFonts w:ascii="Arial" w:cs="Arial" w:eastAsia="Arial" w:hAnsi="Arial"/>
          <w:sz w:val="27"/>
          <w:szCs w:val="27"/>
          <w:color w:val="auto"/>
        </w:rPr>
        <w:t xml:space="preserve"> уровня риска и наличия сопутствующих заболеваний рекомендуется снижать ДАД до целевых значений </w:t>
      </w:r>
      <w:r>
        <w:rPr>
          <w:rFonts w:ascii="Arial" w:cs="Arial" w:eastAsia="Arial" w:hAnsi="Arial"/>
          <w:sz w:val="27"/>
          <w:szCs w:val="27"/>
          <w:color w:val="auto"/>
        </w:rPr>
        <w:t>70–79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w:t>
      </w:r>
      <w:r>
        <w:rPr>
          <w:rFonts w:ascii="Arial" w:cs="Arial" w:eastAsia="Arial" w:hAnsi="Arial"/>
          <w:sz w:val="27"/>
          <w:szCs w:val="27"/>
          <w:color w:val="auto"/>
        </w:rPr>
        <w:t>таблица П</w:t>
      </w:r>
      <w:r>
        <w:rPr>
          <w:rFonts w:ascii="Arial" w:cs="Arial" w:eastAsia="Arial" w:hAnsi="Arial"/>
          <w:sz w:val="27"/>
          <w:szCs w:val="27"/>
          <w:color w:val="auto"/>
        </w:rPr>
        <w:t>3,</w:t>
      </w:r>
      <w:r>
        <w:rPr>
          <w:rFonts w:ascii="Arial" w:cs="Arial" w:eastAsia="Arial" w:hAnsi="Arial"/>
          <w:sz w:val="27"/>
          <w:szCs w:val="27"/>
          <w:color w:val="auto"/>
        </w:rPr>
        <w:t xml:space="preserve"> Приложение Г</w:t>
      </w:r>
      <w:r>
        <w:rPr>
          <w:rFonts w:ascii="Arial" w:cs="Arial" w:eastAsia="Arial" w:hAnsi="Arial"/>
          <w:sz w:val="27"/>
          <w:szCs w:val="27"/>
          <w:color w:val="auto"/>
        </w:rPr>
        <w:t>4) [107, 109, 110].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70" w:lineRule="auto"/>
        <w:rPr>
          <w:sz w:val="20"/>
          <w:szCs w:val="20"/>
          <w:color w:val="auto"/>
        </w:rPr>
      </w:pPr>
      <w:r>
        <w:rPr>
          <w:rFonts w:ascii="Arial" w:cs="Arial" w:eastAsia="Arial" w:hAnsi="Arial"/>
          <w:sz w:val="23"/>
          <w:szCs w:val="23"/>
          <w:b w:val="1"/>
          <w:bCs w:val="1"/>
          <w:i w:val="1"/>
          <w:iCs w:val="1"/>
          <w:color w:val="auto"/>
        </w:rPr>
        <w:t>Комментарии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Следует учитывать</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нижняя граница безопасности установлена в связи с результатами исследований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проведенных преимущественно в группах пациентов высокого и очень высокого риска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пожилые с коморбидностью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установленными ССЗ</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том числе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лица с ИБС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заболеванием периферических артерий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Таким образом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общей популяции</w:t>
      </w:r>
    </w:p>
    <w:p>
      <w:pPr>
        <w:sectPr>
          <w:pgSz w:w="11900" w:h="16840" w:orient="portrait"/>
          <w:cols w:equalWidth="0" w:num="1">
            <w:col w:w="9020"/>
          </w:cols>
          <w:pgMar w:left="1440" w:top="19" w:right="1440" w:bottom="454" w:gutter="0" w:footer="0" w:header="0"/>
        </w:sectPr>
      </w:pPr>
    </w:p>
    <w:bookmarkStart w:id="40" w:name="page41"/>
    <w:bookmarkEnd w:id="40"/>
    <w:p>
      <w:pPr>
        <w:spacing w:after="0" w:line="1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пациентов с АГ</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верятно</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нет необходимости в коррекции лечения при уровне САД </w:t>
      </w:r>
      <w:r>
        <w:rPr>
          <w:rFonts w:ascii="Arial" w:cs="Arial" w:eastAsia="Arial" w:hAnsi="Arial"/>
          <w:sz w:val="27"/>
          <w:szCs w:val="27"/>
          <w:b w:val="1"/>
          <w:bCs w:val="1"/>
          <w:i w:val="1"/>
          <w:iCs w:val="1"/>
          <w:color w:val="auto"/>
        </w:rPr>
        <w:t>&lt;120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и ДАД </w:t>
      </w:r>
      <w:r>
        <w:rPr>
          <w:rFonts w:ascii="Arial" w:cs="Arial" w:eastAsia="Arial" w:hAnsi="Arial"/>
          <w:sz w:val="27"/>
          <w:szCs w:val="27"/>
          <w:b w:val="1"/>
          <w:bCs w:val="1"/>
          <w:i w:val="1"/>
          <w:iCs w:val="1"/>
          <w:color w:val="auto"/>
        </w:rPr>
        <w:t>&lt;70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при его хорошей переносимости</w:t>
      </w:r>
      <w:r>
        <w:rPr>
          <w:rFonts w:ascii="Arial" w:cs="Arial" w:eastAsia="Arial" w:hAnsi="Arial"/>
          <w:sz w:val="27"/>
          <w:szCs w:val="27"/>
          <w:b w:val="1"/>
          <w:bCs w:val="1"/>
          <w:i w:val="1"/>
          <w:iCs w:val="1"/>
          <w:color w:val="auto"/>
        </w:rPr>
        <w:t>.</w:t>
      </w:r>
    </w:p>
    <w:p>
      <w:pPr>
        <w:spacing w:after="0" w:line="200" w:lineRule="exact"/>
        <w:rPr>
          <w:sz w:val="20"/>
          <w:szCs w:val="20"/>
          <w:color w:val="auto"/>
        </w:rPr>
      </w:pPr>
    </w:p>
    <w:p>
      <w:pPr>
        <w:spacing w:after="0" w:line="200" w:lineRule="exact"/>
        <w:rPr>
          <w:sz w:val="20"/>
          <w:szCs w:val="20"/>
          <w:color w:val="auto"/>
        </w:rPr>
      </w:pPr>
    </w:p>
    <w:p>
      <w:pPr>
        <w:spacing w:after="0" w:line="21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3.3 </w:t>
      </w:r>
      <w:r>
        <w:rPr>
          <w:rFonts w:ascii="Arial" w:cs="Arial" w:eastAsia="Arial" w:hAnsi="Arial"/>
          <w:sz w:val="33"/>
          <w:szCs w:val="33"/>
          <w:b w:val="1"/>
          <w:bCs w:val="1"/>
          <w:color w:val="auto"/>
        </w:rPr>
        <w:t>Немедикаментозное лечение АГ</w:t>
      </w:r>
    </w:p>
    <w:p>
      <w:pPr>
        <w:spacing w:after="0" w:line="200" w:lineRule="exact"/>
        <w:rPr>
          <w:sz w:val="20"/>
          <w:szCs w:val="20"/>
          <w:color w:val="auto"/>
        </w:rPr>
      </w:pPr>
    </w:p>
    <w:p>
      <w:pPr>
        <w:spacing w:after="0" w:line="278"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5"/>
          <w:szCs w:val="25"/>
          <w:b w:val="1"/>
          <w:bCs w:val="1"/>
          <w:i w:val="1"/>
          <w:iCs w:val="1"/>
          <w:color w:val="auto"/>
        </w:rPr>
        <w:t>Мероприятия по изменению образа жизни рекомендуются всем пациентам с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Немедикаментозные методы лечения АГ способствуют снижению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уменьшают потребность в антигипертензивных препаратах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АГП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 повышают их эффективность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позволяют осуществлять коррекцию ФР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проводить первичную профилактику АГ у пациентов с высоким нормальным АД и имеющих ФР </w:t>
      </w:r>
      <w:r>
        <w:rPr>
          <w:rFonts w:ascii="Arial" w:cs="Arial" w:eastAsia="Arial" w:hAnsi="Arial"/>
          <w:sz w:val="25"/>
          <w:szCs w:val="25"/>
          <w:b w:val="1"/>
          <w:bCs w:val="1"/>
          <w:i w:val="1"/>
          <w:iCs w:val="1"/>
          <w:color w:val="auto"/>
        </w:rPr>
        <w:t>[114, 115].</w:t>
      </w:r>
    </w:p>
    <w:p>
      <w:pPr>
        <w:spacing w:after="0" w:line="201"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АГ для улучшения контроля заболевания рекомендуется ограничение употребления соли до </w:t>
      </w:r>
      <w:r>
        <w:rPr>
          <w:rFonts w:ascii="Arial" w:cs="Arial" w:eastAsia="Arial" w:hAnsi="Arial"/>
          <w:sz w:val="27"/>
          <w:szCs w:val="27"/>
          <w:color w:val="auto"/>
        </w:rPr>
        <w:t>&lt;5</w:t>
      </w:r>
      <w:r>
        <w:rPr>
          <w:rFonts w:ascii="Arial" w:cs="Arial" w:eastAsia="Arial" w:hAnsi="Arial"/>
          <w:sz w:val="27"/>
          <w:szCs w:val="27"/>
          <w:color w:val="auto"/>
        </w:rPr>
        <w:t xml:space="preserve"> г в сутки </w:t>
      </w:r>
      <w:r>
        <w:rPr>
          <w:rFonts w:ascii="Arial" w:cs="Arial" w:eastAsia="Arial" w:hAnsi="Arial"/>
          <w:sz w:val="27"/>
          <w:szCs w:val="27"/>
          <w:color w:val="auto"/>
        </w:rPr>
        <w:t>[116–119].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2"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Избыточное потребление соли может играть</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существенную неблагоприятную роль в развитии рефрактерной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Стандартное потребление соли во многих странах составляет от </w:t>
      </w:r>
      <w:r>
        <w:rPr>
          <w:rFonts w:ascii="Arial" w:cs="Arial" w:eastAsia="Arial" w:hAnsi="Arial"/>
          <w:sz w:val="25"/>
          <w:szCs w:val="25"/>
          <w:b w:val="1"/>
          <w:bCs w:val="1"/>
          <w:i w:val="1"/>
          <w:iCs w:val="1"/>
          <w:color w:val="auto"/>
        </w:rPr>
        <w:t>9</w:t>
      </w:r>
      <w:r>
        <w:rPr>
          <w:rFonts w:ascii="Arial" w:cs="Arial" w:eastAsia="Arial" w:hAnsi="Arial"/>
          <w:sz w:val="25"/>
          <w:szCs w:val="25"/>
          <w:b w:val="1"/>
          <w:bCs w:val="1"/>
          <w:i w:val="1"/>
          <w:iCs w:val="1"/>
          <w:color w:val="auto"/>
        </w:rPr>
        <w:t xml:space="preserve"> до </w:t>
      </w:r>
      <w:r>
        <w:rPr>
          <w:rFonts w:ascii="Arial" w:cs="Arial" w:eastAsia="Arial" w:hAnsi="Arial"/>
          <w:sz w:val="25"/>
          <w:szCs w:val="25"/>
          <w:b w:val="1"/>
          <w:bCs w:val="1"/>
          <w:i w:val="1"/>
          <w:iCs w:val="1"/>
          <w:color w:val="auto"/>
        </w:rPr>
        <w:t>12</w:t>
      </w:r>
      <w:r>
        <w:rPr>
          <w:rFonts w:ascii="Arial" w:cs="Arial" w:eastAsia="Arial" w:hAnsi="Arial"/>
          <w:sz w:val="25"/>
          <w:szCs w:val="25"/>
          <w:b w:val="1"/>
          <w:bCs w:val="1"/>
          <w:i w:val="1"/>
          <w:iCs w:val="1"/>
          <w:color w:val="auto"/>
        </w:rPr>
        <w:t xml:space="preserve"> 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сутки </w:t>
      </w:r>
      <w:r>
        <w:rPr>
          <w:rFonts w:ascii="Arial" w:cs="Arial" w:eastAsia="Arial" w:hAnsi="Arial"/>
          <w:sz w:val="25"/>
          <w:szCs w:val="25"/>
          <w:b w:val="1"/>
          <w:bCs w:val="1"/>
          <w:i w:val="1"/>
          <w:iCs w:val="1"/>
          <w:color w:val="auto"/>
        </w:rPr>
        <w:t>(80%</w:t>
      </w:r>
      <w:r>
        <w:rPr>
          <w:rFonts w:ascii="Arial" w:cs="Arial" w:eastAsia="Arial" w:hAnsi="Arial"/>
          <w:sz w:val="25"/>
          <w:szCs w:val="25"/>
          <w:b w:val="1"/>
          <w:bCs w:val="1"/>
          <w:i w:val="1"/>
          <w:iCs w:val="1"/>
          <w:color w:val="auto"/>
        </w:rPr>
        <w:t xml:space="preserve"> потребляемой соли приходится на так называемую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скрытую соль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уменьшение ее потребления до </w:t>
      </w:r>
      <w:r>
        <w:rPr>
          <w:rFonts w:ascii="Arial" w:cs="Arial" w:eastAsia="Arial" w:hAnsi="Arial"/>
          <w:sz w:val="25"/>
          <w:szCs w:val="25"/>
          <w:b w:val="1"/>
          <w:bCs w:val="1"/>
          <w:i w:val="1"/>
          <w:iCs w:val="1"/>
          <w:color w:val="auto"/>
        </w:rPr>
        <w:t>5</w:t>
      </w:r>
      <w:r>
        <w:rPr>
          <w:rFonts w:ascii="Arial" w:cs="Arial" w:eastAsia="Arial" w:hAnsi="Arial"/>
          <w:sz w:val="25"/>
          <w:szCs w:val="25"/>
          <w:b w:val="1"/>
          <w:bCs w:val="1"/>
          <w:i w:val="1"/>
          <w:iCs w:val="1"/>
          <w:color w:val="auto"/>
        </w:rPr>
        <w:t xml:space="preserve"> 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сутки у пациентов АГ ведет к снижению САД на </w:t>
      </w:r>
      <w:r>
        <w:rPr>
          <w:rFonts w:ascii="Arial" w:cs="Arial" w:eastAsia="Arial" w:hAnsi="Arial"/>
          <w:sz w:val="25"/>
          <w:szCs w:val="25"/>
          <w:b w:val="1"/>
          <w:bCs w:val="1"/>
          <w:i w:val="1"/>
          <w:iCs w:val="1"/>
          <w:color w:val="auto"/>
        </w:rPr>
        <w:t>4–5</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Влияние ограничения натрия более выражено у пациентов пожилого и старческого возраста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 пациентов с СД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МС и ХБП</w:t>
      </w:r>
      <w:r>
        <w:rPr>
          <w:rFonts w:ascii="Arial" w:cs="Arial" w:eastAsia="Arial" w:hAnsi="Arial"/>
          <w:sz w:val="25"/>
          <w:szCs w:val="25"/>
          <w:b w:val="1"/>
          <w:bCs w:val="1"/>
          <w:i w:val="1"/>
          <w:iCs w:val="1"/>
          <w:color w:val="auto"/>
        </w:rPr>
        <w:t>.</w:t>
      </w:r>
    </w:p>
    <w:p>
      <w:pPr>
        <w:spacing w:after="0" w:line="203"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Всем пациентам с АГ для улучшения контроля заболевания рекомендуется ограничить употребления алкоголя </w:t>
      </w:r>
      <w:r>
        <w:rPr>
          <w:rFonts w:ascii="Arial" w:cs="Arial" w:eastAsia="Arial" w:hAnsi="Arial"/>
          <w:sz w:val="27"/>
          <w:szCs w:val="27"/>
          <w:color w:val="auto"/>
        </w:rPr>
        <w:t>(</w:t>
      </w:r>
      <w:r>
        <w:rPr>
          <w:rFonts w:ascii="Arial" w:cs="Arial" w:eastAsia="Arial" w:hAnsi="Arial"/>
          <w:sz w:val="27"/>
          <w:szCs w:val="27"/>
          <w:color w:val="auto"/>
        </w:rPr>
        <w:t xml:space="preserve">менее </w:t>
      </w:r>
      <w:r>
        <w:rPr>
          <w:rFonts w:ascii="Arial" w:cs="Arial" w:eastAsia="Arial" w:hAnsi="Arial"/>
          <w:sz w:val="27"/>
          <w:szCs w:val="27"/>
          <w:color w:val="auto"/>
        </w:rPr>
        <w:t>14</w:t>
      </w:r>
      <w:r>
        <w:rPr>
          <w:rFonts w:ascii="Arial" w:cs="Arial" w:eastAsia="Arial" w:hAnsi="Arial"/>
          <w:sz w:val="27"/>
          <w:szCs w:val="27"/>
          <w:color w:val="auto"/>
        </w:rPr>
        <w:t xml:space="preserve"> единиц в неделю для мужчин</w:t>
      </w:r>
      <w:r>
        <w:rPr>
          <w:rFonts w:ascii="Arial" w:cs="Arial" w:eastAsia="Arial" w:hAnsi="Arial"/>
          <w:sz w:val="27"/>
          <w:szCs w:val="27"/>
          <w:color w:val="auto"/>
        </w:rPr>
        <w:t>,</w:t>
      </w:r>
      <w:r>
        <w:rPr>
          <w:rFonts w:ascii="Arial" w:cs="Arial" w:eastAsia="Arial" w:hAnsi="Arial"/>
          <w:sz w:val="27"/>
          <w:szCs w:val="27"/>
          <w:color w:val="auto"/>
        </w:rPr>
        <w:t xml:space="preserve"> менее </w:t>
      </w:r>
      <w:r>
        <w:rPr>
          <w:rFonts w:ascii="Arial" w:cs="Arial" w:eastAsia="Arial" w:hAnsi="Arial"/>
          <w:sz w:val="27"/>
          <w:szCs w:val="27"/>
          <w:color w:val="auto"/>
        </w:rPr>
        <w:t>8</w:t>
      </w:r>
      <w:r>
        <w:rPr>
          <w:rFonts w:ascii="Arial" w:cs="Arial" w:eastAsia="Arial" w:hAnsi="Arial"/>
          <w:sz w:val="27"/>
          <w:szCs w:val="27"/>
          <w:color w:val="auto"/>
        </w:rPr>
        <w:t xml:space="preserve"> единиц в неделю для женщин</w:t>
      </w:r>
      <w:r>
        <w:rPr>
          <w:rFonts w:ascii="Arial" w:cs="Arial" w:eastAsia="Arial" w:hAnsi="Arial"/>
          <w:sz w:val="27"/>
          <w:szCs w:val="27"/>
          <w:color w:val="auto"/>
        </w:rPr>
        <w:t>*)</w:t>
      </w:r>
      <w:r>
        <w:rPr>
          <w:rFonts w:ascii="Arial" w:cs="Arial" w:eastAsia="Arial" w:hAnsi="Arial"/>
          <w:sz w:val="27"/>
          <w:szCs w:val="27"/>
          <w:color w:val="auto"/>
        </w:rPr>
        <w:t xml:space="preserve"> и избегать хронического злоупотребления алкоголем </w:t>
      </w:r>
      <w:r>
        <w:rPr>
          <w:rFonts w:ascii="Arial" w:cs="Arial" w:eastAsia="Arial" w:hAnsi="Arial"/>
          <w:sz w:val="27"/>
          <w:szCs w:val="27"/>
          <w:u w:val="single" w:color="auto"/>
          <w:color w:val="auto"/>
        </w:rPr>
        <w:t>[</w:t>
      </w:r>
      <w:r>
        <w:rPr>
          <w:rFonts w:ascii="Arial" w:cs="Arial" w:eastAsia="Arial" w:hAnsi="Arial"/>
          <w:sz w:val="27"/>
          <w:szCs w:val="27"/>
          <w:color w:val="auto"/>
        </w:rPr>
        <w:t>21, 22, 120].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Одной единицей употребления алкоголя следует</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считать </w:t>
      </w:r>
      <w:r>
        <w:rPr>
          <w:rFonts w:ascii="Arial" w:cs="Arial" w:eastAsia="Arial" w:hAnsi="Arial"/>
          <w:sz w:val="27"/>
          <w:szCs w:val="27"/>
          <w:b w:val="1"/>
          <w:bCs w:val="1"/>
          <w:i w:val="1"/>
          <w:iCs w:val="1"/>
          <w:color w:val="auto"/>
        </w:rPr>
        <w:t>10</w:t>
      </w:r>
      <w:r>
        <w:rPr>
          <w:rFonts w:ascii="Arial" w:cs="Arial" w:eastAsia="Arial" w:hAnsi="Arial"/>
          <w:sz w:val="27"/>
          <w:szCs w:val="27"/>
          <w:b w:val="1"/>
          <w:bCs w:val="1"/>
          <w:i w:val="1"/>
          <w:iCs w:val="1"/>
          <w:color w:val="auto"/>
        </w:rPr>
        <w:t xml:space="preserve"> мл или </w:t>
      </w:r>
      <w:r>
        <w:rPr>
          <w:rFonts w:ascii="Arial" w:cs="Arial" w:eastAsia="Arial" w:hAnsi="Arial"/>
          <w:sz w:val="27"/>
          <w:szCs w:val="27"/>
          <w:b w:val="1"/>
          <w:bCs w:val="1"/>
          <w:i w:val="1"/>
          <w:iCs w:val="1"/>
          <w:color w:val="auto"/>
        </w:rPr>
        <w:t>8</w:t>
      </w:r>
      <w:r>
        <w:rPr>
          <w:rFonts w:ascii="Arial" w:cs="Arial" w:eastAsia="Arial" w:hAnsi="Arial"/>
          <w:sz w:val="27"/>
          <w:szCs w:val="27"/>
          <w:b w:val="1"/>
          <w:bCs w:val="1"/>
          <w:i w:val="1"/>
          <w:iCs w:val="1"/>
          <w:color w:val="auto"/>
        </w:rPr>
        <w:t xml:space="preserve"> г чистого спирта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что соответствует </w:t>
      </w:r>
      <w:r>
        <w:rPr>
          <w:rFonts w:ascii="Arial" w:cs="Arial" w:eastAsia="Arial" w:hAnsi="Arial"/>
          <w:sz w:val="27"/>
          <w:szCs w:val="27"/>
          <w:b w:val="1"/>
          <w:bCs w:val="1"/>
          <w:i w:val="1"/>
          <w:iCs w:val="1"/>
          <w:color w:val="auto"/>
        </w:rPr>
        <w:t>125</w:t>
      </w:r>
      <w:r>
        <w:rPr>
          <w:rFonts w:ascii="Arial" w:cs="Arial" w:eastAsia="Arial" w:hAnsi="Arial"/>
          <w:sz w:val="27"/>
          <w:szCs w:val="27"/>
          <w:b w:val="1"/>
          <w:bCs w:val="1"/>
          <w:i w:val="1"/>
          <w:iCs w:val="1"/>
          <w:color w:val="auto"/>
        </w:rPr>
        <w:t xml:space="preserve"> мл вина или </w:t>
      </w:r>
      <w:r>
        <w:rPr>
          <w:rFonts w:ascii="Arial" w:cs="Arial" w:eastAsia="Arial" w:hAnsi="Arial"/>
          <w:sz w:val="27"/>
          <w:szCs w:val="27"/>
          <w:b w:val="1"/>
          <w:bCs w:val="1"/>
          <w:i w:val="1"/>
          <w:iCs w:val="1"/>
          <w:color w:val="auto"/>
        </w:rPr>
        <w:t>250</w:t>
      </w:r>
      <w:r>
        <w:rPr>
          <w:rFonts w:ascii="Arial" w:cs="Arial" w:eastAsia="Arial" w:hAnsi="Arial"/>
          <w:sz w:val="27"/>
          <w:szCs w:val="27"/>
          <w:b w:val="1"/>
          <w:bCs w:val="1"/>
          <w:i w:val="1"/>
          <w:iCs w:val="1"/>
          <w:color w:val="auto"/>
        </w:rPr>
        <w:t xml:space="preserve"> мл пива</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Всем пациентам с АГ для улучшения метаболических показателей рекомендуется увеличить употребление овощей</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990" w:orient="portrait"/>
          <w:cols w:equalWidth="0" w:num="1">
            <w:col w:w="9020"/>
          </w:cols>
          <w:pgMar w:left="1440" w:top="19" w:right="1440" w:bottom="0" w:gutter="0" w:footer="0" w:header="0"/>
        </w:sectPr>
      </w:pPr>
    </w:p>
    <w:bookmarkStart w:id="41" w:name="page42"/>
    <w:bookmarkEnd w:id="41"/>
    <w:p>
      <w:pPr>
        <w:spacing w:after="0" w:line="47"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свежих фруктов</w:t>
      </w:r>
      <w:r>
        <w:rPr>
          <w:rFonts w:ascii="Arial" w:cs="Arial" w:eastAsia="Arial" w:hAnsi="Arial"/>
          <w:sz w:val="27"/>
          <w:szCs w:val="27"/>
          <w:color w:val="auto"/>
        </w:rPr>
        <w:t>,</w:t>
      </w:r>
      <w:r>
        <w:rPr>
          <w:rFonts w:ascii="Arial" w:cs="Arial" w:eastAsia="Arial" w:hAnsi="Arial"/>
          <w:sz w:val="27"/>
          <w:szCs w:val="27"/>
          <w:color w:val="auto"/>
        </w:rPr>
        <w:t xml:space="preserve"> рыбы</w:t>
      </w:r>
      <w:r>
        <w:rPr>
          <w:rFonts w:ascii="Arial" w:cs="Arial" w:eastAsia="Arial" w:hAnsi="Arial"/>
          <w:sz w:val="27"/>
          <w:szCs w:val="27"/>
          <w:color w:val="auto"/>
        </w:rPr>
        <w:t>,</w:t>
      </w:r>
      <w:r>
        <w:rPr>
          <w:rFonts w:ascii="Arial" w:cs="Arial" w:eastAsia="Arial" w:hAnsi="Arial"/>
          <w:sz w:val="27"/>
          <w:szCs w:val="27"/>
          <w:color w:val="auto"/>
        </w:rPr>
        <w:t xml:space="preserve"> орехов и ненасыщенных жирных кислот </w:t>
      </w:r>
      <w:r>
        <w:rPr>
          <w:rFonts w:ascii="Arial" w:cs="Arial" w:eastAsia="Arial" w:hAnsi="Arial"/>
          <w:sz w:val="27"/>
          <w:szCs w:val="27"/>
          <w:color w:val="auto"/>
        </w:rPr>
        <w:t>(</w:t>
      </w:r>
      <w:r>
        <w:rPr>
          <w:rFonts w:ascii="Arial" w:cs="Arial" w:eastAsia="Arial" w:hAnsi="Arial"/>
          <w:sz w:val="27"/>
          <w:szCs w:val="27"/>
          <w:color w:val="auto"/>
        </w:rPr>
        <w:t>оливковое масло</w:t>
      </w:r>
      <w:r>
        <w:rPr>
          <w:rFonts w:ascii="Arial" w:cs="Arial" w:eastAsia="Arial" w:hAnsi="Arial"/>
          <w:sz w:val="27"/>
          <w:szCs w:val="27"/>
          <w:color w:val="auto"/>
        </w:rPr>
        <w:t>),</w:t>
      </w:r>
      <w:r>
        <w:rPr>
          <w:rFonts w:ascii="Arial" w:cs="Arial" w:eastAsia="Arial" w:hAnsi="Arial"/>
          <w:sz w:val="27"/>
          <w:szCs w:val="27"/>
          <w:color w:val="auto"/>
        </w:rPr>
        <w:t xml:space="preserve"> молочных продуктов низкой жирности</w:t>
      </w:r>
      <w:r>
        <w:rPr>
          <w:rFonts w:ascii="Arial" w:cs="Arial" w:eastAsia="Arial" w:hAnsi="Arial"/>
          <w:sz w:val="27"/>
          <w:szCs w:val="27"/>
          <w:color w:val="auto"/>
        </w:rPr>
        <w:t>,</w:t>
      </w:r>
      <w:r>
        <w:rPr>
          <w:rFonts w:ascii="Arial" w:cs="Arial" w:eastAsia="Arial" w:hAnsi="Arial"/>
          <w:sz w:val="27"/>
          <w:szCs w:val="27"/>
          <w:color w:val="auto"/>
        </w:rPr>
        <w:t xml:space="preserve"> уменьшить употребление мяса </w:t>
      </w:r>
      <w:r>
        <w:rPr>
          <w:rFonts w:ascii="Arial" w:cs="Arial" w:eastAsia="Arial" w:hAnsi="Arial"/>
          <w:sz w:val="27"/>
          <w:szCs w:val="27"/>
          <w:color w:val="auto"/>
        </w:rPr>
        <w:t>[121].</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20"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Необходимо увеличение потребления</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растительной пищи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содержания в рационе калия</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кальция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в овощах</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фруктах</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зерновых</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и магния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в молочных продуктах</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а также уменьшение потребления жиров животного происхождения</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Пациентам с АГ следует рекомендовать употребление рыбы не реже двух раз в неделю и </w:t>
      </w:r>
      <w:r>
        <w:rPr>
          <w:rFonts w:ascii="Arial" w:cs="Arial" w:eastAsia="Arial" w:hAnsi="Arial"/>
          <w:sz w:val="26"/>
          <w:szCs w:val="26"/>
          <w:b w:val="1"/>
          <w:bCs w:val="1"/>
          <w:i w:val="1"/>
          <w:iCs w:val="1"/>
          <w:color w:val="auto"/>
        </w:rPr>
        <w:t>300–400</w:t>
      </w:r>
      <w:r>
        <w:rPr>
          <w:rFonts w:ascii="Arial" w:cs="Arial" w:eastAsia="Arial" w:hAnsi="Arial"/>
          <w:sz w:val="26"/>
          <w:szCs w:val="26"/>
          <w:b w:val="1"/>
          <w:bCs w:val="1"/>
          <w:i w:val="1"/>
          <w:iCs w:val="1"/>
          <w:color w:val="auto"/>
        </w:rPr>
        <w:t xml:space="preserve"> г в сутки свежих овощей и фруктов</w:t>
      </w:r>
      <w:r>
        <w:rPr>
          <w:rFonts w:ascii="Arial" w:cs="Arial" w:eastAsia="Arial" w:hAnsi="Arial"/>
          <w:sz w:val="26"/>
          <w:szCs w:val="26"/>
          <w:b w:val="1"/>
          <w:bCs w:val="1"/>
          <w:i w:val="1"/>
          <w:iCs w:val="1"/>
          <w:color w:val="auto"/>
        </w:rPr>
        <w:t>.</w:t>
      </w:r>
    </w:p>
    <w:p>
      <w:pPr>
        <w:spacing w:after="0" w:line="211" w:lineRule="exact"/>
        <w:rPr>
          <w:sz w:val="20"/>
          <w:szCs w:val="20"/>
          <w:color w:val="auto"/>
        </w:rPr>
      </w:pPr>
    </w:p>
    <w:p>
      <w:pPr>
        <w:jc w:val="both"/>
        <w:ind w:left="680" w:right="220"/>
        <w:spacing w:after="0" w:line="222" w:lineRule="auto"/>
        <w:rPr>
          <w:sz w:val="20"/>
          <w:szCs w:val="20"/>
          <w:color w:val="auto"/>
        </w:rPr>
      </w:pPr>
      <w:r>
        <w:rPr>
          <w:rFonts w:ascii="Arial" w:cs="Arial" w:eastAsia="Arial" w:hAnsi="Arial"/>
          <w:sz w:val="27"/>
          <w:szCs w:val="27"/>
          <w:color w:val="auto"/>
        </w:rPr>
        <w:t xml:space="preserve">Всем пациентам с АГ рекомендуется контролировать массу тела для предупреждения развития ожирения </w:t>
      </w:r>
      <w:r>
        <w:rPr>
          <w:rFonts w:ascii="Arial" w:cs="Arial" w:eastAsia="Arial" w:hAnsi="Arial"/>
          <w:sz w:val="27"/>
          <w:szCs w:val="27"/>
          <w:color w:val="auto"/>
        </w:rPr>
        <w:t>(</w:t>
      </w:r>
      <w:r>
        <w:rPr>
          <w:rFonts w:ascii="Arial" w:cs="Arial" w:eastAsia="Arial" w:hAnsi="Arial"/>
          <w:sz w:val="27"/>
          <w:szCs w:val="27"/>
          <w:color w:val="auto"/>
        </w:rPr>
        <w:t xml:space="preserve">индекс массы тела </w:t>
      </w:r>
      <w:r>
        <w:rPr>
          <w:rFonts w:ascii="Arial" w:cs="Arial" w:eastAsia="Arial" w:hAnsi="Arial"/>
          <w:sz w:val="27"/>
          <w:szCs w:val="27"/>
          <w:color w:val="auto"/>
        </w:rPr>
        <w:t>(</w:t>
      </w:r>
      <w:r>
        <w:rPr>
          <w:rFonts w:ascii="Arial" w:cs="Arial" w:eastAsia="Arial" w:hAnsi="Arial"/>
          <w:sz w:val="27"/>
          <w:szCs w:val="27"/>
          <w:color w:val="auto"/>
        </w:rPr>
        <w:t>ИМТ</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30</w:t>
      </w:r>
      <w:r>
        <w:rPr>
          <w:rFonts w:ascii="Arial" w:cs="Arial" w:eastAsia="Arial" w:hAnsi="Arial"/>
          <w:sz w:val="27"/>
          <w:szCs w:val="27"/>
          <w:color w:val="auto"/>
        </w:rPr>
        <w:t xml:space="preserve"> кг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или окружность талии </w:t>
      </w:r>
      <w:r>
        <w:rPr>
          <w:rFonts w:ascii="Arial" w:cs="Arial" w:eastAsia="Arial" w:hAnsi="Arial"/>
          <w:sz w:val="27"/>
          <w:szCs w:val="27"/>
          <w:color w:val="auto"/>
        </w:rPr>
        <w:t>&gt;102</w:t>
      </w:r>
      <w:r>
        <w:rPr>
          <w:rFonts w:ascii="Arial" w:cs="Arial" w:eastAsia="Arial" w:hAnsi="Arial"/>
          <w:sz w:val="27"/>
          <w:szCs w:val="27"/>
          <w:color w:val="auto"/>
        </w:rPr>
        <w:t xml:space="preserve"> см у мужчин и </w:t>
      </w:r>
      <w:r>
        <w:rPr>
          <w:rFonts w:ascii="Arial" w:cs="Arial" w:eastAsia="Arial" w:hAnsi="Arial"/>
          <w:sz w:val="27"/>
          <w:szCs w:val="27"/>
          <w:color w:val="auto"/>
        </w:rPr>
        <w:t xml:space="preserve">&gt;88 </w:t>
      </w:r>
      <w:r>
        <w:rPr>
          <w:rFonts w:ascii="Arial" w:cs="Arial" w:eastAsia="Arial" w:hAnsi="Arial"/>
          <w:sz w:val="27"/>
          <w:szCs w:val="27"/>
          <w:color w:val="auto"/>
        </w:rPr>
        <w:t>см у женщин</w:t>
      </w:r>
      <w:r>
        <w:rPr>
          <w:rFonts w:ascii="Arial" w:cs="Arial" w:eastAsia="Arial" w:hAnsi="Arial"/>
          <w:sz w:val="27"/>
          <w:szCs w:val="27"/>
          <w:color w:val="auto"/>
        </w:rPr>
        <w:t xml:space="preserve">) </w:t>
      </w:r>
      <w:r>
        <w:rPr>
          <w:rFonts w:ascii="Arial" w:cs="Arial" w:eastAsia="Arial" w:hAnsi="Arial"/>
          <w:sz w:val="27"/>
          <w:szCs w:val="27"/>
          <w:color w:val="auto"/>
        </w:rPr>
        <w:t>и достижение ИМТ в пределах</w:t>
      </w:r>
      <w:r>
        <w:rPr>
          <w:rFonts w:ascii="Arial" w:cs="Arial" w:eastAsia="Arial" w:hAnsi="Arial"/>
          <w:sz w:val="27"/>
          <w:szCs w:val="27"/>
          <w:color w:val="auto"/>
        </w:rPr>
        <w:t xml:space="preserve"> 20–25 </w:t>
      </w:r>
      <w:r>
        <w:rPr>
          <w:rFonts w:ascii="Arial" w:cs="Arial" w:eastAsia="Arial" w:hAnsi="Arial"/>
          <w:sz w:val="27"/>
          <w:szCs w:val="27"/>
          <w:color w:val="auto"/>
        </w:rPr>
        <w:t>кг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w:t>
      </w:r>
      <w:r>
        <w:rPr>
          <w:rFonts w:ascii="Arial" w:cs="Arial" w:eastAsia="Arial" w:hAnsi="Arial"/>
          <w:sz w:val="27"/>
          <w:szCs w:val="27"/>
          <w:color w:val="auto"/>
        </w:rPr>
        <w:t xml:space="preserve">окружности талии </w:t>
      </w:r>
      <w:r>
        <w:rPr>
          <w:rFonts w:ascii="Arial" w:cs="Arial" w:eastAsia="Arial" w:hAnsi="Arial"/>
          <w:sz w:val="27"/>
          <w:szCs w:val="27"/>
          <w:color w:val="auto"/>
        </w:rPr>
        <w:t>&lt;94</w:t>
      </w:r>
      <w:r>
        <w:rPr>
          <w:rFonts w:ascii="Arial" w:cs="Arial" w:eastAsia="Arial" w:hAnsi="Arial"/>
          <w:sz w:val="27"/>
          <w:szCs w:val="27"/>
          <w:color w:val="auto"/>
        </w:rPr>
        <w:t xml:space="preserve"> см у мужчин и </w:t>
      </w:r>
      <w:r>
        <w:rPr>
          <w:rFonts w:ascii="Arial" w:cs="Arial" w:eastAsia="Arial" w:hAnsi="Arial"/>
          <w:sz w:val="27"/>
          <w:szCs w:val="27"/>
          <w:color w:val="auto"/>
        </w:rPr>
        <w:t>&lt;80</w:t>
      </w:r>
      <w:r>
        <w:rPr>
          <w:rFonts w:ascii="Arial" w:cs="Arial" w:eastAsia="Arial" w:hAnsi="Arial"/>
          <w:sz w:val="27"/>
          <w:szCs w:val="27"/>
          <w:color w:val="auto"/>
        </w:rPr>
        <w:t xml:space="preserve"> см у женщин с целью снижения АД и уменьшения СС риска </w:t>
      </w:r>
      <w:r>
        <w:rPr>
          <w:rFonts w:ascii="Arial" w:cs="Arial" w:eastAsia="Arial" w:hAnsi="Arial"/>
          <w:sz w:val="27"/>
          <w:szCs w:val="27"/>
          <w:color w:val="auto"/>
        </w:rPr>
        <w:t>[122–124].</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-1378585</wp:posOffset>
            </wp:positionV>
            <wp:extent cx="82550" cy="8255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94"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У лиц с ожирением уменьшение массы тела на</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5–</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10% </w:t>
      </w:r>
      <w:r>
        <w:rPr>
          <w:rFonts w:ascii="Arial" w:cs="Arial" w:eastAsia="Arial" w:hAnsi="Arial"/>
          <w:sz w:val="27"/>
          <w:szCs w:val="27"/>
          <w:b w:val="1"/>
          <w:bCs w:val="1"/>
          <w:i w:val="1"/>
          <w:iCs w:val="1"/>
          <w:color w:val="auto"/>
        </w:rPr>
        <w:t>от исходной приводит к достоверному снижению риска</w:t>
      </w:r>
      <w:r>
        <w:rPr>
          <w:rFonts w:ascii="Arial" w:cs="Arial" w:eastAsia="Arial" w:hAnsi="Arial"/>
          <w:sz w:val="27"/>
          <w:szCs w:val="27"/>
          <w:b w:val="1"/>
          <w:bCs w:val="1"/>
          <w:i w:val="1"/>
          <w:iCs w:val="1"/>
          <w:color w:val="auto"/>
        </w:rPr>
        <w:t xml:space="preserve"> </w:t>
      </w:r>
      <w:r>
        <w:rPr>
          <w:rFonts w:ascii="Arial" w:cs="Arial" w:eastAsia="Arial" w:hAnsi="Arial"/>
          <w:sz w:val="27"/>
          <w:szCs w:val="27"/>
          <w:b w:val="1"/>
          <w:bCs w:val="1"/>
          <w:i w:val="1"/>
          <w:iCs w:val="1"/>
          <w:color w:val="auto"/>
        </w:rPr>
        <w:t>развития ССО</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Всем пациентам с АГ в связи с доказанным положительным эффектом на уровень СС смертности рекомендуются регулярные аэробные физические упражнения </w:t>
      </w:r>
      <w:r>
        <w:rPr>
          <w:rFonts w:ascii="Arial" w:cs="Arial" w:eastAsia="Arial" w:hAnsi="Arial"/>
          <w:sz w:val="27"/>
          <w:szCs w:val="27"/>
          <w:color w:val="auto"/>
        </w:rPr>
        <w:t>(</w:t>
      </w:r>
      <w:r>
        <w:rPr>
          <w:rFonts w:ascii="Arial" w:cs="Arial" w:eastAsia="Arial" w:hAnsi="Arial"/>
          <w:sz w:val="27"/>
          <w:szCs w:val="27"/>
          <w:color w:val="auto"/>
        </w:rPr>
        <w:t xml:space="preserve">не менее </w:t>
      </w:r>
      <w:r>
        <w:rPr>
          <w:rFonts w:ascii="Arial" w:cs="Arial" w:eastAsia="Arial" w:hAnsi="Arial"/>
          <w:sz w:val="27"/>
          <w:szCs w:val="27"/>
          <w:color w:val="auto"/>
        </w:rPr>
        <w:t>30</w:t>
      </w:r>
      <w:r>
        <w:rPr>
          <w:rFonts w:ascii="Arial" w:cs="Arial" w:eastAsia="Arial" w:hAnsi="Arial"/>
          <w:sz w:val="27"/>
          <w:szCs w:val="27"/>
          <w:color w:val="auto"/>
        </w:rPr>
        <w:t xml:space="preserve"> минут динамических упражнений умеренной интенсивности </w:t>
      </w:r>
      <w:r>
        <w:rPr>
          <w:rFonts w:ascii="Arial" w:cs="Arial" w:eastAsia="Arial" w:hAnsi="Arial"/>
          <w:sz w:val="27"/>
          <w:szCs w:val="27"/>
          <w:color w:val="auto"/>
        </w:rPr>
        <w:t xml:space="preserve">5–7 </w:t>
      </w:r>
      <w:r>
        <w:rPr>
          <w:rFonts w:ascii="Arial" w:cs="Arial" w:eastAsia="Arial" w:hAnsi="Arial"/>
          <w:sz w:val="27"/>
          <w:szCs w:val="27"/>
          <w:color w:val="auto"/>
        </w:rPr>
        <w:t>дней в неделю</w:t>
      </w:r>
      <w:r>
        <w:rPr>
          <w:rFonts w:ascii="Arial" w:cs="Arial" w:eastAsia="Arial" w:hAnsi="Arial"/>
          <w:sz w:val="27"/>
          <w:szCs w:val="27"/>
          <w:color w:val="auto"/>
        </w:rPr>
        <w:t>) [125, 126].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80"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Пациентам с АГ следует рекомендовать</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 xml:space="preserve">умеренные аэробные нагрузки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ходьба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скандинавская ходьба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езда на велосипеде</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плавание</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фитнес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Влияние изометрической силовой нагрузки на уровень АД и СС риск до конца не ясно</w:t>
      </w:r>
      <w:r>
        <w:rPr>
          <w:rFonts w:ascii="Arial" w:cs="Arial" w:eastAsia="Arial" w:hAnsi="Arial"/>
          <w:sz w:val="23"/>
          <w:szCs w:val="23"/>
          <w:b w:val="1"/>
          <w:bCs w:val="1"/>
          <w:i w:val="1"/>
          <w:iCs w:val="1"/>
          <w:color w:val="auto"/>
        </w:rPr>
        <w:t>.</w:t>
      </w:r>
    </w:p>
    <w:p>
      <w:pPr>
        <w:spacing w:after="0" w:line="15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Всем пациентам с АГ в связи с доказанным негативным эффектом курения на уровень смертности рекомендуются прекращение курения</w:t>
      </w:r>
      <w:r>
        <w:rPr>
          <w:rFonts w:ascii="Arial" w:cs="Arial" w:eastAsia="Arial" w:hAnsi="Arial"/>
          <w:sz w:val="27"/>
          <w:szCs w:val="27"/>
          <w:color w:val="auto"/>
        </w:rPr>
        <w:t>,</w:t>
      </w:r>
      <w:r>
        <w:rPr>
          <w:rFonts w:ascii="Arial" w:cs="Arial" w:eastAsia="Arial" w:hAnsi="Arial"/>
          <w:sz w:val="27"/>
          <w:szCs w:val="27"/>
          <w:color w:val="auto"/>
        </w:rPr>
        <w:t xml:space="preserve"> психологическая поддержка и выполнение программ по прекращению курения </w:t>
      </w:r>
      <w:r>
        <w:rPr>
          <w:rFonts w:ascii="Arial" w:cs="Arial" w:eastAsia="Arial" w:hAnsi="Arial"/>
          <w:sz w:val="27"/>
          <w:szCs w:val="27"/>
          <w:color w:val="auto"/>
        </w:rPr>
        <w:t>[127–129].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IB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ectPr>
          <w:pgSz w:w="11900" w:h="16887" w:orient="portrait"/>
          <w:cols w:equalWidth="0" w:num="1">
            <w:col w:w="9020"/>
          </w:cols>
          <w:pgMar w:left="1440" w:top="19" w:right="1440" w:bottom="0" w:gutter="0" w:footer="0" w:header="0"/>
        </w:sectPr>
      </w:pPr>
    </w:p>
    <w:bookmarkStart w:id="42" w:name="page43"/>
    <w:bookmarkEnd w:id="42"/>
    <w:p>
      <w:pPr>
        <w:spacing w:after="0" w:line="19"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3.4 </w:t>
      </w:r>
      <w:r>
        <w:rPr>
          <w:rFonts w:ascii="Arial" w:cs="Arial" w:eastAsia="Arial" w:hAnsi="Arial"/>
          <w:sz w:val="33"/>
          <w:szCs w:val="33"/>
          <w:b w:val="1"/>
          <w:bCs w:val="1"/>
          <w:color w:val="auto"/>
        </w:rPr>
        <w:t>Медикаментозная терапия АГ</w:t>
      </w:r>
    </w:p>
    <w:p>
      <w:pPr>
        <w:spacing w:after="0" w:line="200" w:lineRule="exact"/>
        <w:rPr>
          <w:sz w:val="20"/>
          <w:szCs w:val="20"/>
          <w:color w:val="auto"/>
        </w:rPr>
      </w:pPr>
    </w:p>
    <w:p>
      <w:pPr>
        <w:spacing w:after="0" w:line="22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3.4.1 </w:t>
      </w:r>
      <w:r>
        <w:rPr>
          <w:rFonts w:ascii="Arial" w:cs="Arial" w:eastAsia="Arial" w:hAnsi="Arial"/>
          <w:sz w:val="27"/>
          <w:szCs w:val="27"/>
          <w:b w:val="1"/>
          <w:bCs w:val="1"/>
          <w:color w:val="auto"/>
        </w:rPr>
        <w:t>Общие принципы медикаментозной терапии</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4"/>
          <w:szCs w:val="24"/>
          <w:b w:val="1"/>
          <w:bCs w:val="1"/>
          <w:i w:val="1"/>
          <w:iCs w:val="1"/>
          <w:color w:val="auto"/>
        </w:rPr>
        <w:t xml:space="preserve">Основой антигипертензивной терапии для снижения АД и уменьшения числа СС событий являются </w:t>
      </w:r>
      <w:r>
        <w:rPr>
          <w:rFonts w:ascii="Arial" w:cs="Arial" w:eastAsia="Arial" w:hAnsi="Arial"/>
          <w:sz w:val="24"/>
          <w:szCs w:val="24"/>
          <w:b w:val="1"/>
          <w:bCs w:val="1"/>
          <w:i w:val="1"/>
          <w:iCs w:val="1"/>
          <w:color w:val="auto"/>
        </w:rPr>
        <w:t>5</w:t>
      </w:r>
      <w:r>
        <w:rPr>
          <w:rFonts w:ascii="Arial" w:cs="Arial" w:eastAsia="Arial" w:hAnsi="Arial"/>
          <w:sz w:val="24"/>
          <w:szCs w:val="24"/>
          <w:b w:val="1"/>
          <w:bCs w:val="1"/>
          <w:i w:val="1"/>
          <w:iCs w:val="1"/>
          <w:color w:val="auto"/>
        </w:rPr>
        <w:t xml:space="preserve"> классов антигипертензивных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ингибиторы АПФ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ИАПФ</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блокаторы рецепторов ангиотензина</w:t>
      </w:r>
      <w:r>
        <w:rPr>
          <w:rFonts w:ascii="Arial" w:cs="Arial" w:eastAsia="Arial" w:hAnsi="Arial"/>
          <w:sz w:val="24"/>
          <w:szCs w:val="24"/>
          <w:b w:val="1"/>
          <w:bCs w:val="1"/>
          <w:i w:val="1"/>
          <w:iCs w:val="1"/>
          <w:color w:val="auto"/>
        </w:rPr>
        <w:t>-II (</w:t>
      </w:r>
      <w:r>
        <w:rPr>
          <w:rFonts w:ascii="Arial" w:cs="Arial" w:eastAsia="Arial" w:hAnsi="Arial"/>
          <w:sz w:val="24"/>
          <w:szCs w:val="24"/>
          <w:b w:val="1"/>
          <w:bCs w:val="1"/>
          <w:i w:val="1"/>
          <w:iCs w:val="1"/>
          <w:color w:val="auto"/>
        </w:rPr>
        <w:t>БРА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бета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адреноблокаторы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ББ</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блокаторы кальциевых каналов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АК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диуретики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тиазидные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гидрохлортиазид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тиазидоподобные</w:t>
      </w:r>
    </w:p>
    <w:p>
      <w:pPr>
        <w:spacing w:after="0" w:line="2"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 xml:space="preserve">— </w:t>
      </w:r>
      <w:r>
        <w:rPr>
          <w:rFonts w:ascii="Arial" w:cs="Arial" w:eastAsia="Arial" w:hAnsi="Arial"/>
          <w:sz w:val="27"/>
          <w:szCs w:val="27"/>
          <w:b w:val="1"/>
          <w:bCs w:val="1"/>
          <w:i w:val="1"/>
          <w:iCs w:val="1"/>
          <w:color w:val="auto"/>
        </w:rPr>
        <w:t>хлорталидон и индапамид</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jc w:val="both"/>
        <w:ind w:left="680" w:right="220"/>
        <w:spacing w:after="0" w:line="434" w:lineRule="auto"/>
        <w:rPr>
          <w:sz w:val="20"/>
          <w:szCs w:val="20"/>
          <w:color w:val="auto"/>
        </w:rPr>
      </w:pPr>
      <w:r>
        <w:rPr>
          <w:rFonts w:ascii="Arial" w:cs="Arial" w:eastAsia="Arial" w:hAnsi="Arial"/>
          <w:sz w:val="23"/>
          <w:szCs w:val="23"/>
          <w:b w:val="1"/>
          <w:bCs w:val="1"/>
          <w:i w:val="1"/>
          <w:iCs w:val="1"/>
          <w:color w:val="auto"/>
        </w:rPr>
        <w:t>Противопоказания к назначению основных антигипертензивных препаратов суммированы в таблице П</w:t>
      </w:r>
      <w:r>
        <w:rPr>
          <w:rFonts w:ascii="Arial" w:cs="Arial" w:eastAsia="Arial" w:hAnsi="Arial"/>
          <w:sz w:val="23"/>
          <w:szCs w:val="23"/>
          <w:b w:val="1"/>
          <w:bCs w:val="1"/>
          <w:i w:val="1"/>
          <w:iCs w:val="1"/>
          <w:color w:val="auto"/>
        </w:rPr>
        <w:t>4,</w:t>
      </w:r>
      <w:r>
        <w:rPr>
          <w:rFonts w:ascii="Arial" w:cs="Arial" w:eastAsia="Arial" w:hAnsi="Arial"/>
          <w:sz w:val="23"/>
          <w:szCs w:val="23"/>
          <w:b w:val="1"/>
          <w:bCs w:val="1"/>
          <w:i w:val="1"/>
          <w:iCs w:val="1"/>
          <w:color w:val="auto"/>
        </w:rPr>
        <w:t xml:space="preserve"> Приложение Г</w:t>
      </w:r>
      <w:r>
        <w:rPr>
          <w:rFonts w:ascii="Arial" w:cs="Arial" w:eastAsia="Arial" w:hAnsi="Arial"/>
          <w:sz w:val="23"/>
          <w:szCs w:val="23"/>
          <w:b w:val="1"/>
          <w:bCs w:val="1"/>
          <w:i w:val="1"/>
          <w:iCs w:val="1"/>
          <w:color w:val="auto"/>
        </w:rPr>
        <w:t>4.</w:t>
      </w:r>
    </w:p>
    <w:p>
      <w:pPr>
        <w:spacing w:after="0" w:line="94"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Всем пациентам с АГ </w:t>
      </w:r>
      <w:r>
        <w:rPr>
          <w:rFonts w:ascii="Arial" w:cs="Arial" w:eastAsia="Arial" w:hAnsi="Arial"/>
          <w:sz w:val="27"/>
          <w:szCs w:val="27"/>
          <w:color w:val="auto"/>
        </w:rPr>
        <w:t>(</w:t>
      </w:r>
      <w:r>
        <w:rPr>
          <w:rFonts w:ascii="Arial" w:cs="Arial" w:eastAsia="Arial" w:hAnsi="Arial"/>
          <w:sz w:val="27"/>
          <w:szCs w:val="27"/>
          <w:color w:val="auto"/>
        </w:rPr>
        <w:t>кроме пациентов низкого риска с АД</w:t>
      </w:r>
      <w:r>
        <w:rPr>
          <w:rFonts w:ascii="Arial" w:cs="Arial" w:eastAsia="Arial" w:hAnsi="Arial"/>
          <w:sz w:val="27"/>
          <w:szCs w:val="27"/>
          <w:color w:val="auto"/>
        </w:rPr>
        <w:t>&lt;150/90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пациентов </w:t>
      </w:r>
      <w:r>
        <w:rPr>
          <w:rFonts w:ascii="Times New Roman" w:cs="Times New Roman" w:eastAsia="Times New Roman" w:hAnsi="Times New Roman"/>
          <w:sz w:val="27"/>
          <w:szCs w:val="27"/>
          <w:color w:val="auto"/>
        </w:rPr>
        <w:t>≥</w:t>
      </w:r>
      <w:r>
        <w:rPr>
          <w:rFonts w:ascii="Arial" w:cs="Arial" w:eastAsia="Arial" w:hAnsi="Arial"/>
          <w:sz w:val="27"/>
          <w:szCs w:val="27"/>
          <w:color w:val="auto"/>
        </w:rPr>
        <w:t>80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пациентов с синдромом старческой астении</w:t>
      </w:r>
      <w:r>
        <w:rPr>
          <w:rFonts w:ascii="Arial" w:cs="Arial" w:eastAsia="Arial" w:hAnsi="Arial"/>
          <w:sz w:val="27"/>
          <w:szCs w:val="27"/>
          <w:color w:val="auto"/>
        </w:rPr>
        <w:t>)</w:t>
      </w:r>
      <w:r>
        <w:rPr>
          <w:rFonts w:ascii="Arial" w:cs="Arial" w:eastAsia="Arial" w:hAnsi="Arial"/>
          <w:sz w:val="27"/>
          <w:szCs w:val="27"/>
          <w:color w:val="auto"/>
        </w:rPr>
        <w:t xml:space="preserve"> в качестве стартовой терапии рекомендована комбинация антигипертензивных препаратов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-909320</wp:posOffset>
            </wp:positionV>
            <wp:extent cx="82550" cy="8255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9" w:lineRule="auto"/>
        <w:rPr>
          <w:sz w:val="20"/>
          <w:szCs w:val="20"/>
          <w:color w:val="auto"/>
        </w:rPr>
      </w:pPr>
      <w:r>
        <w:rPr>
          <w:rFonts w:ascii="Arial" w:cs="Arial" w:eastAsia="Arial" w:hAnsi="Arial"/>
          <w:sz w:val="27"/>
          <w:szCs w:val="27"/>
          <w:color w:val="auto"/>
        </w:rPr>
        <w:t>предпочтительно фиксированная</w:t>
      </w:r>
      <w:r>
        <w:rPr>
          <w:rFonts w:ascii="Arial" w:cs="Arial" w:eastAsia="Arial" w:hAnsi="Arial"/>
          <w:sz w:val="27"/>
          <w:szCs w:val="27"/>
          <w:color w:val="auto"/>
        </w:rPr>
        <w:t>,</w:t>
      </w:r>
      <w:r>
        <w:rPr>
          <w:rFonts w:ascii="Arial" w:cs="Arial" w:eastAsia="Arial" w:hAnsi="Arial"/>
          <w:sz w:val="27"/>
          <w:szCs w:val="27"/>
          <w:color w:val="auto"/>
        </w:rPr>
        <w:t xml:space="preserve"> для улучшения приверженности к терапии</w:t>
      </w:r>
      <w:r>
        <w:rPr>
          <w:rFonts w:ascii="Arial" w:cs="Arial" w:eastAsia="Arial" w:hAnsi="Arial"/>
          <w:sz w:val="27"/>
          <w:szCs w:val="27"/>
          <w:color w:val="auto"/>
        </w:rPr>
        <w:t>.</w:t>
      </w:r>
      <w:r>
        <w:rPr>
          <w:rFonts w:ascii="Arial" w:cs="Arial" w:eastAsia="Arial" w:hAnsi="Arial"/>
          <w:sz w:val="27"/>
          <w:szCs w:val="27"/>
          <w:color w:val="auto"/>
        </w:rPr>
        <w:t xml:space="preserve"> Предпочтительные комбинации должны включать блокатор ренин</w:t>
      </w:r>
      <w:r>
        <w:rPr>
          <w:rFonts w:ascii="Arial" w:cs="Arial" w:eastAsia="Arial" w:hAnsi="Arial"/>
          <w:sz w:val="27"/>
          <w:szCs w:val="27"/>
          <w:color w:val="auto"/>
        </w:rPr>
        <w:t>-</w:t>
      </w:r>
      <w:r>
        <w:rPr>
          <w:rFonts w:ascii="Arial" w:cs="Arial" w:eastAsia="Arial" w:hAnsi="Arial"/>
          <w:sz w:val="27"/>
          <w:szCs w:val="27"/>
          <w:color w:val="auto"/>
        </w:rPr>
        <w:t xml:space="preserve">ангиотензиновой системы </w:t>
      </w:r>
      <w:r>
        <w:rPr>
          <w:rFonts w:ascii="Arial" w:cs="Arial" w:eastAsia="Arial" w:hAnsi="Arial"/>
          <w:sz w:val="27"/>
          <w:szCs w:val="27"/>
          <w:color w:val="auto"/>
        </w:rPr>
        <w:t>(</w:t>
      </w:r>
      <w:r>
        <w:rPr>
          <w:rFonts w:ascii="Arial" w:cs="Arial" w:eastAsia="Arial" w:hAnsi="Arial"/>
          <w:sz w:val="27"/>
          <w:szCs w:val="27"/>
          <w:color w:val="auto"/>
        </w:rPr>
        <w:t>РААС</w:t>
      </w:r>
      <w:r>
        <w:rPr>
          <w:rFonts w:ascii="Arial" w:cs="Arial" w:eastAsia="Arial" w:hAnsi="Arial"/>
          <w:sz w:val="27"/>
          <w:szCs w:val="27"/>
          <w:color w:val="auto"/>
        </w:rPr>
        <w:t>) (</w:t>
      </w:r>
      <w:r>
        <w:rPr>
          <w:rFonts w:ascii="Arial" w:cs="Arial" w:eastAsia="Arial" w:hAnsi="Arial"/>
          <w:sz w:val="27"/>
          <w:szCs w:val="27"/>
          <w:color w:val="auto"/>
        </w:rPr>
        <w:t>ингибитор АПФ или БРА</w:t>
      </w:r>
      <w:r>
        <w:rPr>
          <w:rFonts w:ascii="Arial" w:cs="Arial" w:eastAsia="Arial" w:hAnsi="Arial"/>
          <w:sz w:val="27"/>
          <w:szCs w:val="27"/>
          <w:color w:val="auto"/>
        </w:rPr>
        <w:t xml:space="preserve">) </w:t>
      </w:r>
      <w:r>
        <w:rPr>
          <w:rFonts w:ascii="Arial" w:cs="Arial" w:eastAsia="Arial" w:hAnsi="Arial"/>
          <w:sz w:val="27"/>
          <w:szCs w:val="27"/>
          <w:color w:val="auto"/>
        </w:rPr>
        <w:t>и дигидропиридиновый АК</w:t>
      </w:r>
      <w:r>
        <w:rPr>
          <w:rFonts w:ascii="Arial" w:cs="Arial" w:eastAsia="Arial" w:hAnsi="Arial"/>
          <w:sz w:val="27"/>
          <w:szCs w:val="27"/>
          <w:color w:val="auto"/>
        </w:rPr>
        <w:t xml:space="preserve"> </w:t>
      </w:r>
      <w:r>
        <w:rPr>
          <w:rFonts w:ascii="Arial" w:cs="Arial" w:eastAsia="Arial" w:hAnsi="Arial"/>
          <w:sz w:val="27"/>
          <w:szCs w:val="27"/>
          <w:color w:val="auto"/>
        </w:rPr>
        <w:t xml:space="preserve">или диуретик </w:t>
      </w:r>
      <w:r>
        <w:rPr>
          <w:rFonts w:ascii="Arial" w:cs="Arial" w:eastAsia="Arial" w:hAnsi="Arial"/>
          <w:sz w:val="27"/>
          <w:szCs w:val="27"/>
          <w:color w:val="auto"/>
        </w:rPr>
        <w:t>(</w:t>
      </w:r>
      <w:r>
        <w:rPr>
          <w:rFonts w:ascii="Arial" w:cs="Arial" w:eastAsia="Arial" w:hAnsi="Arial"/>
          <w:sz w:val="27"/>
          <w:szCs w:val="27"/>
          <w:color w:val="auto"/>
        </w:rPr>
        <w:t>Приложение Б</w:t>
      </w:r>
      <w:r>
        <w:rPr>
          <w:rFonts w:ascii="Arial" w:cs="Arial" w:eastAsia="Arial" w:hAnsi="Arial"/>
          <w:sz w:val="27"/>
          <w:szCs w:val="27"/>
          <w:color w:val="auto"/>
        </w:rPr>
        <w:t>2) [130–134].</w:t>
      </w:r>
    </w:p>
    <w:p>
      <w:pPr>
        <w:spacing w:after="0" w:line="22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43"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Многочисленными РКИ показано</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что</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монотерапия эффективно снижает АД лишь у ограниченного числа пациентов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большинству пациентов для контроля АД требуется комбинация как минимум из двух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Метаанализ более </w:t>
      </w:r>
      <w:r>
        <w:rPr>
          <w:rFonts w:ascii="Arial" w:cs="Arial" w:eastAsia="Arial" w:hAnsi="Arial"/>
          <w:sz w:val="24"/>
          <w:szCs w:val="24"/>
          <w:b w:val="1"/>
          <w:bCs w:val="1"/>
          <w:i w:val="1"/>
          <w:iCs w:val="1"/>
          <w:color w:val="auto"/>
        </w:rPr>
        <w:t>40</w:t>
      </w:r>
      <w:r>
        <w:rPr>
          <w:rFonts w:ascii="Arial" w:cs="Arial" w:eastAsia="Arial" w:hAnsi="Arial"/>
          <w:sz w:val="24"/>
          <w:szCs w:val="24"/>
          <w:b w:val="1"/>
          <w:bCs w:val="1"/>
          <w:i w:val="1"/>
          <w:iCs w:val="1"/>
          <w:color w:val="auto"/>
        </w:rPr>
        <w:t xml:space="preserve"> исследований показал</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комбинация двух препаратов из любых двух классов антигипертензивных средств усиливает степень снижения АД намного сильнее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чем повышение дозы одного препарата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Еще одно преимущество комбинированной терапии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возможность физиологического и фармакологического синергизма между препаратами разных классов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может не только лежать в основе более выраженного снижения АД и лучшей переносимости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Комбинированная терапия позволяет также подавить контррегуляторные механизмы повышения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Все преимущества комбинированной терапии присущи только рациональным комбинациям АГП</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 ним относятся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ИАПФ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диуретик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БРА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диуретик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ИАПФ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БРА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АК</w:t>
      </w:r>
      <w:r>
        <w:rPr>
          <w:rFonts w:ascii="Arial" w:cs="Arial" w:eastAsia="Arial" w:hAnsi="Arial"/>
          <w:sz w:val="24"/>
          <w:szCs w:val="24"/>
          <w:b w:val="1"/>
          <w:bCs w:val="1"/>
          <w:i w:val="1"/>
          <w:iCs w:val="1"/>
          <w:color w:val="auto"/>
        </w:rPr>
        <w:t>,</w:t>
      </w:r>
    </w:p>
    <w:p>
      <w:pPr>
        <w:sectPr>
          <w:pgSz w:w="11900" w:h="16859" w:orient="portrait"/>
          <w:cols w:equalWidth="0" w:num="1">
            <w:col w:w="9020"/>
          </w:cols>
          <w:pgMar w:left="1440" w:top="0" w:right="1440" w:bottom="0" w:gutter="0" w:footer="0" w:header="0"/>
        </w:sectPr>
      </w:pPr>
    </w:p>
    <w:bookmarkStart w:id="43" w:name="page44"/>
    <w:bookmarkEnd w:id="43"/>
    <w:p>
      <w:pPr>
        <w:spacing w:after="0" w:line="176"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4"/>
          <w:szCs w:val="24"/>
          <w:b w:val="1"/>
          <w:bCs w:val="1"/>
          <w:i w:val="1"/>
          <w:iCs w:val="1"/>
          <w:color w:val="auto"/>
        </w:rPr>
        <w:t xml:space="preserve">дигидропиридиновый АК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диуретик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диуретик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 практике могут быть использованы и другие комбинации пяти основных классов антигипертензивных средств при наличии индивидуальных показаний</w:t>
      </w:r>
      <w:r>
        <w:rPr>
          <w:rFonts w:ascii="Arial" w:cs="Arial" w:eastAsia="Arial" w:hAnsi="Arial"/>
          <w:sz w:val="24"/>
          <w:szCs w:val="24"/>
          <w:color w:val="auto"/>
        </w:rPr>
        <w:t>.</w:t>
      </w:r>
      <w:r>
        <w:rPr>
          <w:rFonts w:ascii="Arial" w:cs="Arial" w:eastAsia="Arial" w:hAnsi="Arial"/>
          <w:sz w:val="24"/>
          <w:szCs w:val="24"/>
          <w:b w:val="1"/>
          <w:bCs w:val="1"/>
          <w:i w:val="1"/>
          <w:iCs w:val="1"/>
          <w:color w:val="auto"/>
        </w:rPr>
        <w:t xml:space="preserve"> При наличии клинической целесообразности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 учетом особенностей клинического течения заболевания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коморбидной патологии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переносимости лечения и профиля побочных эффектов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 также при наличии предпочтений пациента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связанных с его личным позитивным или негативным опытом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соответственно с учетом ожидаемой приверженности к лечению врач имеет право назначать любой антигипертензивный препарат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который зарегистрирован для лечения АГ в РФ</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как в монотерапии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так и</w:t>
      </w:r>
    </w:p>
    <w:p>
      <w:pPr>
        <w:spacing w:after="0" w:line="4" w:lineRule="exact"/>
        <w:rPr>
          <w:sz w:val="20"/>
          <w:szCs w:val="20"/>
          <w:color w:val="auto"/>
        </w:rPr>
      </w:pPr>
    </w:p>
    <w:p>
      <w:pPr>
        <w:jc w:val="both"/>
        <w:ind w:left="680" w:right="220" w:hanging="4"/>
        <w:spacing w:after="0" w:line="317" w:lineRule="auto"/>
        <w:tabs>
          <w:tab w:leader="none" w:pos="984" w:val="left"/>
        </w:tabs>
        <w:numPr>
          <w:ilvl w:val="0"/>
          <w:numId w:val="23"/>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комбинации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При этом отклонение от стандартных схем терапии требует соответствующего объяснения в истории болезни</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ind w:left="680" w:right="220" w:hanging="4"/>
        <w:spacing w:after="0" w:line="334" w:lineRule="auto"/>
        <w:tabs>
          <w:tab w:leader="none" w:pos="1104" w:val="left"/>
        </w:tabs>
        <w:numPr>
          <w:ilvl w:val="0"/>
          <w:numId w:val="24"/>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запрещенным комбинациям относится комбинация двух блокаторов РААС</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jc w:val="both"/>
        <w:ind w:left="680" w:right="220"/>
        <w:spacing w:after="0" w:line="345" w:lineRule="auto"/>
        <w:rPr>
          <w:sz w:val="20"/>
          <w:szCs w:val="20"/>
          <w:color w:val="auto"/>
        </w:rPr>
      </w:pPr>
      <w:r>
        <w:rPr>
          <w:rFonts w:ascii="Arial" w:cs="Arial" w:eastAsia="Arial" w:hAnsi="Arial"/>
          <w:sz w:val="24"/>
          <w:szCs w:val="24"/>
          <w:b w:val="1"/>
          <w:bCs w:val="1"/>
          <w:i w:val="1"/>
          <w:iCs w:val="1"/>
          <w:color w:val="auto"/>
        </w:rPr>
        <w:t>Фиксированные комбинации повышают приверженность к лечению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Однако такие лекарственные формы не входят в формуляры многих учреждений и в списки жизненно важных лекарственных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делает сложным их назначение пациентам в стационаре и льготным категориям пациентов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поэтому если у пациента достигнут целевой уровень АД в пределах установленных значений и наблюдается хорошая приверженность к лечению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то нет необходимости его перевода со свободной на фиксированные комбинации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Свободные комбинации могут быть использованы также по организационным соображениям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частности с целью обеспечения доступности препаратов для пациента</w:t>
      </w:r>
      <w:r>
        <w:rPr>
          <w:rFonts w:ascii="Arial" w:cs="Arial" w:eastAsia="Arial" w:hAnsi="Arial"/>
          <w:sz w:val="24"/>
          <w:szCs w:val="24"/>
          <w:b w:val="1"/>
          <w:bCs w:val="1"/>
          <w:i w:val="1"/>
          <w:iCs w:val="1"/>
          <w:color w:val="auto"/>
        </w:rPr>
        <w:t>.</w:t>
      </w:r>
    </w:p>
    <w:p>
      <w:pPr>
        <w:spacing w:after="0" w:line="191" w:lineRule="exact"/>
        <w:rPr>
          <w:sz w:val="20"/>
          <w:szCs w:val="20"/>
          <w:color w:val="auto"/>
        </w:rPr>
      </w:pPr>
    </w:p>
    <w:p>
      <w:pPr>
        <w:jc w:val="both"/>
        <w:ind w:left="680" w:right="220"/>
        <w:spacing w:after="0" w:line="321" w:lineRule="auto"/>
        <w:rPr>
          <w:sz w:val="20"/>
          <w:szCs w:val="20"/>
          <w:color w:val="auto"/>
        </w:rPr>
      </w:pPr>
      <w:r>
        <w:rPr>
          <w:rFonts w:ascii="Arial" w:cs="Arial" w:eastAsia="Arial" w:hAnsi="Arial"/>
          <w:sz w:val="26"/>
          <w:szCs w:val="26"/>
          <w:b w:val="1"/>
          <w:bCs w:val="1"/>
          <w:i w:val="1"/>
          <w:iCs w:val="1"/>
          <w:color w:val="auto"/>
        </w:rPr>
        <w:t>Шаги АГТ предполагают возможность или использования более высоких дозировок в комбинации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или сразу переход на </w:t>
      </w:r>
      <w:r>
        <w:rPr>
          <w:rFonts w:ascii="Arial" w:cs="Arial" w:eastAsia="Arial" w:hAnsi="Arial"/>
          <w:sz w:val="26"/>
          <w:szCs w:val="26"/>
          <w:b w:val="1"/>
          <w:bCs w:val="1"/>
          <w:i w:val="1"/>
          <w:iCs w:val="1"/>
          <w:color w:val="auto"/>
        </w:rPr>
        <w:t>3-</w:t>
      </w:r>
      <w:r>
        <w:rPr>
          <w:rFonts w:ascii="Arial" w:cs="Arial" w:eastAsia="Arial" w:hAnsi="Arial"/>
          <w:sz w:val="26"/>
          <w:szCs w:val="26"/>
          <w:b w:val="1"/>
          <w:bCs w:val="1"/>
          <w:i w:val="1"/>
          <w:iCs w:val="1"/>
          <w:color w:val="auto"/>
        </w:rPr>
        <w:t>компонентную схему лечения</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Оба подхода допустимы на этапе </w:t>
      </w:r>
      <w:r>
        <w:rPr>
          <w:rFonts w:ascii="Arial" w:cs="Arial" w:eastAsia="Arial" w:hAnsi="Arial"/>
          <w:sz w:val="26"/>
          <w:szCs w:val="26"/>
          <w:b w:val="1"/>
          <w:bCs w:val="1"/>
          <w:i w:val="1"/>
          <w:iCs w:val="1"/>
          <w:color w:val="auto"/>
        </w:rPr>
        <w:t>2-</w:t>
      </w:r>
      <w:r>
        <w:rPr>
          <w:rFonts w:ascii="Arial" w:cs="Arial" w:eastAsia="Arial" w:hAnsi="Arial"/>
          <w:sz w:val="26"/>
          <w:szCs w:val="26"/>
          <w:b w:val="1"/>
          <w:bCs w:val="1"/>
          <w:i w:val="1"/>
          <w:iCs w:val="1"/>
          <w:color w:val="auto"/>
        </w:rPr>
        <w:t>компонентной схемы</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но они должны обеспечить достижение</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 xml:space="preserve">целевого АД в течение </w:t>
      </w:r>
      <w:r>
        <w:rPr>
          <w:rFonts w:ascii="Arial" w:cs="Arial" w:eastAsia="Arial" w:hAnsi="Arial"/>
          <w:sz w:val="26"/>
          <w:szCs w:val="26"/>
          <w:b w:val="1"/>
          <w:bCs w:val="1"/>
          <w:i w:val="1"/>
          <w:iCs w:val="1"/>
          <w:color w:val="auto"/>
        </w:rPr>
        <w:t>3</w:t>
      </w:r>
      <w:r>
        <w:rPr>
          <w:rFonts w:ascii="Arial" w:cs="Arial" w:eastAsia="Arial" w:hAnsi="Arial"/>
          <w:sz w:val="26"/>
          <w:szCs w:val="26"/>
          <w:b w:val="1"/>
          <w:bCs w:val="1"/>
          <w:i w:val="1"/>
          <w:iCs w:val="1"/>
          <w:color w:val="auto"/>
        </w:rPr>
        <w:t xml:space="preserve"> месяцев с шагом титрации дозы приблизительно </w:t>
      </w:r>
      <w:r>
        <w:rPr>
          <w:rFonts w:ascii="Arial" w:cs="Arial" w:eastAsia="Arial" w:hAnsi="Arial"/>
          <w:sz w:val="26"/>
          <w:szCs w:val="26"/>
          <w:b w:val="1"/>
          <w:bCs w:val="1"/>
          <w:i w:val="1"/>
          <w:iCs w:val="1"/>
          <w:color w:val="auto"/>
        </w:rPr>
        <w:t>4</w:t>
      </w:r>
      <w:r>
        <w:rPr>
          <w:rFonts w:ascii="Arial" w:cs="Arial" w:eastAsia="Arial" w:hAnsi="Arial"/>
          <w:sz w:val="26"/>
          <w:szCs w:val="26"/>
          <w:b w:val="1"/>
          <w:bCs w:val="1"/>
          <w:i w:val="1"/>
          <w:iCs w:val="1"/>
          <w:color w:val="auto"/>
        </w:rPr>
        <w:t xml:space="preserve"> недели</w:t>
      </w:r>
      <w:r>
        <w:rPr>
          <w:rFonts w:ascii="Arial" w:cs="Arial" w:eastAsia="Arial" w:hAnsi="Arial"/>
          <w:sz w:val="26"/>
          <w:szCs w:val="26"/>
          <w:b w:val="1"/>
          <w:bCs w:val="1"/>
          <w:i w:val="1"/>
          <w:iCs w:val="1"/>
          <w:color w:val="auto"/>
        </w:rPr>
        <w:t>.</w:t>
      </w:r>
    </w:p>
    <w:p>
      <w:pPr>
        <w:spacing w:after="0" w:line="212" w:lineRule="exact"/>
        <w:rPr>
          <w:sz w:val="20"/>
          <w:szCs w:val="20"/>
          <w:color w:val="auto"/>
        </w:rPr>
      </w:pPr>
    </w:p>
    <w:p>
      <w:pPr>
        <w:jc w:val="both"/>
        <w:ind w:left="680" w:right="220"/>
        <w:spacing w:after="0" w:line="374" w:lineRule="auto"/>
        <w:rPr>
          <w:sz w:val="20"/>
          <w:szCs w:val="20"/>
          <w:color w:val="auto"/>
        </w:rPr>
      </w:pPr>
      <w:r>
        <w:rPr>
          <w:rFonts w:ascii="Arial" w:cs="Arial" w:eastAsia="Arial" w:hAnsi="Arial"/>
          <w:sz w:val="23"/>
          <w:szCs w:val="23"/>
          <w:b w:val="1"/>
          <w:bCs w:val="1"/>
          <w:i w:val="1"/>
          <w:iCs w:val="1"/>
          <w:color w:val="auto"/>
        </w:rPr>
        <w:t>Следует подчеркнуть</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в реальной практике на </w:t>
      </w:r>
      <w:r>
        <w:rPr>
          <w:rFonts w:ascii="Arial" w:cs="Arial" w:eastAsia="Arial" w:hAnsi="Arial"/>
          <w:sz w:val="23"/>
          <w:szCs w:val="23"/>
          <w:b w:val="1"/>
          <w:bCs w:val="1"/>
          <w:i w:val="1"/>
          <w:iCs w:val="1"/>
          <w:color w:val="auto"/>
        </w:rPr>
        <w:t>1</w:t>
      </w:r>
      <w:r>
        <w:rPr>
          <w:rFonts w:ascii="Arial" w:cs="Arial" w:eastAsia="Arial" w:hAnsi="Arial"/>
          <w:sz w:val="23"/>
          <w:szCs w:val="23"/>
          <w:b w:val="1"/>
          <w:bCs w:val="1"/>
          <w:i w:val="1"/>
          <w:iCs w:val="1"/>
          <w:color w:val="auto"/>
        </w:rPr>
        <w:t xml:space="preserve"> шаге терапии необходимо назначать препараты в оптимальных терапевтических дозах</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которые могут обеспечить достижение целевого АД в указанные сроки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этом случае при недостижении целевого АД рациональным будет переход на следующий шаг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До</w:t>
      </w:r>
    </w:p>
    <w:p>
      <w:pPr>
        <w:sectPr>
          <w:pgSz w:w="11900" w:h="17016" w:orient="portrait"/>
          <w:cols w:equalWidth="0" w:num="1">
            <w:col w:w="9020"/>
          </w:cols>
          <w:pgMar w:left="1440" w:top="19" w:right="1440" w:bottom="0" w:gutter="0" w:footer="0" w:header="0"/>
        </w:sectPr>
      </w:pPr>
    </w:p>
    <w:bookmarkStart w:id="44" w:name="page45"/>
    <w:bookmarkEnd w:id="44"/>
    <w:p>
      <w:pPr>
        <w:spacing w:after="0" w:line="3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 xml:space="preserve">перехода на </w:t>
      </w:r>
      <w:r>
        <w:rPr>
          <w:rFonts w:ascii="Arial" w:cs="Arial" w:eastAsia="Arial" w:hAnsi="Arial"/>
          <w:sz w:val="27"/>
          <w:szCs w:val="27"/>
          <w:b w:val="1"/>
          <w:bCs w:val="1"/>
          <w:i w:val="1"/>
          <w:iCs w:val="1"/>
          <w:color w:val="auto"/>
        </w:rPr>
        <w:t>4-</w:t>
      </w:r>
      <w:r>
        <w:rPr>
          <w:rFonts w:ascii="Arial" w:cs="Arial" w:eastAsia="Arial" w:hAnsi="Arial"/>
          <w:sz w:val="27"/>
          <w:szCs w:val="27"/>
          <w:b w:val="1"/>
          <w:bCs w:val="1"/>
          <w:i w:val="1"/>
          <w:iCs w:val="1"/>
          <w:color w:val="auto"/>
        </w:rPr>
        <w:t>компонентную схему необходимо использование трех препаратов в максимальных дозах при хорошей переносимости</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hanging="4"/>
        <w:spacing w:after="0" w:line="334" w:lineRule="auto"/>
        <w:tabs>
          <w:tab w:leader="none" w:pos="978" w:val="left"/>
        </w:tabs>
        <w:numPr>
          <w:ilvl w:val="0"/>
          <w:numId w:val="25"/>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 xml:space="preserve">15–20% </w:t>
      </w:r>
      <w:r>
        <w:rPr>
          <w:rFonts w:ascii="Arial" w:cs="Arial" w:eastAsia="Arial" w:hAnsi="Arial"/>
          <w:sz w:val="25"/>
          <w:szCs w:val="25"/>
          <w:b w:val="1"/>
          <w:bCs w:val="1"/>
          <w:i w:val="1"/>
          <w:iCs w:val="1"/>
          <w:color w:val="auto"/>
        </w:rPr>
        <w:t>пациентов контроль АД может быть не достигнут</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 xml:space="preserve">при использовании </w:t>
      </w:r>
      <w:r>
        <w:rPr>
          <w:rFonts w:ascii="Arial" w:cs="Arial" w:eastAsia="Arial" w:hAnsi="Arial"/>
          <w:sz w:val="25"/>
          <w:szCs w:val="25"/>
          <w:b w:val="1"/>
          <w:bCs w:val="1"/>
          <w:i w:val="1"/>
          <w:iCs w:val="1"/>
          <w:color w:val="auto"/>
        </w:rPr>
        <w:t>3</w:t>
      </w:r>
      <w:r>
        <w:rPr>
          <w:rFonts w:ascii="Arial" w:cs="Arial" w:eastAsia="Arial" w:hAnsi="Arial"/>
          <w:sz w:val="25"/>
          <w:szCs w:val="25"/>
          <w:b w:val="1"/>
          <w:bCs w:val="1"/>
          <w:i w:val="1"/>
          <w:iCs w:val="1"/>
          <w:color w:val="auto"/>
        </w:rPr>
        <w:t xml:space="preserve"> препаратов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 этом случае используется комбинация из </w:t>
      </w:r>
      <w:r>
        <w:rPr>
          <w:rFonts w:ascii="Arial" w:cs="Arial" w:eastAsia="Arial" w:hAnsi="Arial"/>
          <w:sz w:val="25"/>
          <w:szCs w:val="25"/>
          <w:b w:val="1"/>
          <w:bCs w:val="1"/>
          <w:i w:val="1"/>
          <w:iCs w:val="1"/>
          <w:color w:val="auto"/>
        </w:rPr>
        <w:t>4</w:t>
      </w:r>
      <w:r>
        <w:rPr>
          <w:rFonts w:ascii="Arial" w:cs="Arial" w:eastAsia="Arial" w:hAnsi="Arial"/>
          <w:sz w:val="25"/>
          <w:szCs w:val="25"/>
          <w:b w:val="1"/>
          <w:bCs w:val="1"/>
          <w:i w:val="1"/>
          <w:iCs w:val="1"/>
          <w:color w:val="auto"/>
        </w:rPr>
        <w:t xml:space="preserve"> и более АГП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Однако в случаях резистентной АГ при добавлении каждого нового препарата необходимо контролировать их эффективность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 неэффективные АГП следует отменять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 не сохранять в рамках постепенного усиления многокомпонентной АГТ</w:t>
      </w:r>
      <w:r>
        <w:rPr>
          <w:rFonts w:ascii="Arial" w:cs="Arial" w:eastAsia="Arial" w:hAnsi="Arial"/>
          <w:sz w:val="25"/>
          <w:szCs w:val="25"/>
          <w:b w:val="1"/>
          <w:bCs w:val="1"/>
          <w:i w:val="1"/>
          <w:iCs w:val="1"/>
          <w:color w:val="auto"/>
        </w:rPr>
        <w:t>.</w:t>
      </w:r>
    </w:p>
    <w:p>
      <w:pPr>
        <w:spacing w:after="0" w:line="201" w:lineRule="exact"/>
        <w:rPr>
          <w:sz w:val="20"/>
          <w:szCs w:val="20"/>
          <w:color w:val="auto"/>
        </w:rPr>
      </w:pPr>
    </w:p>
    <w:p>
      <w:pPr>
        <w:jc w:val="both"/>
        <w:ind w:left="680" w:right="220" w:hanging="4"/>
        <w:spacing w:after="0" w:line="317" w:lineRule="auto"/>
        <w:tabs>
          <w:tab w:leader="none" w:pos="1120" w:val="left"/>
        </w:tabs>
        <w:numPr>
          <w:ilvl w:val="0"/>
          <w:numId w:val="26"/>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рекомендуемым комбинациям трех антигипертензивных препаратов относятся</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ИАПФ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АК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диуретик</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БРА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АК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диуретик</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По показаниям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при наличии особых условий можно использовать</w:t>
      </w:r>
    </w:p>
    <w:p>
      <w:pPr>
        <w:spacing w:after="0" w:line="126" w:lineRule="exact"/>
        <w:rPr>
          <w:sz w:val="20"/>
          <w:szCs w:val="20"/>
          <w:color w:val="auto"/>
        </w:rPr>
      </w:pPr>
    </w:p>
    <w:p>
      <w:pPr>
        <w:jc w:val="both"/>
        <w:ind w:left="680" w:right="220" w:hanging="4"/>
        <w:spacing w:after="0" w:line="372" w:lineRule="auto"/>
        <w:tabs>
          <w:tab w:leader="none" w:pos="912" w:val="left"/>
        </w:tabs>
        <w:numPr>
          <w:ilvl w:val="0"/>
          <w:numId w:val="27"/>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другие комбинации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ИАПФ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дигидропиридиновый АК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БРА </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дигидропиридиновый АК</w:t>
      </w:r>
      <w:r>
        <w:rPr>
          <w:rFonts w:ascii="Arial" w:cs="Arial" w:eastAsia="Arial" w:hAnsi="Arial"/>
          <w:sz w:val="24"/>
          <w:szCs w:val="24"/>
          <w:b w:val="1"/>
          <w:bCs w:val="1"/>
          <w:i w:val="1"/>
          <w:iCs w:val="1"/>
          <w:color w:val="auto"/>
        </w:rPr>
        <w:t xml:space="preserve"> + </w:t>
      </w:r>
      <w:r>
        <w:rPr>
          <w:rFonts w:ascii="Arial" w:cs="Arial" w:eastAsia="Arial" w:hAnsi="Arial"/>
          <w:sz w:val="24"/>
          <w:szCs w:val="24"/>
          <w:b w:val="1"/>
          <w:bCs w:val="1"/>
          <w:i w:val="1"/>
          <w:iCs w:val="1"/>
          <w:color w:val="auto"/>
        </w:rPr>
        <w:t>ББ</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ИАПФ</w:t>
      </w:r>
      <w:r>
        <w:rPr>
          <w:rFonts w:ascii="Arial" w:cs="Arial" w:eastAsia="Arial" w:hAnsi="Arial"/>
          <w:sz w:val="24"/>
          <w:szCs w:val="24"/>
          <w:b w:val="1"/>
          <w:bCs w:val="1"/>
          <w:i w:val="1"/>
          <w:iCs w:val="1"/>
          <w:color w:val="auto"/>
        </w:rPr>
        <w:t xml:space="preserve"> + </w:t>
      </w:r>
      <w:r>
        <w:rPr>
          <w:rFonts w:ascii="Arial" w:cs="Arial" w:eastAsia="Arial" w:hAnsi="Arial"/>
          <w:sz w:val="24"/>
          <w:szCs w:val="24"/>
          <w:b w:val="1"/>
          <w:bCs w:val="1"/>
          <w:i w:val="1"/>
          <w:iCs w:val="1"/>
          <w:color w:val="auto"/>
        </w:rPr>
        <w:t>диуретик</w:t>
      </w:r>
      <w:r>
        <w:rPr>
          <w:rFonts w:ascii="Arial" w:cs="Arial" w:eastAsia="Arial" w:hAnsi="Arial"/>
          <w:sz w:val="24"/>
          <w:szCs w:val="24"/>
          <w:b w:val="1"/>
          <w:bCs w:val="1"/>
          <w:i w:val="1"/>
          <w:iCs w:val="1"/>
          <w:color w:val="auto"/>
        </w:rPr>
        <w:t xml:space="preserve"> + </w:t>
      </w:r>
      <w:r>
        <w:rPr>
          <w:rFonts w:ascii="Arial" w:cs="Arial" w:eastAsia="Arial" w:hAnsi="Arial"/>
          <w:sz w:val="24"/>
          <w:szCs w:val="24"/>
          <w:b w:val="1"/>
          <w:bCs w:val="1"/>
          <w:i w:val="1"/>
          <w:iCs w:val="1"/>
          <w:color w:val="auto"/>
        </w:rPr>
        <w:t>ББ</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БРА</w:t>
      </w:r>
      <w:r>
        <w:rPr>
          <w:rFonts w:ascii="Arial" w:cs="Arial" w:eastAsia="Arial" w:hAnsi="Arial"/>
          <w:sz w:val="24"/>
          <w:szCs w:val="24"/>
          <w:b w:val="1"/>
          <w:bCs w:val="1"/>
          <w:i w:val="1"/>
          <w:iCs w:val="1"/>
          <w:color w:val="auto"/>
        </w:rPr>
        <w:t xml:space="preserve"> + </w:t>
      </w:r>
      <w:r>
        <w:rPr>
          <w:rFonts w:ascii="Arial" w:cs="Arial" w:eastAsia="Arial" w:hAnsi="Arial"/>
          <w:sz w:val="24"/>
          <w:szCs w:val="24"/>
          <w:b w:val="1"/>
          <w:bCs w:val="1"/>
          <w:i w:val="1"/>
          <w:iCs w:val="1"/>
          <w:color w:val="auto"/>
        </w:rPr>
        <w:t xml:space="preserve">диуретик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дигидропиридиновый АК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диуретик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w:t>
      </w:r>
      <w:r>
        <w:rPr>
          <w:rFonts w:ascii="Arial" w:cs="Arial" w:eastAsia="Arial" w:hAnsi="Arial"/>
          <w:sz w:val="24"/>
          <w:szCs w:val="24"/>
          <w:b w:val="1"/>
          <w:bCs w:val="1"/>
          <w:i w:val="1"/>
          <w:iCs w:val="1"/>
          <w:color w:val="auto"/>
        </w:rPr>
        <w:t>.</w:t>
      </w:r>
    </w:p>
    <w:p>
      <w:pPr>
        <w:spacing w:after="0" w:line="157"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Целевые уровни АД являются рекомендованными для достижения</w:t>
      </w:r>
    </w:p>
    <w:p>
      <w:pPr>
        <w:spacing w:after="0" w:line="126" w:lineRule="exact"/>
        <w:rPr>
          <w:sz w:val="20"/>
          <w:szCs w:val="20"/>
          <w:color w:val="auto"/>
        </w:rPr>
      </w:pPr>
    </w:p>
    <w:p>
      <w:pPr>
        <w:jc w:val="both"/>
        <w:ind w:left="680" w:right="220" w:hanging="4"/>
        <w:spacing w:after="0" w:line="328" w:lineRule="auto"/>
        <w:tabs>
          <w:tab w:leader="none" w:pos="967" w:val="left"/>
        </w:tabs>
        <w:numPr>
          <w:ilvl w:val="0"/>
          <w:numId w:val="28"/>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каждой подгруппе пациентов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но важнейшим принципом их достижения является соблюдение безопасности и сохранения качества жизни пациента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Поэтому скорость достижения целевых значений и степень снижения АД может быть скорректирована у конкретного пациента в зависимости от конкретной клинической ситуации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 этом плохая переносимость снижения АД может быть основанием для более медленной титрации доз и числа назначаемых препаратов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равно как и при хорошей переносимости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может быть снижено до более низких значений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чем рекомендовано в среднем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Недостижение целевого АД в указанные сроки не является ошибочным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если это продиктовано клинической необходимостью</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Если врач считает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препятствием к достижению целевого АД является плохая приверженность пациента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это должно находить отражение в медицинской документации и должны быть предприняты и зафиксированы меры по повышению приверженности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 этих случаях недостижение целевого уровня не должно считаться дефектом оказания помощи</w:t>
      </w:r>
      <w:r>
        <w:rPr>
          <w:rFonts w:ascii="Arial" w:cs="Arial" w:eastAsia="Arial" w:hAnsi="Arial"/>
          <w:sz w:val="25"/>
          <w:szCs w:val="25"/>
          <w:b w:val="1"/>
          <w:bCs w:val="1"/>
          <w:i w:val="1"/>
          <w:iCs w:val="1"/>
          <w:color w:val="auto"/>
        </w:rPr>
        <w:t>.</w:t>
      </w:r>
    </w:p>
    <w:p>
      <w:pPr>
        <w:spacing w:after="0" w:line="219"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color w:val="auto"/>
        </w:rPr>
        <w:t>Пациентам</w:t>
      </w:r>
      <w:r>
        <w:rPr>
          <w:rFonts w:ascii="Arial" w:cs="Arial" w:eastAsia="Arial" w:hAnsi="Arial"/>
          <w:sz w:val="27"/>
          <w:szCs w:val="27"/>
          <w:color w:val="auto"/>
        </w:rPr>
        <w:t>,</w:t>
      </w:r>
      <w:r>
        <w:rPr>
          <w:rFonts w:ascii="Arial" w:cs="Arial" w:eastAsia="Arial" w:hAnsi="Arial"/>
          <w:sz w:val="27"/>
          <w:szCs w:val="27"/>
          <w:color w:val="auto"/>
        </w:rPr>
        <w:t xml:space="preserve"> не достигшим целевого АД на фоне двойной комбинированной терапии</w:t>
      </w:r>
      <w:r>
        <w:rPr>
          <w:rFonts w:ascii="Arial" w:cs="Arial" w:eastAsia="Arial" w:hAnsi="Arial"/>
          <w:sz w:val="27"/>
          <w:szCs w:val="27"/>
          <w:color w:val="auto"/>
        </w:rPr>
        <w:t>,</w:t>
      </w:r>
      <w:r>
        <w:rPr>
          <w:rFonts w:ascii="Arial" w:cs="Arial" w:eastAsia="Arial" w:hAnsi="Arial"/>
          <w:sz w:val="27"/>
          <w:szCs w:val="27"/>
          <w:color w:val="auto"/>
        </w:rPr>
        <w:t xml:space="preserve"> рекомендуется тройная</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70" w:orient="portrait"/>
          <w:cols w:equalWidth="0" w:num="1">
            <w:col w:w="9020"/>
          </w:cols>
          <w:pgMar w:left="1440" w:top="19" w:right="1440" w:bottom="0" w:gutter="0" w:footer="0" w:header="0"/>
        </w:sectPr>
      </w:pPr>
    </w:p>
    <w:bookmarkStart w:id="45" w:name="page46"/>
    <w:bookmarkEnd w:id="45"/>
    <w:p>
      <w:pPr>
        <w:jc w:val="both"/>
        <w:ind w:left="680" w:right="220"/>
        <w:spacing w:after="0" w:line="317" w:lineRule="auto"/>
        <w:rPr>
          <w:sz w:val="20"/>
          <w:szCs w:val="20"/>
          <w:color w:val="auto"/>
        </w:rPr>
      </w:pPr>
      <w:r>
        <w:rPr>
          <w:rFonts w:ascii="Arial" w:cs="Arial" w:eastAsia="Arial" w:hAnsi="Arial"/>
          <w:sz w:val="27"/>
          <w:szCs w:val="27"/>
          <w:color w:val="auto"/>
        </w:rPr>
        <w:t>комбинация</w:t>
      </w:r>
      <w:r>
        <w:rPr>
          <w:rFonts w:ascii="Arial" w:cs="Arial" w:eastAsia="Arial" w:hAnsi="Arial"/>
          <w:sz w:val="27"/>
          <w:szCs w:val="27"/>
          <w:color w:val="auto"/>
        </w:rPr>
        <w:t>,</w:t>
      </w:r>
      <w:r>
        <w:rPr>
          <w:rFonts w:ascii="Arial" w:cs="Arial" w:eastAsia="Arial" w:hAnsi="Arial"/>
          <w:sz w:val="27"/>
          <w:szCs w:val="27"/>
          <w:color w:val="auto"/>
        </w:rPr>
        <w:t xml:space="preserve"> как правило</w:t>
      </w:r>
      <w:r>
        <w:rPr>
          <w:rFonts w:ascii="Arial" w:cs="Arial" w:eastAsia="Arial" w:hAnsi="Arial"/>
          <w:sz w:val="27"/>
          <w:szCs w:val="27"/>
          <w:color w:val="auto"/>
        </w:rPr>
        <w:t>,</w:t>
      </w:r>
      <w:r>
        <w:rPr>
          <w:rFonts w:ascii="Arial" w:cs="Arial" w:eastAsia="Arial" w:hAnsi="Arial"/>
          <w:sz w:val="27"/>
          <w:szCs w:val="27"/>
          <w:color w:val="auto"/>
        </w:rPr>
        <w:t xml:space="preserve"> блокатора РААС с АК и тиазидовым</w:t>
      </w:r>
      <w:r>
        <w:rPr>
          <w:rFonts w:ascii="Arial" w:cs="Arial" w:eastAsia="Arial" w:hAnsi="Arial"/>
          <w:sz w:val="27"/>
          <w:szCs w:val="27"/>
          <w:color w:val="auto"/>
        </w:rPr>
        <w:t>/</w:t>
      </w:r>
      <w:r>
        <w:rPr>
          <w:rFonts w:ascii="Arial" w:cs="Arial" w:eastAsia="Arial" w:hAnsi="Arial"/>
          <w:sz w:val="27"/>
          <w:szCs w:val="27"/>
          <w:color w:val="auto"/>
        </w:rPr>
        <w:t xml:space="preserve"> тиазидоподобным диуретиком</w:t>
      </w:r>
      <w:r>
        <w:rPr>
          <w:rFonts w:ascii="Arial" w:cs="Arial" w:eastAsia="Arial" w:hAnsi="Arial"/>
          <w:sz w:val="27"/>
          <w:szCs w:val="27"/>
          <w:color w:val="auto"/>
        </w:rPr>
        <w:t>,</w:t>
      </w:r>
      <w:r>
        <w:rPr>
          <w:rFonts w:ascii="Arial" w:cs="Arial" w:eastAsia="Arial" w:hAnsi="Arial"/>
          <w:sz w:val="27"/>
          <w:szCs w:val="27"/>
          <w:color w:val="auto"/>
        </w:rPr>
        <w:t xml:space="preserve"> предпочтительно в форме фиксированной комбинации </w:t>
      </w:r>
      <w:r>
        <w:rPr>
          <w:rFonts w:ascii="Arial" w:cs="Arial" w:eastAsia="Arial" w:hAnsi="Arial"/>
          <w:sz w:val="27"/>
          <w:szCs w:val="27"/>
          <w:color w:val="auto"/>
        </w:rPr>
        <w:t>[135, 136].</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Пациентам с АГ</w:t>
      </w:r>
      <w:r>
        <w:rPr>
          <w:rFonts w:ascii="Arial" w:cs="Arial" w:eastAsia="Arial" w:hAnsi="Arial"/>
          <w:sz w:val="27"/>
          <w:szCs w:val="27"/>
          <w:color w:val="auto"/>
        </w:rPr>
        <w:t>,</w:t>
      </w:r>
      <w:r>
        <w:rPr>
          <w:rFonts w:ascii="Arial" w:cs="Arial" w:eastAsia="Arial" w:hAnsi="Arial"/>
          <w:sz w:val="27"/>
          <w:szCs w:val="27"/>
          <w:color w:val="auto"/>
        </w:rPr>
        <w:t xml:space="preserve"> не достигшим целевого АД на фоне тройной комбинированной терапии</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добавление спиронолактона </w:t>
      </w:r>
      <w:r>
        <w:rPr>
          <w:rFonts w:ascii="Arial" w:cs="Arial" w:eastAsia="Arial" w:hAnsi="Arial"/>
          <w:sz w:val="27"/>
          <w:szCs w:val="27"/>
          <w:color w:val="auto"/>
        </w:rPr>
        <w:t>(</w:t>
      </w:r>
      <w:r>
        <w:rPr>
          <w:rFonts w:ascii="Arial" w:cs="Arial" w:eastAsia="Arial" w:hAnsi="Arial"/>
          <w:sz w:val="27"/>
          <w:szCs w:val="27"/>
          <w:color w:val="auto"/>
        </w:rPr>
        <w:t xml:space="preserve">подробнее в разделе </w:t>
      </w:r>
      <w:r>
        <w:rPr>
          <w:rFonts w:ascii="Arial" w:cs="Arial" w:eastAsia="Arial" w:hAnsi="Arial"/>
          <w:sz w:val="27"/>
          <w:szCs w:val="27"/>
          <w:color w:val="auto"/>
        </w:rPr>
        <w:t>3.6.11.) [106, 137, 138,</w:t>
      </w:r>
      <w:r>
        <w:rPr>
          <w:rFonts w:ascii="Arial" w:cs="Arial" w:eastAsia="Arial" w:hAnsi="Arial"/>
          <w:sz w:val="27"/>
          <w:szCs w:val="27"/>
          <w:color w:val="auto"/>
        </w:rPr>
        <w:t xml:space="preserve"> </w:t>
      </w:r>
      <w:r>
        <w:rPr>
          <w:rFonts w:ascii="Arial" w:cs="Arial" w:eastAsia="Arial" w:hAnsi="Arial"/>
          <w:sz w:val="27"/>
          <w:szCs w:val="27"/>
          <w:color w:val="auto"/>
        </w:rPr>
        <w:t>169].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IB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При непереносимости спиронолактона</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рекомендуется назначение других диуретиков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эплеренона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хлорталидона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петлевых диуретиков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 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ч в более высоких дозах</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ББ</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альфа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адреноблокаторов или препаратов центрального действия</w:t>
      </w:r>
      <w:r>
        <w:rPr>
          <w:rFonts w:ascii="Arial" w:cs="Arial" w:eastAsia="Arial" w:hAnsi="Arial"/>
          <w:sz w:val="27"/>
          <w:szCs w:val="27"/>
          <w:b w:val="1"/>
          <w:bCs w:val="1"/>
          <w:i w:val="1"/>
          <w:iCs w:val="1"/>
          <w:color w:val="auto"/>
        </w:rPr>
        <w:t>. [139].</w:t>
      </w:r>
    </w:p>
    <w:p>
      <w:pPr>
        <w:spacing w:after="0" w:line="222"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Всем пациентам с АГ не рекомендуется назначение комбинации двух блокаторов РААС вследствие повышенного риска развития гиперкалиемии</w:t>
      </w:r>
      <w:r>
        <w:rPr>
          <w:rFonts w:ascii="Arial" w:cs="Arial" w:eastAsia="Arial" w:hAnsi="Arial"/>
          <w:sz w:val="27"/>
          <w:szCs w:val="27"/>
          <w:color w:val="auto"/>
        </w:rPr>
        <w:t>,</w:t>
      </w:r>
      <w:r>
        <w:rPr>
          <w:rFonts w:ascii="Arial" w:cs="Arial" w:eastAsia="Arial" w:hAnsi="Arial"/>
          <w:sz w:val="27"/>
          <w:szCs w:val="27"/>
          <w:color w:val="auto"/>
        </w:rPr>
        <w:t xml:space="preserve"> гипотензии и ухудшения функции почек </w:t>
      </w:r>
      <w:r>
        <w:rPr>
          <w:rFonts w:ascii="Arial" w:cs="Arial" w:eastAsia="Arial" w:hAnsi="Arial"/>
          <w:sz w:val="27"/>
          <w:szCs w:val="27"/>
          <w:color w:val="auto"/>
        </w:rPr>
        <w:t>[21, 139, 145, 146].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3.4.2 </w:t>
      </w:r>
      <w:r>
        <w:rPr>
          <w:rFonts w:ascii="Arial" w:cs="Arial" w:eastAsia="Arial" w:hAnsi="Arial"/>
          <w:sz w:val="27"/>
          <w:szCs w:val="27"/>
          <w:b w:val="1"/>
          <w:bCs w:val="1"/>
          <w:color w:val="auto"/>
        </w:rPr>
        <w:t>Основные классы препаратов для лечения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артериальной гипертензии</w:t>
      </w:r>
    </w:p>
    <w:p>
      <w:pPr>
        <w:spacing w:after="0" w:line="179"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i w:val="1"/>
          <w:iCs w:val="1"/>
          <w:color w:val="auto"/>
        </w:rPr>
        <w:t xml:space="preserve">Ингибиторы ангиотензинпревращающего фермента и антагонисты рецепторов ангиотензина </w:t>
      </w:r>
      <w:r>
        <w:rPr>
          <w:rFonts w:ascii="Arial" w:cs="Arial" w:eastAsia="Arial" w:hAnsi="Arial"/>
          <w:sz w:val="27"/>
          <w:szCs w:val="27"/>
          <w:b w:val="1"/>
          <w:bCs w:val="1"/>
          <w:i w:val="1"/>
          <w:iCs w:val="1"/>
          <w:color w:val="auto"/>
        </w:rPr>
        <w:t>II</w:t>
      </w:r>
    </w:p>
    <w:p>
      <w:pPr>
        <w:spacing w:after="0" w:line="179"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ИАПФ и БРА </w:t>
      </w:r>
      <w:r>
        <w:rPr>
          <w:rFonts w:ascii="Arial" w:cs="Arial" w:eastAsia="Arial" w:hAnsi="Arial"/>
          <w:sz w:val="27"/>
          <w:szCs w:val="27"/>
          <w:color w:val="auto"/>
        </w:rPr>
        <w:t>—</w:t>
      </w:r>
      <w:r>
        <w:rPr>
          <w:rFonts w:ascii="Arial" w:cs="Arial" w:eastAsia="Arial" w:hAnsi="Arial"/>
          <w:sz w:val="27"/>
          <w:szCs w:val="27"/>
          <w:color w:val="auto"/>
        </w:rPr>
        <w:t xml:space="preserve"> среди наиболее часто используемых классов антигипертензивных препаратов</w:t>
      </w:r>
      <w:r>
        <w:rPr>
          <w:rFonts w:ascii="Arial" w:cs="Arial" w:eastAsia="Arial" w:hAnsi="Arial"/>
          <w:sz w:val="27"/>
          <w:szCs w:val="27"/>
          <w:color w:val="auto"/>
        </w:rPr>
        <w:t>,</w:t>
      </w:r>
      <w:r>
        <w:rPr>
          <w:rFonts w:ascii="Arial" w:cs="Arial" w:eastAsia="Arial" w:hAnsi="Arial"/>
          <w:sz w:val="27"/>
          <w:szCs w:val="27"/>
          <w:color w:val="auto"/>
        </w:rPr>
        <w:t xml:space="preserve"> обладающие сходной эффективностью в отношении сердечно</w:t>
      </w:r>
      <w:r>
        <w:rPr>
          <w:rFonts w:ascii="Arial" w:cs="Arial" w:eastAsia="Arial" w:hAnsi="Arial"/>
          <w:sz w:val="27"/>
          <w:szCs w:val="27"/>
          <w:color w:val="auto"/>
        </w:rPr>
        <w:t>-</w:t>
      </w:r>
      <w:r>
        <w:rPr>
          <w:rFonts w:ascii="Arial" w:cs="Arial" w:eastAsia="Arial" w:hAnsi="Arial"/>
          <w:sz w:val="27"/>
          <w:szCs w:val="27"/>
          <w:color w:val="auto"/>
        </w:rPr>
        <w:t>сосудистых осложнений и смертности по сравнению как друг с другом</w:t>
      </w:r>
      <w:r>
        <w:rPr>
          <w:rFonts w:ascii="Arial" w:cs="Arial" w:eastAsia="Arial" w:hAnsi="Arial"/>
          <w:sz w:val="27"/>
          <w:szCs w:val="27"/>
          <w:color w:val="auto"/>
        </w:rPr>
        <w:t>,</w:t>
      </w:r>
      <w:r>
        <w:rPr>
          <w:rFonts w:ascii="Arial" w:cs="Arial" w:eastAsia="Arial" w:hAnsi="Arial"/>
          <w:sz w:val="27"/>
          <w:szCs w:val="27"/>
          <w:color w:val="auto"/>
        </w:rPr>
        <w:t xml:space="preserve"> так</w:t>
      </w:r>
    </w:p>
    <w:p>
      <w:pPr>
        <w:spacing w:after="0" w:line="3" w:lineRule="exact"/>
        <w:rPr>
          <w:sz w:val="20"/>
          <w:szCs w:val="20"/>
          <w:color w:val="auto"/>
        </w:rPr>
      </w:pPr>
    </w:p>
    <w:p>
      <w:pPr>
        <w:jc w:val="both"/>
        <w:ind w:left="680" w:right="220" w:hanging="4"/>
        <w:spacing w:after="0" w:line="301" w:lineRule="auto"/>
        <w:tabs>
          <w:tab w:leader="none" w:pos="958" w:val="left"/>
        </w:tabs>
        <w:numPr>
          <w:ilvl w:val="0"/>
          <w:numId w:val="29"/>
        </w:numPr>
        <w:rPr>
          <w:rFonts w:ascii="Arial" w:cs="Arial" w:eastAsia="Arial" w:hAnsi="Arial"/>
          <w:sz w:val="27"/>
          <w:szCs w:val="27"/>
          <w:color w:val="auto"/>
        </w:rPr>
      </w:pPr>
      <w:r>
        <w:rPr>
          <w:rFonts w:ascii="Arial" w:cs="Arial" w:eastAsia="Arial" w:hAnsi="Arial"/>
          <w:sz w:val="27"/>
          <w:szCs w:val="27"/>
          <w:color w:val="auto"/>
        </w:rPr>
        <w:t xml:space="preserve">с другими классами АГТ </w:t>
      </w:r>
      <w:r>
        <w:rPr>
          <w:rFonts w:ascii="Arial" w:cs="Arial" w:eastAsia="Arial" w:hAnsi="Arial"/>
          <w:sz w:val="27"/>
          <w:szCs w:val="27"/>
          <w:color w:val="auto"/>
        </w:rPr>
        <w:t>[59, 140–142].</w:t>
      </w:r>
      <w:r>
        <w:rPr>
          <w:rFonts w:ascii="Arial" w:cs="Arial" w:eastAsia="Arial" w:hAnsi="Arial"/>
          <w:sz w:val="27"/>
          <w:szCs w:val="27"/>
          <w:color w:val="auto"/>
        </w:rPr>
        <w:t xml:space="preserve"> БРА по сравнению с другими классами характеризуются более низкой частотой отмены из</w:t>
      </w:r>
      <w:r>
        <w:rPr>
          <w:rFonts w:ascii="Arial" w:cs="Arial" w:eastAsia="Arial" w:hAnsi="Arial"/>
          <w:sz w:val="27"/>
          <w:szCs w:val="27"/>
          <w:color w:val="auto"/>
        </w:rPr>
        <w:t>-</w:t>
      </w:r>
      <w:r>
        <w:rPr>
          <w:rFonts w:ascii="Arial" w:cs="Arial" w:eastAsia="Arial" w:hAnsi="Arial"/>
          <w:sz w:val="27"/>
          <w:szCs w:val="27"/>
          <w:color w:val="auto"/>
        </w:rPr>
        <w:t>за побочных эффектов</w:t>
      </w:r>
      <w:r>
        <w:rPr>
          <w:rFonts w:ascii="Arial" w:cs="Arial" w:eastAsia="Arial" w:hAnsi="Arial"/>
          <w:sz w:val="27"/>
          <w:szCs w:val="27"/>
          <w:color w:val="auto"/>
        </w:rPr>
        <w:t>,</w:t>
      </w:r>
      <w:r>
        <w:rPr>
          <w:rFonts w:ascii="Arial" w:cs="Arial" w:eastAsia="Arial" w:hAnsi="Arial"/>
          <w:sz w:val="27"/>
          <w:szCs w:val="27"/>
          <w:color w:val="auto"/>
        </w:rPr>
        <w:t xml:space="preserve"> сопоставимой с плацебо</w:t>
      </w:r>
    </w:p>
    <w:p>
      <w:pPr>
        <w:spacing w:after="0" w:line="2" w:lineRule="exact"/>
        <w:rPr>
          <w:rFonts w:ascii="Arial" w:cs="Arial" w:eastAsia="Arial" w:hAnsi="Arial"/>
          <w:sz w:val="27"/>
          <w:szCs w:val="27"/>
          <w:color w:val="auto"/>
        </w:rPr>
      </w:pPr>
    </w:p>
    <w:p>
      <w:pPr>
        <w:ind w:left="680"/>
        <w:spacing w:after="0"/>
        <w:rPr>
          <w:rFonts w:ascii="Arial" w:cs="Arial" w:eastAsia="Arial" w:hAnsi="Arial"/>
          <w:sz w:val="27"/>
          <w:szCs w:val="27"/>
          <w:color w:val="auto"/>
        </w:rPr>
      </w:pPr>
      <w:r>
        <w:rPr>
          <w:rFonts w:ascii="Arial" w:cs="Arial" w:eastAsia="Arial" w:hAnsi="Arial"/>
          <w:sz w:val="27"/>
          <w:szCs w:val="27"/>
          <w:color w:val="auto"/>
        </w:rPr>
        <w:t>[143, 144].</w:t>
      </w:r>
    </w:p>
    <w:p>
      <w:pPr>
        <w:spacing w:after="0" w:line="350" w:lineRule="exact"/>
        <w:rPr>
          <w:sz w:val="20"/>
          <w:szCs w:val="20"/>
          <w:color w:val="auto"/>
        </w:rPr>
      </w:pPr>
    </w:p>
    <w:p>
      <w:pPr>
        <w:ind w:left="680" w:right="220"/>
        <w:spacing w:after="0" w:line="301" w:lineRule="auto"/>
        <w:rPr>
          <w:sz w:val="20"/>
          <w:szCs w:val="20"/>
          <w:color w:val="auto"/>
        </w:rPr>
      </w:pPr>
      <w:r>
        <w:rPr>
          <w:rFonts w:ascii="Arial" w:cs="Arial" w:eastAsia="Arial" w:hAnsi="Arial"/>
          <w:sz w:val="27"/>
          <w:szCs w:val="27"/>
          <w:color w:val="auto"/>
        </w:rPr>
        <w:t>ИАПФ и БРА снижают альбуминурию в большей степени</w:t>
      </w:r>
      <w:r>
        <w:rPr>
          <w:rFonts w:ascii="Arial" w:cs="Arial" w:eastAsia="Arial" w:hAnsi="Arial"/>
          <w:sz w:val="27"/>
          <w:szCs w:val="27"/>
          <w:color w:val="auto"/>
        </w:rPr>
        <w:t>,</w:t>
      </w:r>
      <w:r>
        <w:rPr>
          <w:rFonts w:ascii="Arial" w:cs="Arial" w:eastAsia="Arial" w:hAnsi="Arial"/>
          <w:sz w:val="27"/>
          <w:szCs w:val="27"/>
          <w:color w:val="auto"/>
        </w:rPr>
        <w:t xml:space="preserve"> чем другие антигипертензивные препараты</w:t>
      </w:r>
      <w:r>
        <w:rPr>
          <w:rFonts w:ascii="Arial" w:cs="Arial" w:eastAsia="Arial" w:hAnsi="Arial"/>
          <w:sz w:val="27"/>
          <w:szCs w:val="27"/>
          <w:color w:val="auto"/>
        </w:rPr>
        <w:t>,</w:t>
      </w:r>
      <w:r>
        <w:rPr>
          <w:rFonts w:ascii="Arial" w:cs="Arial" w:eastAsia="Arial" w:hAnsi="Arial"/>
          <w:sz w:val="27"/>
          <w:szCs w:val="27"/>
          <w:color w:val="auto"/>
        </w:rPr>
        <w:t xml:space="preserve"> и эффективно</w:t>
      </w:r>
    </w:p>
    <w:p>
      <w:pPr>
        <w:spacing w:after="0" w:line="2" w:lineRule="exact"/>
        <w:rPr>
          <w:sz w:val="20"/>
          <w:szCs w:val="20"/>
          <w:color w:val="auto"/>
        </w:rPr>
      </w:pPr>
    </w:p>
    <w:p>
      <w:pPr>
        <w:ind w:left="680"/>
        <w:spacing w:after="0"/>
        <w:tabs>
          <w:tab w:leader="none" w:pos="2820" w:val="left"/>
          <w:tab w:leader="none" w:pos="5940" w:val="left"/>
          <w:tab w:leader="none" w:pos="8620" w:val="left"/>
        </w:tabs>
        <w:rPr>
          <w:sz w:val="20"/>
          <w:szCs w:val="20"/>
          <w:color w:val="auto"/>
        </w:rPr>
      </w:pPr>
      <w:r>
        <w:rPr>
          <w:rFonts w:ascii="Arial" w:cs="Arial" w:eastAsia="Arial" w:hAnsi="Arial"/>
          <w:sz w:val="27"/>
          <w:szCs w:val="27"/>
          <w:color w:val="auto"/>
        </w:rPr>
        <w:t>замедляют</w:t>
      </w:r>
      <w:r>
        <w:rPr>
          <w:sz w:val="20"/>
          <w:szCs w:val="20"/>
          <w:color w:val="auto"/>
        </w:rPr>
        <w:tab/>
      </w:r>
      <w:r>
        <w:rPr>
          <w:rFonts w:ascii="Arial" w:cs="Arial" w:eastAsia="Arial" w:hAnsi="Arial"/>
          <w:sz w:val="27"/>
          <w:szCs w:val="27"/>
          <w:color w:val="auto"/>
        </w:rPr>
        <w:t>прогрессирование</w:t>
      </w:r>
      <w:r>
        <w:rPr>
          <w:sz w:val="20"/>
          <w:szCs w:val="20"/>
          <w:color w:val="auto"/>
        </w:rPr>
        <w:tab/>
      </w:r>
      <w:r>
        <w:rPr>
          <w:rFonts w:ascii="Arial" w:cs="Arial" w:eastAsia="Arial" w:hAnsi="Arial"/>
          <w:sz w:val="27"/>
          <w:szCs w:val="27"/>
          <w:color w:val="auto"/>
        </w:rPr>
        <w:t>диабетической</w:t>
      </w:r>
      <w:r>
        <w:rPr>
          <w:sz w:val="20"/>
          <w:szCs w:val="20"/>
          <w:color w:val="auto"/>
        </w:rPr>
        <w:tab/>
      </w:r>
      <w:r>
        <w:rPr>
          <w:rFonts w:ascii="Arial" w:cs="Arial" w:eastAsia="Arial" w:hAnsi="Arial"/>
          <w:sz w:val="27"/>
          <w:szCs w:val="27"/>
          <w:color w:val="auto"/>
        </w:rPr>
        <w:t>и</w:t>
      </w:r>
    </w:p>
    <w:p>
      <w:pPr>
        <w:sectPr>
          <w:pgSz w:w="11900" w:h="16840" w:orient="portrait"/>
          <w:cols w:equalWidth="0" w:num="1">
            <w:col w:w="9020"/>
          </w:cols>
          <w:pgMar w:left="1440" w:top="19" w:right="1440" w:bottom="369" w:gutter="0" w:footer="0" w:header="0"/>
        </w:sectPr>
      </w:pPr>
    </w:p>
    <w:bookmarkStart w:id="46" w:name="page47"/>
    <w:bookmarkEnd w:id="46"/>
    <w:p>
      <w:pPr>
        <w:jc w:val="both"/>
        <w:ind w:left="680" w:right="220"/>
        <w:spacing w:after="0" w:line="317" w:lineRule="auto"/>
        <w:rPr>
          <w:sz w:val="20"/>
          <w:szCs w:val="20"/>
          <w:color w:val="auto"/>
        </w:rPr>
      </w:pPr>
      <w:r>
        <w:rPr>
          <w:rFonts w:ascii="Arial" w:cs="Arial" w:eastAsia="Arial" w:hAnsi="Arial"/>
          <w:sz w:val="27"/>
          <w:szCs w:val="27"/>
          <w:color w:val="auto"/>
        </w:rPr>
        <w:t xml:space="preserve">недиабетической ХБП </w:t>
      </w:r>
      <w:r>
        <w:rPr>
          <w:rFonts w:ascii="Arial" w:cs="Arial" w:eastAsia="Arial" w:hAnsi="Arial"/>
          <w:sz w:val="27"/>
          <w:szCs w:val="27"/>
          <w:color w:val="auto"/>
        </w:rPr>
        <w:t>[99].</w:t>
      </w:r>
      <w:r>
        <w:rPr>
          <w:rFonts w:ascii="Arial" w:cs="Arial" w:eastAsia="Arial" w:hAnsi="Arial"/>
          <w:sz w:val="27"/>
          <w:szCs w:val="27"/>
          <w:color w:val="auto"/>
        </w:rPr>
        <w:t xml:space="preserve"> По данным метаанализов</w:t>
      </w:r>
      <w:r>
        <w:rPr>
          <w:rFonts w:ascii="Arial" w:cs="Arial" w:eastAsia="Arial" w:hAnsi="Arial"/>
          <w:sz w:val="27"/>
          <w:szCs w:val="27"/>
          <w:color w:val="auto"/>
        </w:rPr>
        <w:t>,</w:t>
      </w:r>
      <w:r>
        <w:rPr>
          <w:rFonts w:ascii="Arial" w:cs="Arial" w:eastAsia="Arial" w:hAnsi="Arial"/>
          <w:sz w:val="27"/>
          <w:szCs w:val="27"/>
          <w:color w:val="auto"/>
        </w:rPr>
        <w:t xml:space="preserve"> блокаторы РААС </w:t>
      </w:r>
      <w:r>
        <w:rPr>
          <w:rFonts w:ascii="Arial" w:cs="Arial" w:eastAsia="Arial" w:hAnsi="Arial"/>
          <w:sz w:val="27"/>
          <w:szCs w:val="27"/>
          <w:color w:val="auto"/>
        </w:rPr>
        <w:t>—</w:t>
      </w:r>
      <w:r>
        <w:rPr>
          <w:rFonts w:ascii="Arial" w:cs="Arial" w:eastAsia="Arial" w:hAnsi="Arial"/>
          <w:sz w:val="27"/>
          <w:szCs w:val="27"/>
          <w:color w:val="auto"/>
        </w:rPr>
        <w:t xml:space="preserve"> единственные из всех антигипертензивных препаратов доказанно снижают риск терминальной ХБП</w:t>
      </w:r>
      <w:r>
        <w:rPr>
          <w:rFonts w:ascii="Arial" w:cs="Arial" w:eastAsia="Arial" w:hAnsi="Arial"/>
          <w:sz w:val="27"/>
          <w:szCs w:val="27"/>
          <w:color w:val="auto"/>
        </w:rPr>
        <w:t>.</w:t>
      </w:r>
    </w:p>
    <w:p>
      <w:pPr>
        <w:spacing w:after="0" w:line="21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ИАПФ и БРА эффективно предотвращают или приводят к обратному развитию ПОМ </w:t>
      </w:r>
      <w:r>
        <w:rPr>
          <w:rFonts w:ascii="Arial" w:cs="Arial" w:eastAsia="Arial" w:hAnsi="Arial"/>
          <w:sz w:val="27"/>
          <w:szCs w:val="27"/>
          <w:color w:val="auto"/>
        </w:rPr>
        <w:t>(</w:t>
      </w:r>
      <w:r>
        <w:rPr>
          <w:rFonts w:ascii="Arial" w:cs="Arial" w:eastAsia="Arial" w:hAnsi="Arial"/>
          <w:sz w:val="27"/>
          <w:szCs w:val="27"/>
          <w:color w:val="auto"/>
        </w:rPr>
        <w:t>ГЛЖ</w:t>
      </w:r>
      <w:r>
        <w:rPr>
          <w:rFonts w:ascii="Arial" w:cs="Arial" w:eastAsia="Arial" w:hAnsi="Arial"/>
          <w:sz w:val="27"/>
          <w:szCs w:val="27"/>
          <w:color w:val="auto"/>
        </w:rPr>
        <w:t>,</w:t>
      </w:r>
      <w:r>
        <w:rPr>
          <w:rFonts w:ascii="Arial" w:cs="Arial" w:eastAsia="Arial" w:hAnsi="Arial"/>
          <w:sz w:val="27"/>
          <w:szCs w:val="27"/>
          <w:color w:val="auto"/>
        </w:rPr>
        <w:t xml:space="preserve"> ремоделирование мелких артерий</w:t>
      </w:r>
      <w:r>
        <w:rPr>
          <w:rFonts w:ascii="Arial" w:cs="Arial" w:eastAsia="Arial" w:hAnsi="Arial"/>
          <w:sz w:val="27"/>
          <w:szCs w:val="27"/>
          <w:color w:val="auto"/>
        </w:rPr>
        <w:t>)</w:t>
      </w:r>
      <w:r>
        <w:rPr>
          <w:rFonts w:ascii="Arial" w:cs="Arial" w:eastAsia="Arial" w:hAnsi="Arial"/>
          <w:sz w:val="27"/>
          <w:szCs w:val="27"/>
          <w:color w:val="auto"/>
        </w:rPr>
        <w:t xml:space="preserve"> на фоне соответствующего снижения АД </w:t>
      </w:r>
      <w:r>
        <w:rPr>
          <w:rFonts w:ascii="Arial" w:cs="Arial" w:eastAsia="Arial" w:hAnsi="Arial"/>
          <w:sz w:val="27"/>
          <w:szCs w:val="27"/>
          <w:color w:val="auto"/>
        </w:rPr>
        <w:t>[140].</w:t>
      </w:r>
      <w:r>
        <w:rPr>
          <w:rFonts w:ascii="Arial" w:cs="Arial" w:eastAsia="Arial" w:hAnsi="Arial"/>
          <w:sz w:val="27"/>
          <w:szCs w:val="27"/>
          <w:color w:val="auto"/>
        </w:rPr>
        <w:t xml:space="preserve"> Оба препарата снижают риск пароксизмов ФП</w:t>
      </w:r>
      <w:r>
        <w:rPr>
          <w:rFonts w:ascii="Arial" w:cs="Arial" w:eastAsia="Arial" w:hAnsi="Arial"/>
          <w:sz w:val="27"/>
          <w:szCs w:val="27"/>
          <w:color w:val="auto"/>
        </w:rPr>
        <w:t>,</w:t>
      </w:r>
      <w:r>
        <w:rPr>
          <w:rFonts w:ascii="Arial" w:cs="Arial" w:eastAsia="Arial" w:hAnsi="Arial"/>
          <w:sz w:val="27"/>
          <w:szCs w:val="27"/>
          <w:color w:val="auto"/>
        </w:rPr>
        <w:t xml:space="preserve"> что может быть обусловлено улучшением функции ЛЖ и более эффективным регрессом структурных изменений ЛЖ </w:t>
      </w:r>
      <w:r>
        <w:rPr>
          <w:rFonts w:ascii="Arial" w:cs="Arial" w:eastAsia="Arial" w:hAnsi="Arial"/>
          <w:sz w:val="27"/>
          <w:szCs w:val="27"/>
          <w:color w:val="auto"/>
        </w:rPr>
        <w:t>[140].</w:t>
      </w:r>
      <w:r>
        <w:rPr>
          <w:rFonts w:ascii="Arial" w:cs="Arial" w:eastAsia="Arial" w:hAnsi="Arial"/>
          <w:sz w:val="27"/>
          <w:szCs w:val="27"/>
          <w:color w:val="auto"/>
        </w:rPr>
        <w:t xml:space="preserve"> ИАПФ и БРА показаны пациентам с перенесенным ИМ</w:t>
      </w:r>
      <w:r>
        <w:rPr>
          <w:rFonts w:ascii="Arial" w:cs="Arial" w:eastAsia="Arial" w:hAnsi="Arial"/>
          <w:sz w:val="27"/>
          <w:szCs w:val="27"/>
          <w:color w:val="auto"/>
        </w:rPr>
        <w:t>,</w:t>
      </w:r>
      <w:r>
        <w:rPr>
          <w:rFonts w:ascii="Arial" w:cs="Arial" w:eastAsia="Arial" w:hAnsi="Arial"/>
          <w:sz w:val="27"/>
          <w:szCs w:val="27"/>
          <w:color w:val="auto"/>
        </w:rPr>
        <w:t xml:space="preserve"> ХСНнФВ</w:t>
      </w:r>
      <w:r>
        <w:rPr>
          <w:rFonts w:ascii="Arial" w:cs="Arial" w:eastAsia="Arial" w:hAnsi="Arial"/>
          <w:sz w:val="27"/>
          <w:szCs w:val="27"/>
          <w:color w:val="auto"/>
        </w:rPr>
        <w:t>.</w:t>
      </w:r>
    </w:p>
    <w:p>
      <w:pPr>
        <w:spacing w:after="0" w:line="221" w:lineRule="exact"/>
        <w:rPr>
          <w:sz w:val="20"/>
          <w:szCs w:val="20"/>
          <w:color w:val="auto"/>
        </w:rPr>
      </w:pPr>
    </w:p>
    <w:p>
      <w:pPr>
        <w:ind w:left="680" w:right="220"/>
        <w:spacing w:after="0" w:line="312" w:lineRule="auto"/>
        <w:rPr>
          <w:sz w:val="20"/>
          <w:szCs w:val="20"/>
          <w:color w:val="auto"/>
        </w:rPr>
      </w:pPr>
      <w:r>
        <w:rPr>
          <w:rFonts w:ascii="Arial" w:cs="Arial" w:eastAsia="Arial" w:hAnsi="Arial"/>
          <w:sz w:val="27"/>
          <w:szCs w:val="27"/>
          <w:color w:val="auto"/>
        </w:rPr>
        <w:t>ИАПФ ассоциированы с умеренным повышением риска ангионевротического отека</w:t>
      </w:r>
      <w:r>
        <w:rPr>
          <w:rFonts w:ascii="Arial" w:cs="Arial" w:eastAsia="Arial" w:hAnsi="Arial"/>
          <w:sz w:val="27"/>
          <w:szCs w:val="27"/>
          <w:color w:val="auto"/>
        </w:rPr>
        <w:t>,</w:t>
      </w:r>
      <w:r>
        <w:rPr>
          <w:rFonts w:ascii="Arial" w:cs="Arial" w:eastAsia="Arial" w:hAnsi="Arial"/>
          <w:sz w:val="27"/>
          <w:szCs w:val="27"/>
          <w:color w:val="auto"/>
        </w:rPr>
        <w:t xml:space="preserve"> особенно у представителей негроидной расы</w:t>
      </w:r>
      <w:r>
        <w:rPr>
          <w:rFonts w:ascii="Arial" w:cs="Arial" w:eastAsia="Arial" w:hAnsi="Arial"/>
          <w:sz w:val="27"/>
          <w:szCs w:val="27"/>
          <w:color w:val="auto"/>
        </w:rPr>
        <w:t>.</w:t>
      </w:r>
      <w:r>
        <w:rPr>
          <w:rFonts w:ascii="Arial" w:cs="Arial" w:eastAsia="Arial" w:hAnsi="Arial"/>
          <w:sz w:val="27"/>
          <w:szCs w:val="27"/>
          <w:color w:val="auto"/>
        </w:rPr>
        <w:t xml:space="preserve"> У таких пациентов следует отдавать предпочтение БРА</w:t>
      </w:r>
      <w:r>
        <w:rPr>
          <w:rFonts w:ascii="Arial" w:cs="Arial" w:eastAsia="Arial" w:hAnsi="Arial"/>
          <w:sz w:val="27"/>
          <w:szCs w:val="27"/>
          <w:color w:val="auto"/>
        </w:rPr>
        <w:t>.</w:t>
      </w:r>
    </w:p>
    <w:p>
      <w:pPr>
        <w:spacing w:after="0" w:line="216"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Для всех пациентов с АГ в связи с наличием абсолютных противопоказаний не рекомендуется назначение ИАПФ и БРА при беременности</w:t>
      </w:r>
      <w:r>
        <w:rPr>
          <w:rFonts w:ascii="Arial" w:cs="Arial" w:eastAsia="Arial" w:hAnsi="Arial"/>
          <w:sz w:val="27"/>
          <w:szCs w:val="27"/>
          <w:color w:val="auto"/>
        </w:rPr>
        <w:t>,</w:t>
      </w:r>
      <w:r>
        <w:rPr>
          <w:rFonts w:ascii="Arial" w:cs="Arial" w:eastAsia="Arial" w:hAnsi="Arial"/>
          <w:sz w:val="27"/>
          <w:szCs w:val="27"/>
          <w:color w:val="auto"/>
        </w:rPr>
        <w:t xml:space="preserve"> высокой гиперкалиемии </w:t>
      </w: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5,5</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r>
        <w:rPr>
          <w:rFonts w:ascii="Arial" w:cs="Arial" w:eastAsia="Arial" w:hAnsi="Arial"/>
          <w:sz w:val="27"/>
          <w:szCs w:val="27"/>
          <w:color w:val="auto"/>
        </w:rPr>
        <w:t>),</w:t>
      </w:r>
      <w:r>
        <w:rPr>
          <w:rFonts w:ascii="Arial" w:cs="Arial" w:eastAsia="Arial" w:hAnsi="Arial"/>
          <w:sz w:val="27"/>
          <w:szCs w:val="27"/>
          <w:color w:val="auto"/>
        </w:rPr>
        <w:t xml:space="preserve"> двухстороннем стенозе почечных артерий</w:t>
      </w:r>
      <w:r>
        <w:rPr>
          <w:rFonts w:ascii="Arial" w:cs="Arial" w:eastAsia="Arial" w:hAnsi="Arial"/>
          <w:sz w:val="27"/>
          <w:szCs w:val="27"/>
          <w:color w:val="auto"/>
        </w:rPr>
        <w:t>,</w:t>
      </w:r>
      <w:r>
        <w:rPr>
          <w:rFonts w:ascii="Arial" w:cs="Arial" w:eastAsia="Arial" w:hAnsi="Arial"/>
          <w:sz w:val="27"/>
          <w:szCs w:val="27"/>
          <w:color w:val="auto"/>
        </w:rPr>
        <w:t xml:space="preserve"> стенозе почечной артерии единственной почки</w:t>
      </w:r>
      <w:r>
        <w:rPr>
          <w:rFonts w:ascii="Arial" w:cs="Arial" w:eastAsia="Arial" w:hAnsi="Arial"/>
          <w:sz w:val="27"/>
          <w:szCs w:val="27"/>
          <w:color w:val="auto"/>
        </w:rPr>
        <w:t>,</w:t>
      </w:r>
      <w:r>
        <w:rPr>
          <w:rFonts w:ascii="Arial" w:cs="Arial" w:eastAsia="Arial" w:hAnsi="Arial"/>
          <w:sz w:val="27"/>
          <w:szCs w:val="27"/>
          <w:color w:val="auto"/>
        </w:rPr>
        <w:t xml:space="preserve"> у беременных и кормящих женщин и ангионевротическом отеке в анамнезе</w:t>
      </w:r>
      <w:r>
        <w:rPr>
          <w:rFonts w:ascii="Arial" w:cs="Arial" w:eastAsia="Arial" w:hAnsi="Arial"/>
          <w:sz w:val="27"/>
          <w:szCs w:val="27"/>
          <w:color w:val="auto"/>
        </w:rPr>
        <w:t>.</w:t>
      </w:r>
    </w:p>
    <w:p>
      <w:pPr>
        <w:spacing w:after="0" w:line="227"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Блокаторы кальциевых каналов</w:t>
      </w:r>
    </w:p>
    <w:p>
      <w:pPr>
        <w:spacing w:after="0" w:line="350" w:lineRule="exact"/>
        <w:rPr>
          <w:sz w:val="20"/>
          <w:szCs w:val="20"/>
          <w:color w:val="auto"/>
        </w:rPr>
      </w:pPr>
    </w:p>
    <w:p>
      <w:pPr>
        <w:jc w:val="both"/>
        <w:ind w:left="680" w:right="220"/>
        <w:spacing w:after="0" w:line="304" w:lineRule="auto"/>
        <w:rPr>
          <w:sz w:val="20"/>
          <w:szCs w:val="20"/>
          <w:color w:val="auto"/>
        </w:rPr>
      </w:pPr>
      <w:r>
        <w:rPr>
          <w:rFonts w:ascii="Arial" w:cs="Arial" w:eastAsia="Arial" w:hAnsi="Arial"/>
          <w:sz w:val="27"/>
          <w:szCs w:val="27"/>
          <w:color w:val="auto"/>
        </w:rPr>
        <w:t>Все АК метаболически нейтральны и не оказывают отрицательного действия на углеводный</w:t>
      </w:r>
      <w:r>
        <w:rPr>
          <w:rFonts w:ascii="Arial" w:cs="Arial" w:eastAsia="Arial" w:hAnsi="Arial"/>
          <w:sz w:val="27"/>
          <w:szCs w:val="27"/>
          <w:color w:val="auto"/>
        </w:rPr>
        <w:t>,</w:t>
      </w:r>
      <w:r>
        <w:rPr>
          <w:rFonts w:ascii="Arial" w:cs="Arial" w:eastAsia="Arial" w:hAnsi="Arial"/>
          <w:sz w:val="27"/>
          <w:szCs w:val="27"/>
          <w:color w:val="auto"/>
        </w:rPr>
        <w:t xml:space="preserve"> липидный и пуриновый обмен</w:t>
      </w:r>
      <w:r>
        <w:rPr>
          <w:rFonts w:ascii="Arial" w:cs="Arial" w:eastAsia="Arial" w:hAnsi="Arial"/>
          <w:sz w:val="27"/>
          <w:szCs w:val="27"/>
          <w:color w:val="auto"/>
        </w:rPr>
        <w:t>.</w:t>
      </w:r>
      <w:r>
        <w:rPr>
          <w:rFonts w:ascii="Arial" w:cs="Arial" w:eastAsia="Arial" w:hAnsi="Arial"/>
          <w:sz w:val="27"/>
          <w:szCs w:val="27"/>
          <w:color w:val="auto"/>
        </w:rPr>
        <w:t xml:space="preserve"> Помимо антигипертензивного</w:t>
      </w:r>
      <w:r>
        <w:rPr>
          <w:rFonts w:ascii="Arial" w:cs="Arial" w:eastAsia="Arial" w:hAnsi="Arial"/>
          <w:sz w:val="27"/>
          <w:szCs w:val="27"/>
          <w:color w:val="auto"/>
        </w:rPr>
        <w:t>,</w:t>
      </w:r>
      <w:r>
        <w:rPr>
          <w:rFonts w:ascii="Arial" w:cs="Arial" w:eastAsia="Arial" w:hAnsi="Arial"/>
          <w:sz w:val="27"/>
          <w:szCs w:val="27"/>
          <w:color w:val="auto"/>
        </w:rPr>
        <w:t xml:space="preserve"> они оказывают антиангинальное и органопротективное действие</w:t>
      </w:r>
      <w:r>
        <w:rPr>
          <w:rFonts w:ascii="Arial" w:cs="Arial" w:eastAsia="Arial" w:hAnsi="Arial"/>
          <w:sz w:val="27"/>
          <w:szCs w:val="27"/>
          <w:color w:val="auto"/>
        </w:rPr>
        <w:t>,</w:t>
      </w:r>
      <w:r>
        <w:rPr>
          <w:rFonts w:ascii="Arial" w:cs="Arial" w:eastAsia="Arial" w:hAnsi="Arial"/>
          <w:sz w:val="27"/>
          <w:szCs w:val="27"/>
          <w:color w:val="auto"/>
        </w:rPr>
        <w:t xml:space="preserve"> тормозят агрегацию тромбоцитов</w:t>
      </w:r>
      <w:r>
        <w:rPr>
          <w:rFonts w:ascii="Arial" w:cs="Arial" w:eastAsia="Arial" w:hAnsi="Arial"/>
          <w:sz w:val="27"/>
          <w:szCs w:val="27"/>
          <w:color w:val="auto"/>
        </w:rPr>
        <w:t>.</w:t>
      </w:r>
      <w:r>
        <w:rPr>
          <w:rFonts w:ascii="Arial" w:cs="Arial" w:eastAsia="Arial" w:hAnsi="Arial"/>
          <w:sz w:val="27"/>
          <w:szCs w:val="27"/>
          <w:color w:val="auto"/>
        </w:rPr>
        <w:t xml:space="preserve"> В целом их влияние на СС риск схоже с другими классами антигипертензивных препаратов </w:t>
      </w:r>
      <w:r>
        <w:rPr>
          <w:rFonts w:ascii="Arial" w:cs="Arial" w:eastAsia="Arial" w:hAnsi="Arial"/>
          <w:sz w:val="27"/>
          <w:szCs w:val="27"/>
          <w:color w:val="auto"/>
        </w:rPr>
        <w:t>[59, 140].</w:t>
      </w:r>
      <w:r>
        <w:rPr>
          <w:rFonts w:ascii="Arial" w:cs="Arial" w:eastAsia="Arial" w:hAnsi="Arial"/>
          <w:sz w:val="27"/>
          <w:szCs w:val="27"/>
          <w:color w:val="auto"/>
        </w:rPr>
        <w:t xml:space="preserve"> При этом АК обладают большим эффектом в отношении профилактики инсультов</w:t>
      </w:r>
      <w:r>
        <w:rPr>
          <w:rFonts w:ascii="Arial" w:cs="Arial" w:eastAsia="Arial" w:hAnsi="Arial"/>
          <w:sz w:val="27"/>
          <w:szCs w:val="27"/>
          <w:color w:val="auto"/>
        </w:rPr>
        <w:t>,</w:t>
      </w:r>
      <w:r>
        <w:rPr>
          <w:rFonts w:ascii="Arial" w:cs="Arial" w:eastAsia="Arial" w:hAnsi="Arial"/>
          <w:sz w:val="27"/>
          <w:szCs w:val="27"/>
          <w:color w:val="auto"/>
        </w:rPr>
        <w:t xml:space="preserve"> чем этого можно было ожидать только от антигипертензивного эффекта</w:t>
      </w:r>
      <w:r>
        <w:rPr>
          <w:rFonts w:ascii="Arial" w:cs="Arial" w:eastAsia="Arial" w:hAnsi="Arial"/>
          <w:sz w:val="27"/>
          <w:szCs w:val="27"/>
          <w:color w:val="auto"/>
        </w:rPr>
        <w:t>,</w:t>
      </w:r>
      <w:r>
        <w:rPr>
          <w:rFonts w:ascii="Arial" w:cs="Arial" w:eastAsia="Arial" w:hAnsi="Arial"/>
          <w:sz w:val="27"/>
          <w:szCs w:val="27"/>
          <w:color w:val="auto"/>
        </w:rPr>
        <w:t xml:space="preserve"> однако они менее эффективны в отношении профилактики СНнФВ </w:t>
      </w:r>
      <w:r>
        <w:rPr>
          <w:rFonts w:ascii="Arial" w:cs="Arial" w:eastAsia="Arial" w:hAnsi="Arial"/>
          <w:sz w:val="27"/>
          <w:szCs w:val="27"/>
          <w:color w:val="auto"/>
        </w:rPr>
        <w:t>[59, 140].</w:t>
      </w:r>
    </w:p>
    <w:p>
      <w:pPr>
        <w:spacing w:after="0" w:line="23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Не рекомендуется </w:t>
      </w:r>
      <w:r>
        <w:rPr>
          <w:rFonts w:ascii="Arial" w:cs="Arial" w:eastAsia="Arial" w:hAnsi="Arial"/>
          <w:sz w:val="27"/>
          <w:szCs w:val="27"/>
          <w:color w:val="auto"/>
        </w:rPr>
        <w:t>(</w:t>
      </w:r>
      <w:r>
        <w:rPr>
          <w:rFonts w:ascii="Arial" w:cs="Arial" w:eastAsia="Arial" w:hAnsi="Arial"/>
          <w:sz w:val="27"/>
          <w:szCs w:val="27"/>
          <w:color w:val="auto"/>
        </w:rPr>
        <w:t>абсолютное противопоказание</w:t>
      </w:r>
      <w:r>
        <w:rPr>
          <w:rFonts w:ascii="Arial" w:cs="Arial" w:eastAsia="Arial" w:hAnsi="Arial"/>
          <w:sz w:val="27"/>
          <w:szCs w:val="27"/>
          <w:color w:val="auto"/>
        </w:rPr>
        <w:t>)</w:t>
      </w:r>
      <w:r>
        <w:rPr>
          <w:rFonts w:ascii="Arial" w:cs="Arial" w:eastAsia="Arial" w:hAnsi="Arial"/>
          <w:sz w:val="27"/>
          <w:szCs w:val="27"/>
          <w:color w:val="auto"/>
        </w:rPr>
        <w:t xml:space="preserve"> назначение недигидропиридиновых АК при атриовентрикулярной блокаде </w:t>
      </w:r>
      <w:r>
        <w:rPr>
          <w:rFonts w:ascii="Arial" w:cs="Arial" w:eastAsia="Arial" w:hAnsi="Arial"/>
          <w:sz w:val="27"/>
          <w:szCs w:val="27"/>
          <w:color w:val="auto"/>
        </w:rPr>
        <w:t>2–3-</w:t>
      </w:r>
      <w:r>
        <w:rPr>
          <w:rFonts w:ascii="Arial" w:cs="Arial" w:eastAsia="Arial" w:hAnsi="Arial"/>
          <w:sz w:val="27"/>
          <w:szCs w:val="27"/>
          <w:color w:val="auto"/>
        </w:rPr>
        <w:t>й степени</w:t>
      </w:r>
      <w:r>
        <w:rPr>
          <w:rFonts w:ascii="Arial" w:cs="Arial" w:eastAsia="Arial" w:hAnsi="Arial"/>
          <w:sz w:val="27"/>
          <w:szCs w:val="27"/>
          <w:color w:val="auto"/>
        </w:rPr>
        <w:t xml:space="preserve">, </w:t>
      </w:r>
      <w:r>
        <w:rPr>
          <w:rFonts w:ascii="Arial" w:cs="Arial" w:eastAsia="Arial" w:hAnsi="Arial"/>
          <w:sz w:val="27"/>
          <w:szCs w:val="27"/>
          <w:color w:val="auto"/>
        </w:rPr>
        <w:t>ХСН снизкой ФВ ЛЖ</w:t>
      </w:r>
      <w:r>
        <w:rPr>
          <w:rFonts w:ascii="Arial" w:cs="Arial" w:eastAsia="Arial" w:hAnsi="Arial"/>
          <w:sz w:val="27"/>
          <w:szCs w:val="27"/>
          <w:color w:val="auto"/>
        </w:rPr>
        <w:t xml:space="preserve">. </w:t>
      </w:r>
      <w:r>
        <w:rPr>
          <w:rFonts w:ascii="Arial" w:cs="Arial" w:eastAsia="Arial" w:hAnsi="Arial"/>
          <w:sz w:val="27"/>
          <w:szCs w:val="27"/>
          <w:color w:val="auto"/>
        </w:rPr>
        <w:t>Для дигидропиридиновых</w:t>
      </w:r>
      <w:r>
        <w:rPr>
          <w:rFonts w:ascii="Arial" w:cs="Arial" w:eastAsia="Arial" w:hAnsi="Arial"/>
          <w:sz w:val="27"/>
          <w:szCs w:val="27"/>
          <w:color w:val="auto"/>
        </w:rPr>
        <w:t xml:space="preserve"> </w:t>
      </w:r>
      <w:r>
        <w:rPr>
          <w:rFonts w:ascii="Arial" w:cs="Arial" w:eastAsia="Arial" w:hAnsi="Arial"/>
          <w:sz w:val="27"/>
          <w:szCs w:val="27"/>
          <w:color w:val="auto"/>
        </w:rPr>
        <w:t>АК абсолютных противопоказаний нет</w:t>
      </w:r>
      <w:r>
        <w:rPr>
          <w:rFonts w:ascii="Arial" w:cs="Arial" w:eastAsia="Arial" w:hAnsi="Arial"/>
          <w:sz w:val="27"/>
          <w:szCs w:val="27"/>
          <w:color w:val="auto"/>
        </w:rPr>
        <w:t>.</w:t>
      </w:r>
    </w:p>
    <w:p>
      <w:pPr>
        <w:spacing w:after="0" w:line="21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Диуретики тиазидные и тиазидоподобные</w:t>
      </w:r>
    </w:p>
    <w:p>
      <w:pPr>
        <w:sectPr>
          <w:pgSz w:w="11900" w:h="16840" w:orient="portrait"/>
          <w:cols w:equalWidth="0" w:num="1">
            <w:col w:w="9020"/>
          </w:cols>
          <w:pgMar w:left="1440" w:top="19" w:right="1440" w:bottom="9" w:gutter="0" w:footer="0" w:header="0"/>
        </w:sectPr>
      </w:pPr>
    </w:p>
    <w:bookmarkStart w:id="47" w:name="page48"/>
    <w:bookmarkEnd w:id="47"/>
    <w:p>
      <w:pPr>
        <w:spacing w:after="0" w:line="144"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Диуретики оказывают выраженный антигипертензивный эффект и остаются краеугольным камнем антигипертензивной терапии</w:t>
      </w:r>
      <w:r>
        <w:rPr>
          <w:rFonts w:ascii="Arial" w:cs="Arial" w:eastAsia="Arial" w:hAnsi="Arial"/>
          <w:sz w:val="27"/>
          <w:szCs w:val="27"/>
          <w:color w:val="auto"/>
        </w:rPr>
        <w:t>.</w:t>
      </w:r>
      <w:r>
        <w:rPr>
          <w:rFonts w:ascii="Arial" w:cs="Arial" w:eastAsia="Arial" w:hAnsi="Arial"/>
          <w:sz w:val="27"/>
          <w:szCs w:val="27"/>
          <w:color w:val="auto"/>
        </w:rPr>
        <w:t xml:space="preserve"> Их эффективность в предотвращении всех вариантов</w:t>
      </w:r>
    </w:p>
    <w:p>
      <w:pPr>
        <w:spacing w:after="0" w:line="2" w:lineRule="exact"/>
        <w:rPr>
          <w:sz w:val="20"/>
          <w:szCs w:val="20"/>
          <w:color w:val="auto"/>
        </w:rPr>
      </w:pPr>
    </w:p>
    <w:p>
      <w:pPr>
        <w:jc w:val="both"/>
        <w:ind w:left="680" w:right="220" w:hanging="4"/>
        <w:spacing w:after="0" w:line="304" w:lineRule="auto"/>
        <w:tabs>
          <w:tab w:leader="none" w:pos="1297" w:val="left"/>
        </w:tabs>
        <w:numPr>
          <w:ilvl w:val="0"/>
          <w:numId w:val="30"/>
        </w:numPr>
        <w:rPr>
          <w:rFonts w:ascii="Arial" w:cs="Arial" w:eastAsia="Arial" w:hAnsi="Arial"/>
          <w:sz w:val="27"/>
          <w:szCs w:val="27"/>
          <w:color w:val="auto"/>
        </w:rPr>
      </w:pPr>
      <w:r>
        <w:rPr>
          <w:rFonts w:ascii="Arial" w:cs="Arial" w:eastAsia="Arial" w:hAnsi="Arial"/>
          <w:sz w:val="27"/>
          <w:szCs w:val="27"/>
          <w:color w:val="auto"/>
        </w:rPr>
        <w:t xml:space="preserve">осложнений и смертности подтверждена в РКИ и метаанализах </w:t>
      </w:r>
      <w:r>
        <w:rPr>
          <w:rFonts w:ascii="Arial" w:cs="Arial" w:eastAsia="Arial" w:hAnsi="Arial"/>
          <w:sz w:val="27"/>
          <w:szCs w:val="27"/>
          <w:color w:val="auto"/>
        </w:rPr>
        <w:t>[147].</w:t>
      </w:r>
      <w:r>
        <w:rPr>
          <w:rFonts w:ascii="Arial" w:cs="Arial" w:eastAsia="Arial" w:hAnsi="Arial"/>
          <w:sz w:val="27"/>
          <w:szCs w:val="27"/>
          <w:color w:val="auto"/>
        </w:rPr>
        <w:t xml:space="preserve"> Диуретики более эффективно предотвращают СН</w:t>
      </w:r>
      <w:r>
        <w:rPr>
          <w:rFonts w:ascii="Arial" w:cs="Arial" w:eastAsia="Arial" w:hAnsi="Arial"/>
          <w:sz w:val="27"/>
          <w:szCs w:val="27"/>
          <w:color w:val="auto"/>
        </w:rPr>
        <w:t>,</w:t>
      </w:r>
      <w:r>
        <w:rPr>
          <w:rFonts w:ascii="Arial" w:cs="Arial" w:eastAsia="Arial" w:hAnsi="Arial"/>
          <w:sz w:val="27"/>
          <w:szCs w:val="27"/>
          <w:color w:val="auto"/>
        </w:rPr>
        <w:t xml:space="preserve"> чем другие классы препаратов </w:t>
      </w:r>
      <w:r>
        <w:rPr>
          <w:rFonts w:ascii="Arial" w:cs="Arial" w:eastAsia="Arial" w:hAnsi="Arial"/>
          <w:sz w:val="27"/>
          <w:szCs w:val="27"/>
          <w:color w:val="auto"/>
        </w:rPr>
        <w:t>[140].</w:t>
      </w:r>
      <w:r>
        <w:rPr>
          <w:rFonts w:ascii="Arial" w:cs="Arial" w:eastAsia="Arial" w:hAnsi="Arial"/>
          <w:sz w:val="27"/>
          <w:szCs w:val="27"/>
          <w:color w:val="auto"/>
        </w:rPr>
        <w:t xml:space="preserve"> В настоящее время ведутся дискуссии о том</w:t>
      </w:r>
      <w:r>
        <w:rPr>
          <w:rFonts w:ascii="Arial" w:cs="Arial" w:eastAsia="Arial" w:hAnsi="Arial"/>
          <w:sz w:val="27"/>
          <w:szCs w:val="27"/>
          <w:color w:val="auto"/>
        </w:rPr>
        <w:t>,</w:t>
      </w:r>
      <w:r>
        <w:rPr>
          <w:rFonts w:ascii="Arial" w:cs="Arial" w:eastAsia="Arial" w:hAnsi="Arial"/>
          <w:sz w:val="27"/>
          <w:szCs w:val="27"/>
          <w:color w:val="auto"/>
        </w:rPr>
        <w:t xml:space="preserve"> следует ли предпочесть тиазидоподобные диуретики классическим тиазидным диуретикам</w:t>
      </w:r>
      <w:r>
        <w:rPr>
          <w:rFonts w:ascii="Arial" w:cs="Arial" w:eastAsia="Arial" w:hAnsi="Arial"/>
          <w:sz w:val="27"/>
          <w:szCs w:val="27"/>
          <w:color w:val="auto"/>
        </w:rPr>
        <w:t>,</w:t>
      </w:r>
      <w:r>
        <w:rPr>
          <w:rFonts w:ascii="Arial" w:cs="Arial" w:eastAsia="Arial" w:hAnsi="Arial"/>
          <w:sz w:val="27"/>
          <w:szCs w:val="27"/>
          <w:color w:val="auto"/>
        </w:rPr>
        <w:t xml:space="preserve"> хотя их превосходство не было подтверждено в РКИ с прямым сравнением</w:t>
      </w:r>
      <w:r>
        <w:rPr>
          <w:rFonts w:ascii="Arial" w:cs="Arial" w:eastAsia="Arial" w:hAnsi="Arial"/>
          <w:sz w:val="27"/>
          <w:szCs w:val="27"/>
          <w:color w:val="auto"/>
        </w:rPr>
        <w:t>.</w:t>
      </w:r>
      <w:r>
        <w:rPr>
          <w:rFonts w:ascii="Arial" w:cs="Arial" w:eastAsia="Arial" w:hAnsi="Arial"/>
          <w:sz w:val="27"/>
          <w:szCs w:val="27"/>
          <w:color w:val="auto"/>
        </w:rPr>
        <w:t xml:space="preserve"> Недавний метаанализ плацебо</w:t>
      </w:r>
      <w:r>
        <w:rPr>
          <w:rFonts w:ascii="Arial" w:cs="Arial" w:eastAsia="Arial" w:hAnsi="Arial"/>
          <w:sz w:val="27"/>
          <w:szCs w:val="27"/>
          <w:color w:val="auto"/>
        </w:rPr>
        <w:t>-</w:t>
      </w:r>
      <w:r>
        <w:rPr>
          <w:rFonts w:ascii="Arial" w:cs="Arial" w:eastAsia="Arial" w:hAnsi="Arial"/>
          <w:sz w:val="27"/>
          <w:szCs w:val="27"/>
          <w:color w:val="auto"/>
        </w:rPr>
        <w:t xml:space="preserve">контролируемых РКИ показал сходные эффекты трех типов диуретиков на СС исходы </w:t>
      </w:r>
      <w:r>
        <w:rPr>
          <w:rFonts w:ascii="Arial" w:cs="Arial" w:eastAsia="Arial" w:hAnsi="Arial"/>
          <w:sz w:val="27"/>
          <w:szCs w:val="27"/>
          <w:color w:val="auto"/>
        </w:rPr>
        <w:t>[147].</w:t>
      </w:r>
      <w:r>
        <w:rPr>
          <w:rFonts w:ascii="Arial" w:cs="Arial" w:eastAsia="Arial" w:hAnsi="Arial"/>
          <w:sz w:val="27"/>
          <w:szCs w:val="27"/>
          <w:color w:val="auto"/>
        </w:rPr>
        <w:t xml:space="preserve"> Таким образом</w:t>
      </w:r>
      <w:r>
        <w:rPr>
          <w:rFonts w:ascii="Arial" w:cs="Arial" w:eastAsia="Arial" w:hAnsi="Arial"/>
          <w:sz w:val="27"/>
          <w:szCs w:val="27"/>
          <w:color w:val="auto"/>
        </w:rPr>
        <w:t>,</w:t>
      </w:r>
      <w:r>
        <w:rPr>
          <w:rFonts w:ascii="Arial" w:cs="Arial" w:eastAsia="Arial" w:hAnsi="Arial"/>
          <w:sz w:val="27"/>
          <w:szCs w:val="27"/>
          <w:color w:val="auto"/>
        </w:rPr>
        <w:t xml:space="preserve"> в отсутствие прямых сравнительных исследований и с учетом того</w:t>
      </w:r>
      <w:r>
        <w:rPr>
          <w:rFonts w:ascii="Arial" w:cs="Arial" w:eastAsia="Arial" w:hAnsi="Arial"/>
          <w:sz w:val="27"/>
          <w:szCs w:val="27"/>
          <w:color w:val="auto"/>
        </w:rPr>
        <w:t>,</w:t>
      </w:r>
      <w:r>
        <w:rPr>
          <w:rFonts w:ascii="Arial" w:cs="Arial" w:eastAsia="Arial" w:hAnsi="Arial"/>
          <w:sz w:val="27"/>
          <w:szCs w:val="27"/>
          <w:color w:val="auto"/>
        </w:rPr>
        <w:t xml:space="preserve"> что гидрохлортиазид является компонентом многих фиксированных комбинаций</w:t>
      </w:r>
      <w:r>
        <w:rPr>
          <w:rFonts w:ascii="Arial" w:cs="Arial" w:eastAsia="Arial" w:hAnsi="Arial"/>
          <w:sz w:val="27"/>
          <w:szCs w:val="27"/>
          <w:color w:val="auto"/>
        </w:rPr>
        <w:t>,</w:t>
      </w:r>
      <w:r>
        <w:rPr>
          <w:rFonts w:ascii="Arial" w:cs="Arial" w:eastAsia="Arial" w:hAnsi="Arial"/>
          <w:sz w:val="27"/>
          <w:szCs w:val="27"/>
          <w:color w:val="auto"/>
        </w:rPr>
        <w:t xml:space="preserve"> можно рекомендовать равноценное использование тиазидов</w:t>
      </w:r>
      <w:r>
        <w:rPr>
          <w:rFonts w:ascii="Arial" w:cs="Arial" w:eastAsia="Arial" w:hAnsi="Arial"/>
          <w:sz w:val="27"/>
          <w:szCs w:val="27"/>
          <w:color w:val="auto"/>
        </w:rPr>
        <w:t>,</w:t>
      </w:r>
      <w:r>
        <w:rPr>
          <w:rFonts w:ascii="Arial" w:cs="Arial" w:eastAsia="Arial" w:hAnsi="Arial"/>
          <w:sz w:val="27"/>
          <w:szCs w:val="27"/>
          <w:color w:val="auto"/>
        </w:rPr>
        <w:t xml:space="preserve"> хлорталидона и индапамида</w:t>
      </w:r>
      <w:r>
        <w:rPr>
          <w:rFonts w:ascii="Arial" w:cs="Arial" w:eastAsia="Arial" w:hAnsi="Arial"/>
          <w:sz w:val="27"/>
          <w:szCs w:val="27"/>
          <w:color w:val="auto"/>
        </w:rPr>
        <w:t>.</w:t>
      </w:r>
    </w:p>
    <w:p>
      <w:pPr>
        <w:spacing w:after="0" w:line="227" w:lineRule="exact"/>
        <w:rPr>
          <w:sz w:val="20"/>
          <w:szCs w:val="20"/>
          <w:color w:val="auto"/>
        </w:rPr>
      </w:pPr>
    </w:p>
    <w:p>
      <w:pPr>
        <w:jc w:val="both"/>
        <w:ind w:left="680" w:right="220" w:hanging="4"/>
        <w:spacing w:after="0" w:line="301" w:lineRule="auto"/>
        <w:tabs>
          <w:tab w:leader="none" w:pos="963" w:val="left"/>
        </w:tabs>
        <w:numPr>
          <w:ilvl w:val="0"/>
          <w:numId w:val="31"/>
        </w:numPr>
        <w:rPr>
          <w:rFonts w:ascii="Arial" w:cs="Arial" w:eastAsia="Arial" w:hAnsi="Arial"/>
          <w:sz w:val="27"/>
          <w:szCs w:val="27"/>
          <w:color w:val="auto"/>
        </w:rPr>
      </w:pPr>
      <w:r>
        <w:rPr>
          <w:rFonts w:ascii="Arial" w:cs="Arial" w:eastAsia="Arial" w:hAnsi="Arial"/>
          <w:sz w:val="27"/>
          <w:szCs w:val="27"/>
          <w:color w:val="auto"/>
        </w:rPr>
        <w:t>тиазидные</w:t>
      </w:r>
      <w:r>
        <w:rPr>
          <w:rFonts w:ascii="Arial" w:cs="Arial" w:eastAsia="Arial" w:hAnsi="Arial"/>
          <w:sz w:val="27"/>
          <w:szCs w:val="27"/>
          <w:color w:val="auto"/>
        </w:rPr>
        <w:t>,</w:t>
      </w:r>
      <w:r>
        <w:rPr>
          <w:rFonts w:ascii="Arial" w:cs="Arial" w:eastAsia="Arial" w:hAnsi="Arial"/>
          <w:sz w:val="27"/>
          <w:szCs w:val="27"/>
          <w:color w:val="auto"/>
        </w:rPr>
        <w:t xml:space="preserve"> и тиазидоподобные диуретики снижают уровень сывороточного калия и имеют менее благоприятный профиль безопасности</w:t>
      </w:r>
      <w:r>
        <w:rPr>
          <w:rFonts w:ascii="Arial" w:cs="Arial" w:eastAsia="Arial" w:hAnsi="Arial"/>
          <w:sz w:val="27"/>
          <w:szCs w:val="27"/>
          <w:color w:val="auto"/>
        </w:rPr>
        <w:t>,</w:t>
      </w:r>
      <w:r>
        <w:rPr>
          <w:rFonts w:ascii="Arial" w:cs="Arial" w:eastAsia="Arial" w:hAnsi="Arial"/>
          <w:sz w:val="27"/>
          <w:szCs w:val="27"/>
          <w:color w:val="auto"/>
        </w:rPr>
        <w:t xml:space="preserve"> чем блокаторы РААС </w:t>
      </w:r>
      <w:r>
        <w:rPr>
          <w:rFonts w:ascii="Arial" w:cs="Arial" w:eastAsia="Arial" w:hAnsi="Arial"/>
          <w:sz w:val="27"/>
          <w:szCs w:val="27"/>
          <w:color w:val="auto"/>
        </w:rPr>
        <w:t>[147, 148].</w:t>
      </w:r>
      <w:r>
        <w:rPr>
          <w:rFonts w:ascii="Arial" w:cs="Arial" w:eastAsia="Arial" w:hAnsi="Arial"/>
          <w:sz w:val="27"/>
          <w:szCs w:val="27"/>
          <w:color w:val="auto"/>
        </w:rPr>
        <w:t xml:space="preserve"> Они также могут способствовать повышению инсулинорезистентности и риска развития СД</w:t>
      </w:r>
      <w:r>
        <w:rPr>
          <w:rFonts w:ascii="Arial" w:cs="Arial" w:eastAsia="Arial" w:hAnsi="Arial"/>
          <w:sz w:val="27"/>
          <w:szCs w:val="27"/>
          <w:color w:val="auto"/>
        </w:rPr>
        <w:t>.</w:t>
      </w:r>
      <w:r>
        <w:rPr>
          <w:rFonts w:ascii="Arial" w:cs="Arial" w:eastAsia="Arial" w:hAnsi="Arial"/>
          <w:sz w:val="27"/>
          <w:szCs w:val="27"/>
          <w:color w:val="auto"/>
        </w:rPr>
        <w:t xml:space="preserve"> Недавно проведенные исследования показали</w:t>
      </w:r>
      <w:r>
        <w:rPr>
          <w:rFonts w:ascii="Arial" w:cs="Arial" w:eastAsia="Arial" w:hAnsi="Arial"/>
          <w:sz w:val="27"/>
          <w:szCs w:val="27"/>
          <w:color w:val="auto"/>
        </w:rPr>
        <w:t>,</w:t>
      </w:r>
      <w:r>
        <w:rPr>
          <w:rFonts w:ascii="Arial" w:cs="Arial" w:eastAsia="Arial" w:hAnsi="Arial"/>
          <w:sz w:val="27"/>
          <w:szCs w:val="27"/>
          <w:color w:val="auto"/>
        </w:rPr>
        <w:t xml:space="preserve"> что снизить негативное влияние тиазидов на метаболизм глюкозы можно добавлением калийсберегающего диуретика</w:t>
      </w:r>
    </w:p>
    <w:p>
      <w:pPr>
        <w:spacing w:after="0" w:line="5" w:lineRule="exact"/>
        <w:rPr>
          <w:sz w:val="20"/>
          <w:szCs w:val="20"/>
          <w:color w:val="auto"/>
        </w:rPr>
      </w:pPr>
    </w:p>
    <w:p>
      <w:pPr>
        <w:ind w:left="1740" w:hanging="1064"/>
        <w:spacing w:after="0"/>
        <w:tabs>
          <w:tab w:leader="none" w:pos="1740" w:val="left"/>
        </w:tabs>
        <w:numPr>
          <w:ilvl w:val="0"/>
          <w:numId w:val="32"/>
        </w:numPr>
        <w:rPr>
          <w:rFonts w:ascii="Arial" w:cs="Arial" w:eastAsia="Arial" w:hAnsi="Arial"/>
          <w:sz w:val="27"/>
          <w:szCs w:val="27"/>
          <w:color w:val="auto"/>
        </w:rPr>
      </w:pPr>
      <w:r>
        <w:rPr>
          <w:rFonts w:ascii="Arial" w:cs="Arial" w:eastAsia="Arial" w:hAnsi="Arial"/>
          <w:sz w:val="27"/>
          <w:szCs w:val="27"/>
          <w:color w:val="auto"/>
        </w:rPr>
        <w:t>И   тиазидные</w:t>
      </w:r>
      <w:r>
        <w:rPr>
          <w:rFonts w:ascii="Arial" w:cs="Arial" w:eastAsia="Arial" w:hAnsi="Arial"/>
          <w:sz w:val="27"/>
          <w:szCs w:val="27"/>
          <w:color w:val="auto"/>
        </w:rPr>
        <w:t>,</w:t>
      </w:r>
      <w:r>
        <w:rPr>
          <w:rFonts w:ascii="Arial" w:cs="Arial" w:eastAsia="Arial" w:hAnsi="Arial"/>
          <w:sz w:val="27"/>
          <w:szCs w:val="27"/>
          <w:color w:val="auto"/>
        </w:rPr>
        <w:t xml:space="preserve">   и   тиазидоподобные   диуретики</w:t>
      </w:r>
    </w:p>
    <w:p>
      <w:pPr>
        <w:spacing w:after="0" w:line="79" w:lineRule="exact"/>
        <w:rPr>
          <w:rFonts w:ascii="Arial" w:cs="Arial" w:eastAsia="Arial" w:hAnsi="Arial"/>
          <w:sz w:val="27"/>
          <w:szCs w:val="27"/>
          <w:color w:val="auto"/>
        </w:rPr>
      </w:pPr>
    </w:p>
    <w:p>
      <w:pPr>
        <w:jc w:val="both"/>
        <w:ind w:left="680" w:right="220"/>
        <w:spacing w:after="0" w:line="309" w:lineRule="auto"/>
        <w:rPr>
          <w:rFonts w:ascii="Arial" w:cs="Arial" w:eastAsia="Arial" w:hAnsi="Arial"/>
          <w:sz w:val="27"/>
          <w:szCs w:val="27"/>
          <w:color w:val="auto"/>
        </w:rPr>
      </w:pPr>
      <w:r>
        <w:rPr>
          <w:rFonts w:ascii="Arial" w:cs="Arial" w:eastAsia="Arial" w:hAnsi="Arial"/>
          <w:sz w:val="27"/>
          <w:szCs w:val="27"/>
          <w:color w:val="auto"/>
        </w:rPr>
        <w:t xml:space="preserve">характеризуются снижением антигипертензивной эффективности при СКФ менее </w:t>
      </w:r>
      <w:r>
        <w:rPr>
          <w:rFonts w:ascii="Arial" w:cs="Arial" w:eastAsia="Arial" w:hAnsi="Arial"/>
          <w:sz w:val="27"/>
          <w:szCs w:val="27"/>
          <w:color w:val="auto"/>
        </w:rPr>
        <w:t>45</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мин</w:t>
      </w:r>
      <w:r>
        <w:rPr>
          <w:rFonts w:ascii="Arial" w:cs="Arial" w:eastAsia="Arial" w:hAnsi="Arial"/>
          <w:sz w:val="27"/>
          <w:szCs w:val="27"/>
          <w:color w:val="auto"/>
        </w:rPr>
        <w:t>,</w:t>
      </w:r>
      <w:r>
        <w:rPr>
          <w:rFonts w:ascii="Arial" w:cs="Arial" w:eastAsia="Arial" w:hAnsi="Arial"/>
          <w:sz w:val="27"/>
          <w:szCs w:val="27"/>
          <w:color w:val="auto"/>
        </w:rPr>
        <w:t xml:space="preserve"> а при СКФ менее </w:t>
      </w:r>
      <w:r>
        <w:rPr>
          <w:rFonts w:ascii="Arial" w:cs="Arial" w:eastAsia="Arial" w:hAnsi="Arial"/>
          <w:sz w:val="27"/>
          <w:szCs w:val="27"/>
          <w:color w:val="auto"/>
        </w:rPr>
        <w:t>30</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мин препараты становятся неэффективными</w:t>
      </w:r>
      <w:r>
        <w:rPr>
          <w:rFonts w:ascii="Arial" w:cs="Arial" w:eastAsia="Arial" w:hAnsi="Arial"/>
          <w:sz w:val="27"/>
          <w:szCs w:val="27"/>
          <w:color w:val="auto"/>
        </w:rPr>
        <w:t>.</w:t>
      </w:r>
      <w:r>
        <w:rPr>
          <w:rFonts w:ascii="Arial" w:cs="Arial" w:eastAsia="Arial" w:hAnsi="Arial"/>
          <w:sz w:val="27"/>
          <w:szCs w:val="27"/>
          <w:color w:val="auto"/>
        </w:rPr>
        <w:t xml:space="preserve"> В этом случае в качестве альтернативы следует использовать петлевые диуретики</w:t>
      </w:r>
      <w:r>
        <w:rPr>
          <w:rFonts w:ascii="Arial" w:cs="Arial" w:eastAsia="Arial" w:hAnsi="Arial"/>
          <w:sz w:val="27"/>
          <w:szCs w:val="27"/>
          <w:color w:val="auto"/>
        </w:rPr>
        <w:t>.</w:t>
      </w:r>
    </w:p>
    <w:p>
      <w:pPr>
        <w:spacing w:after="0" w:line="222"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У пациентов</w:t>
      </w:r>
      <w:r>
        <w:rPr>
          <w:rFonts w:ascii="Arial" w:cs="Arial" w:eastAsia="Arial" w:hAnsi="Arial"/>
          <w:sz w:val="27"/>
          <w:szCs w:val="27"/>
          <w:color w:val="auto"/>
        </w:rPr>
        <w:t>,</w:t>
      </w:r>
      <w:r>
        <w:rPr>
          <w:rFonts w:ascii="Arial" w:cs="Arial" w:eastAsia="Arial" w:hAnsi="Arial"/>
          <w:sz w:val="27"/>
          <w:szCs w:val="27"/>
          <w:color w:val="auto"/>
        </w:rPr>
        <w:t xml:space="preserve"> не достигших целевого АД при приеме моно</w:t>
      </w:r>
      <w:r>
        <w:rPr>
          <w:rFonts w:ascii="Arial" w:cs="Arial" w:eastAsia="Arial" w:hAnsi="Arial"/>
          <w:sz w:val="27"/>
          <w:szCs w:val="27"/>
          <w:color w:val="auto"/>
        </w:rPr>
        <w:t>-</w:t>
      </w:r>
      <w:r>
        <w:rPr>
          <w:rFonts w:ascii="Arial" w:cs="Arial" w:eastAsia="Arial" w:hAnsi="Arial"/>
          <w:sz w:val="27"/>
          <w:szCs w:val="27"/>
          <w:color w:val="auto"/>
        </w:rPr>
        <w:t xml:space="preserve"> или комбинированной АГТ</w:t>
      </w:r>
      <w:r>
        <w:rPr>
          <w:rFonts w:ascii="Arial" w:cs="Arial" w:eastAsia="Arial" w:hAnsi="Arial"/>
          <w:sz w:val="27"/>
          <w:szCs w:val="27"/>
          <w:color w:val="auto"/>
        </w:rPr>
        <w:t>,</w:t>
      </w:r>
      <w:r>
        <w:rPr>
          <w:rFonts w:ascii="Arial" w:cs="Arial" w:eastAsia="Arial" w:hAnsi="Arial"/>
          <w:sz w:val="27"/>
          <w:szCs w:val="27"/>
          <w:color w:val="auto"/>
        </w:rPr>
        <w:t xml:space="preserve"> не включавшей диуретики</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назначение низких доз тиазидных или тиазидоподобных диуретиков в составе комбинированной терапии с БРА</w:t>
      </w:r>
      <w:r>
        <w:rPr>
          <w:rFonts w:ascii="Arial" w:cs="Arial" w:eastAsia="Arial" w:hAnsi="Arial"/>
          <w:sz w:val="27"/>
          <w:szCs w:val="27"/>
          <w:color w:val="auto"/>
        </w:rPr>
        <w:t>,</w:t>
      </w:r>
      <w:r>
        <w:rPr>
          <w:rFonts w:ascii="Arial" w:cs="Arial" w:eastAsia="Arial" w:hAnsi="Arial"/>
          <w:sz w:val="27"/>
          <w:szCs w:val="27"/>
          <w:color w:val="auto"/>
        </w:rPr>
        <w:t xml:space="preserve"> ИАПФ и АК для усиления АГЭ и достижения целевого АД </w:t>
      </w:r>
      <w:r>
        <w:rPr>
          <w:rFonts w:ascii="Arial" w:cs="Arial" w:eastAsia="Arial" w:hAnsi="Arial"/>
          <w:sz w:val="27"/>
          <w:szCs w:val="27"/>
          <w:color w:val="auto"/>
        </w:rPr>
        <w:t>[150–152].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IB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Подагра и бессимптомная гиперурикемия</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являются абсолютным противопоказанием к назначению гидрохлортиазида и хлорталидона и относительным</w:t>
      </w:r>
    </w:p>
    <w:p>
      <w:pPr>
        <w:sectPr>
          <w:pgSz w:w="11900" w:h="16984" w:orient="portrait"/>
          <w:cols w:equalWidth="0" w:num="1">
            <w:col w:w="9020"/>
          </w:cols>
          <w:pgMar w:left="1440" w:top="19" w:right="1440" w:bottom="0" w:gutter="0" w:footer="0" w:header="0"/>
        </w:sectPr>
      </w:pPr>
    </w:p>
    <w:bookmarkStart w:id="48" w:name="page49"/>
    <w:bookmarkEnd w:id="48"/>
    <w:p>
      <w:pPr>
        <w:spacing w:after="0" w:line="183"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противопоказанием для индапамида</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Антагонисты минералокортикоидных рецепторов</w:t>
      </w:r>
    </w:p>
    <w:p>
      <w:pPr>
        <w:spacing w:after="0" w:line="350" w:lineRule="exact"/>
        <w:rPr>
          <w:sz w:val="20"/>
          <w:szCs w:val="20"/>
          <w:color w:val="auto"/>
        </w:rPr>
      </w:pPr>
    </w:p>
    <w:p>
      <w:pPr>
        <w:jc w:val="both"/>
        <w:ind w:left="680" w:right="220"/>
        <w:spacing w:after="0" w:line="323" w:lineRule="auto"/>
        <w:rPr>
          <w:sz w:val="20"/>
          <w:szCs w:val="20"/>
          <w:color w:val="auto"/>
        </w:rPr>
      </w:pPr>
      <w:r>
        <w:rPr>
          <w:rFonts w:ascii="Arial" w:cs="Arial" w:eastAsia="Arial" w:hAnsi="Arial"/>
          <w:sz w:val="26"/>
          <w:szCs w:val="26"/>
          <w:b w:val="1"/>
          <w:bCs w:val="1"/>
          <w:i w:val="1"/>
          <w:iCs w:val="1"/>
          <w:color w:val="auto"/>
        </w:rPr>
        <w:t xml:space="preserve">АГЭ антагонистов минералокортикоидных рецепторов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АМКР</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спиронолактон</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эплеренон</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связан с тем</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что они</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имея</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стероидную структуру</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конкурентно по отношению к альдостерону</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связываются с его рецепторами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блокируя биологические эффекты альдостерона</w:t>
      </w:r>
      <w:r>
        <w:rPr>
          <w:rFonts w:ascii="Arial" w:cs="Arial" w:eastAsia="Arial" w:hAnsi="Arial"/>
          <w:sz w:val="26"/>
          <w:szCs w:val="26"/>
          <w:b w:val="1"/>
          <w:bCs w:val="1"/>
          <w:i w:val="1"/>
          <w:iCs w:val="1"/>
          <w:color w:val="auto"/>
        </w:rPr>
        <w:t>.</w:t>
      </w:r>
    </w:p>
    <w:p>
      <w:pPr>
        <w:spacing w:after="0" w:line="209" w:lineRule="exact"/>
        <w:rPr>
          <w:sz w:val="20"/>
          <w:szCs w:val="20"/>
          <w:color w:val="auto"/>
        </w:rPr>
      </w:pPr>
    </w:p>
    <w:p>
      <w:pPr>
        <w:jc w:val="both"/>
        <w:ind w:left="680" w:right="220"/>
        <w:spacing w:after="0" w:line="306" w:lineRule="auto"/>
        <w:rPr>
          <w:sz w:val="20"/>
          <w:szCs w:val="20"/>
          <w:color w:val="auto"/>
        </w:rPr>
      </w:pPr>
      <w:r>
        <w:rPr>
          <w:rFonts w:ascii="Arial" w:cs="Arial" w:eastAsia="Arial" w:hAnsi="Arial"/>
          <w:sz w:val="25"/>
          <w:szCs w:val="25"/>
          <w:b w:val="1"/>
          <w:bCs w:val="1"/>
          <w:i w:val="1"/>
          <w:iCs w:val="1"/>
          <w:color w:val="auto"/>
        </w:rPr>
        <w:t>C</w:t>
      </w:r>
      <w:r>
        <w:rPr>
          <w:rFonts w:ascii="Arial" w:cs="Arial" w:eastAsia="Arial" w:hAnsi="Arial"/>
          <w:sz w:val="25"/>
          <w:szCs w:val="25"/>
          <w:b w:val="1"/>
          <w:bCs w:val="1"/>
          <w:i w:val="1"/>
          <w:iCs w:val="1"/>
          <w:color w:val="auto"/>
        </w:rPr>
        <w:t>пиронолактон оказывает положительный эффект при</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сердечной недостаточности и резистентной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Эплеренон также продемонстрировал положительный эффект при сердечной недостаточности и резистентной АГ и может использоваться как альтернатива спиронолактону</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Для лечения АГ используются низкие суточные дозы АМКР </w:t>
      </w:r>
      <w:r>
        <w:rPr>
          <w:rFonts w:ascii="Arial" w:cs="Arial" w:eastAsia="Arial" w:hAnsi="Arial"/>
          <w:sz w:val="25"/>
          <w:szCs w:val="25"/>
          <w:b w:val="1"/>
          <w:bCs w:val="1"/>
          <w:i w:val="1"/>
          <w:iCs w:val="1"/>
          <w:color w:val="auto"/>
        </w:rPr>
        <w:t>(25–50</w:t>
      </w:r>
      <w:r>
        <w:rPr>
          <w:rFonts w:ascii="Arial" w:cs="Arial" w:eastAsia="Arial" w:hAnsi="Arial"/>
          <w:sz w:val="25"/>
          <w:szCs w:val="25"/>
          <w:b w:val="1"/>
          <w:bCs w:val="1"/>
          <w:i w:val="1"/>
          <w:iCs w:val="1"/>
          <w:color w:val="auto"/>
        </w:rPr>
        <w:t xml:space="preserve"> мг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 рекомендуется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абсолютное противопоказание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назначение антагонистов альдостероновых рецепторов при нарушении функции почек с СКФ</w:t>
      </w:r>
      <w:r>
        <w:rPr>
          <w:rFonts w:ascii="Arial" w:cs="Arial" w:eastAsia="Arial" w:hAnsi="Arial"/>
          <w:sz w:val="25"/>
          <w:szCs w:val="25"/>
          <w:b w:val="1"/>
          <w:bCs w:val="1"/>
          <w:i w:val="1"/>
          <w:iCs w:val="1"/>
          <w:color w:val="auto"/>
        </w:rPr>
        <w:t>&lt;30</w:t>
      </w:r>
      <w:r>
        <w:rPr>
          <w:rFonts w:ascii="Arial" w:cs="Arial" w:eastAsia="Arial" w:hAnsi="Arial"/>
          <w:sz w:val="25"/>
          <w:szCs w:val="25"/>
          <w:b w:val="1"/>
          <w:bCs w:val="1"/>
          <w:i w:val="1"/>
          <w:iCs w:val="1"/>
          <w:color w:val="auto"/>
        </w:rPr>
        <w:t xml:space="preserve"> мл</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мин</w:t>
      </w:r>
      <w:r>
        <w:rPr>
          <w:rFonts w:ascii="Arial" w:cs="Arial" w:eastAsia="Arial" w:hAnsi="Arial"/>
          <w:sz w:val="25"/>
          <w:szCs w:val="25"/>
          <w:b w:val="1"/>
          <w:bCs w:val="1"/>
          <w:i w:val="1"/>
          <w:iCs w:val="1"/>
          <w:color w:val="auto"/>
        </w:rPr>
        <w:t>/1,73</w:t>
      </w:r>
      <w:r>
        <w:rPr>
          <w:rFonts w:ascii="Arial" w:cs="Arial" w:eastAsia="Arial" w:hAnsi="Arial"/>
          <w:sz w:val="25"/>
          <w:szCs w:val="25"/>
          <w:b w:val="1"/>
          <w:bCs w:val="1"/>
          <w:i w:val="1"/>
          <w:iCs w:val="1"/>
          <w:color w:val="auto"/>
        </w:rPr>
        <w:t xml:space="preserve"> м</w:t>
      </w:r>
      <w:r>
        <w:rPr>
          <w:rFonts w:ascii="Arial" w:cs="Arial" w:eastAsia="Arial" w:hAnsi="Arial"/>
          <w:sz w:val="49"/>
          <w:szCs w:val="49"/>
          <w:b w:val="1"/>
          <w:bCs w:val="1"/>
          <w:i w:val="1"/>
          <w:iCs w:val="1"/>
          <w:color w:val="auto"/>
          <w:vertAlign w:val="superscript"/>
        </w:rPr>
        <w:t>2</w:t>
      </w:r>
      <w:r>
        <w:rPr>
          <w:rFonts w:ascii="Arial" w:cs="Arial" w:eastAsia="Arial" w:hAnsi="Arial"/>
          <w:sz w:val="25"/>
          <w:szCs w:val="25"/>
          <w:b w:val="1"/>
          <w:bCs w:val="1"/>
          <w:i w:val="1"/>
          <w:iCs w:val="1"/>
          <w:color w:val="auto"/>
        </w:rPr>
        <w:t xml:space="preserve"> из</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за повышения риска гиперкалиемии и ухудшения функции почек</w:t>
      </w:r>
      <w:r>
        <w:rPr>
          <w:rFonts w:ascii="Arial" w:cs="Arial" w:eastAsia="Arial" w:hAnsi="Arial"/>
          <w:sz w:val="25"/>
          <w:szCs w:val="25"/>
          <w:b w:val="1"/>
          <w:bCs w:val="1"/>
          <w:i w:val="1"/>
          <w:iCs w:val="1"/>
          <w:color w:val="auto"/>
        </w:rPr>
        <w:t>.</w:t>
      </w:r>
    </w:p>
    <w:p>
      <w:pPr>
        <w:spacing w:after="0" w:line="155" w:lineRule="exact"/>
        <w:rPr>
          <w:sz w:val="20"/>
          <w:szCs w:val="20"/>
          <w:color w:val="auto"/>
        </w:rPr>
      </w:pPr>
    </w:p>
    <w:p>
      <w:pPr>
        <w:jc w:val="both"/>
        <w:ind w:left="680" w:right="220"/>
        <w:spacing w:after="0" w:line="255" w:lineRule="auto"/>
        <w:rPr>
          <w:sz w:val="20"/>
          <w:szCs w:val="20"/>
          <w:color w:val="auto"/>
        </w:rPr>
      </w:pPr>
      <w:r>
        <w:rPr>
          <w:rFonts w:ascii="Arial" w:cs="Arial" w:eastAsia="Arial" w:hAnsi="Arial"/>
          <w:sz w:val="24"/>
          <w:szCs w:val="24"/>
          <w:b w:val="1"/>
          <w:bCs w:val="1"/>
          <w:i w:val="1"/>
          <w:iCs w:val="1"/>
          <w:color w:val="auto"/>
        </w:rPr>
        <w:t>Бета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адреноблокаторы</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АГЭ ББ обусловлена их способностью блокировать </w:t>
      </w:r>
      <w:r>
        <w:rPr>
          <w:rFonts w:ascii="Times New Roman" w:cs="Times New Roman" w:eastAsia="Times New Roman" w:hAnsi="Times New Roman"/>
          <w:sz w:val="24"/>
          <w:szCs w:val="24"/>
          <w:i w:val="1"/>
          <w:iCs w:val="1"/>
          <w:color w:val="auto"/>
        </w:rPr>
        <w:t>β</w:t>
      </w:r>
      <w:r>
        <w:rPr>
          <w:rFonts w:ascii="Arial" w:cs="Arial" w:eastAsia="Arial" w:hAnsi="Arial"/>
          <w:sz w:val="46"/>
          <w:szCs w:val="46"/>
          <w:b w:val="1"/>
          <w:bCs w:val="1"/>
          <w:i w:val="1"/>
          <w:iCs w:val="1"/>
          <w:color w:val="auto"/>
          <w:vertAlign w:val="subscript"/>
        </w:rPr>
        <w:t>1</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w:t>
      </w:r>
      <w:r>
        <w:rPr>
          <w:rFonts w:ascii="Times New Roman" w:cs="Times New Roman" w:eastAsia="Times New Roman" w:hAnsi="Times New Roman"/>
          <w:sz w:val="24"/>
          <w:szCs w:val="24"/>
          <w:i w:val="1"/>
          <w:iCs w:val="1"/>
          <w:color w:val="auto"/>
        </w:rPr>
        <w:t>β</w:t>
      </w:r>
      <w:r>
        <w:rPr>
          <w:rFonts w:ascii="Arial" w:cs="Arial" w:eastAsia="Arial" w:hAnsi="Arial"/>
          <w:sz w:val="46"/>
          <w:szCs w:val="46"/>
          <w:b w:val="1"/>
          <w:bCs w:val="1"/>
          <w:i w:val="1"/>
          <w:iCs w:val="1"/>
          <w:color w:val="auto"/>
          <w:vertAlign w:val="subscript"/>
        </w:rPr>
        <w:t>2</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адренорецепторы и уменьшать адренергическое влияние на сердце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снижение частоты и силы сердечных сокращений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 также снижать секрецию ренина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блокада</w:t>
      </w:r>
      <w:r>
        <w:rPr>
          <w:rFonts w:ascii="Arial" w:cs="Arial" w:eastAsia="Arial" w:hAnsi="Arial"/>
          <w:sz w:val="24"/>
          <w:szCs w:val="24"/>
          <w:b w:val="1"/>
          <w:bCs w:val="1"/>
          <w:i w:val="1"/>
          <w:iCs w:val="1"/>
          <w:color w:val="auto"/>
        </w:rPr>
        <w:t xml:space="preserve"> </w:t>
      </w:r>
      <w:r>
        <w:rPr>
          <w:rFonts w:ascii="Times New Roman" w:cs="Times New Roman" w:eastAsia="Times New Roman" w:hAnsi="Times New Roman"/>
          <w:sz w:val="24"/>
          <w:szCs w:val="24"/>
          <w:i w:val="1"/>
          <w:iCs w:val="1"/>
          <w:color w:val="auto"/>
        </w:rPr>
        <w:t>β</w:t>
      </w:r>
      <w:r>
        <w:rPr>
          <w:rFonts w:ascii="Arial" w:cs="Arial" w:eastAsia="Arial" w:hAnsi="Arial"/>
          <w:sz w:val="46"/>
          <w:szCs w:val="46"/>
          <w:b w:val="1"/>
          <w:bCs w:val="1"/>
          <w:i w:val="1"/>
          <w:iCs w:val="1"/>
          <w:color w:val="auto"/>
          <w:vertAlign w:val="subscript"/>
        </w:rPr>
        <w:t>1</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рецепторов юкстагломерулярного аппарата</w:t>
      </w:r>
      <w:r>
        <w:rPr>
          <w:rFonts w:ascii="Arial" w:cs="Arial" w:eastAsia="Arial" w:hAnsi="Arial"/>
          <w:sz w:val="24"/>
          <w:szCs w:val="24"/>
          <w:b w:val="1"/>
          <w:bCs w:val="1"/>
          <w:i w:val="1"/>
          <w:iCs w:val="1"/>
          <w:color w:val="auto"/>
        </w:rPr>
        <w:t>).</w:t>
      </w:r>
    </w:p>
    <w:p>
      <w:pPr>
        <w:spacing w:after="0" w:line="217"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ББ рекомендованы в качестве антигипертензивной терапии при наличии особых клинических ситуаций</w:t>
      </w:r>
      <w:r>
        <w:rPr>
          <w:rFonts w:ascii="Arial" w:cs="Arial" w:eastAsia="Arial" w:hAnsi="Arial"/>
          <w:sz w:val="27"/>
          <w:szCs w:val="27"/>
          <w:color w:val="auto"/>
        </w:rPr>
        <w:t>:</w:t>
      </w:r>
      <w:r>
        <w:rPr>
          <w:rFonts w:ascii="Arial" w:cs="Arial" w:eastAsia="Arial" w:hAnsi="Arial"/>
          <w:sz w:val="27"/>
          <w:szCs w:val="27"/>
          <w:color w:val="auto"/>
        </w:rPr>
        <w:t xml:space="preserve"> например</w:t>
      </w:r>
      <w:r>
        <w:rPr>
          <w:rFonts w:ascii="Arial" w:cs="Arial" w:eastAsia="Arial" w:hAnsi="Arial"/>
          <w:sz w:val="27"/>
          <w:szCs w:val="27"/>
          <w:color w:val="auto"/>
        </w:rPr>
        <w:t>,</w:t>
      </w:r>
      <w:r>
        <w:rPr>
          <w:rFonts w:ascii="Arial" w:cs="Arial" w:eastAsia="Arial" w:hAnsi="Arial"/>
          <w:sz w:val="27"/>
          <w:szCs w:val="27"/>
          <w:color w:val="auto"/>
        </w:rPr>
        <w:t xml:space="preserve"> стенокардии</w:t>
      </w:r>
      <w:r>
        <w:rPr>
          <w:rFonts w:ascii="Arial" w:cs="Arial" w:eastAsia="Arial" w:hAnsi="Arial"/>
          <w:sz w:val="27"/>
          <w:szCs w:val="27"/>
          <w:color w:val="auto"/>
        </w:rPr>
        <w:t>,</w:t>
      </w:r>
      <w:r>
        <w:rPr>
          <w:rFonts w:ascii="Arial" w:cs="Arial" w:eastAsia="Arial" w:hAnsi="Arial"/>
          <w:sz w:val="27"/>
          <w:szCs w:val="27"/>
          <w:color w:val="auto"/>
        </w:rPr>
        <w:t xml:space="preserve"> перенесенного инфаркта миокарда</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недостаточности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ЕОК 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9"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ББ</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один из пяти основных классов АГП</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Предпочтительными ситуациями для их назначения являются симптомная стенокардия напряжения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перенесенный ИМ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ХСН с низкой фракцией выброса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ФП</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аневризма аорты</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контроль ЧСС</w:t>
      </w:r>
      <w:r>
        <w:rPr>
          <w:rFonts w:ascii="Arial" w:cs="Arial" w:eastAsia="Arial" w:hAnsi="Arial"/>
          <w:sz w:val="24"/>
          <w:szCs w:val="24"/>
          <w:b w:val="1"/>
          <w:bCs w:val="1"/>
          <w:i w:val="1"/>
          <w:iCs w:val="1"/>
          <w:color w:val="auto"/>
        </w:rPr>
        <w:t>,</w:t>
      </w:r>
    </w:p>
    <w:p>
      <w:pPr>
        <w:spacing w:after="0" w:line="1" w:lineRule="exact"/>
        <w:rPr>
          <w:sz w:val="20"/>
          <w:szCs w:val="20"/>
          <w:color w:val="auto"/>
        </w:rPr>
      </w:pPr>
    </w:p>
    <w:p>
      <w:pPr>
        <w:jc w:val="both"/>
        <w:ind w:left="680" w:right="220" w:hanging="4"/>
        <w:spacing w:after="0" w:line="350" w:lineRule="auto"/>
        <w:tabs>
          <w:tab w:leader="none" w:pos="939" w:val="left"/>
        </w:tabs>
        <w:numPr>
          <w:ilvl w:val="0"/>
          <w:numId w:val="33"/>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также лечение АГ у женщин детородного возраста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особенно планирующих беременность</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ББ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гетерогенный класс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отдельных исследованиях продемонстрированы неодинаковые эффекты классических и вазодилатирующих ББ в отношении центрального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артериальной ригидности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риска развития СД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исходов при ХСН</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РКИ по сопоставлению эффективности ББ с разными свойствами у пациентов с АГ не</w:t>
      </w:r>
    </w:p>
    <w:p>
      <w:pPr>
        <w:sectPr>
          <w:pgSz w:w="11900" w:h="17023" w:orient="portrait"/>
          <w:cols w:equalWidth="0" w:num="1">
            <w:col w:w="9020"/>
          </w:cols>
          <w:pgMar w:left="1440" w:top="19" w:right="1440" w:bottom="0" w:gutter="0" w:footer="0" w:header="0"/>
        </w:sectPr>
      </w:pPr>
    </w:p>
    <w:bookmarkStart w:id="49" w:name="page50"/>
    <w:bookmarkEnd w:id="49"/>
    <w:p>
      <w:pPr>
        <w:spacing w:after="0" w:line="199"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i w:val="1"/>
          <w:iCs w:val="1"/>
          <w:color w:val="auto"/>
        </w:rPr>
        <w:t>проводились</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У физически активных пациентов и при наличии у них МС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НТГ рекомендованы ББ с вазодилатирующим эффектом</w:t>
      </w:r>
      <w:r>
        <w:rPr>
          <w:rFonts w:ascii="Arial" w:cs="Arial" w:eastAsia="Arial" w:hAnsi="Arial"/>
          <w:sz w:val="23"/>
          <w:szCs w:val="23"/>
          <w:b w:val="1"/>
          <w:bCs w:val="1"/>
          <w:i w:val="1"/>
          <w:iCs w:val="1"/>
          <w:color w:val="auto"/>
        </w:rPr>
        <w:t>,</w:t>
      </w:r>
    </w:p>
    <w:p>
      <w:pPr>
        <w:ind w:left="680" w:right="220"/>
        <w:spacing w:after="0" w:line="334" w:lineRule="auto"/>
        <w:rPr>
          <w:sz w:val="20"/>
          <w:szCs w:val="20"/>
          <w:color w:val="auto"/>
        </w:rPr>
      </w:pPr>
      <w:r>
        <w:rPr>
          <w:rFonts w:ascii="Arial" w:cs="Arial" w:eastAsia="Arial" w:hAnsi="Arial"/>
          <w:sz w:val="27"/>
          <w:szCs w:val="27"/>
          <w:b w:val="1"/>
          <w:bCs w:val="1"/>
          <w:i w:val="1"/>
          <w:iCs w:val="1"/>
          <w:color w:val="auto"/>
        </w:rPr>
        <w:t>не оказывающие отрицательного влияния на инсулинорезистетность</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jc w:val="both"/>
        <w:ind w:left="680" w:right="220" w:hanging="4"/>
        <w:spacing w:after="0" w:line="350" w:lineRule="auto"/>
        <w:tabs>
          <w:tab w:leader="none" w:pos="1092" w:val="left"/>
        </w:tabs>
        <w:numPr>
          <w:ilvl w:val="0"/>
          <w:numId w:val="34"/>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 xml:space="preserve">многоцентровых исследованиях была показана несколько меньшая эффективность ББ по предупреждению инсульта в сравнении с другими АГП </w:t>
      </w:r>
      <w:r>
        <w:rPr>
          <w:rFonts w:ascii="Arial" w:cs="Arial" w:eastAsia="Arial" w:hAnsi="Arial"/>
          <w:sz w:val="24"/>
          <w:szCs w:val="24"/>
          <w:b w:val="1"/>
          <w:bCs w:val="1"/>
          <w:i w:val="1"/>
          <w:iCs w:val="1"/>
          <w:color w:val="auto"/>
        </w:rPr>
        <w:t>[153].</w:t>
      </w:r>
      <w:r>
        <w:rPr>
          <w:rFonts w:ascii="Arial" w:cs="Arial" w:eastAsia="Arial" w:hAnsi="Arial"/>
          <w:sz w:val="24"/>
          <w:szCs w:val="24"/>
          <w:b w:val="1"/>
          <w:bCs w:val="1"/>
          <w:i w:val="1"/>
          <w:iCs w:val="1"/>
          <w:color w:val="auto"/>
        </w:rPr>
        <w:t xml:space="preserve"> Однако все эти данные были получены при анализе исследований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где применялся атенолол</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отношении небиволола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карведилола и высокоселективных ББ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бисопролол и метопролол замедленного высвобождения</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нет</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 xml:space="preserve">данных по влиянию на жесткие конечные точки </w:t>
      </w:r>
      <w:r>
        <w:rPr>
          <w:rFonts w:ascii="Arial" w:cs="Arial" w:eastAsia="Arial" w:hAnsi="Arial"/>
          <w:sz w:val="24"/>
          <w:szCs w:val="24"/>
          <w:b w:val="1"/>
          <w:bCs w:val="1"/>
          <w:i w:val="1"/>
          <w:iCs w:val="1"/>
          <w:color w:val="auto"/>
        </w:rPr>
        <w:t>[147].</w:t>
      </w:r>
    </w:p>
    <w:p>
      <w:pPr>
        <w:spacing w:after="0" w:line="184" w:lineRule="exact"/>
        <w:rPr>
          <w:sz w:val="20"/>
          <w:szCs w:val="20"/>
          <w:color w:val="auto"/>
        </w:rPr>
      </w:pPr>
    </w:p>
    <w:p>
      <w:pPr>
        <w:jc w:val="both"/>
        <w:ind w:left="680" w:right="220"/>
        <w:spacing w:after="0" w:line="372" w:lineRule="auto"/>
        <w:rPr>
          <w:sz w:val="20"/>
          <w:szCs w:val="20"/>
          <w:color w:val="auto"/>
        </w:rPr>
      </w:pPr>
      <w:r>
        <w:rPr>
          <w:rFonts w:ascii="Arial" w:cs="Arial" w:eastAsia="Arial" w:hAnsi="Arial"/>
          <w:sz w:val="24"/>
          <w:szCs w:val="24"/>
          <w:b w:val="1"/>
          <w:bCs w:val="1"/>
          <w:i w:val="1"/>
          <w:iCs w:val="1"/>
          <w:color w:val="auto"/>
        </w:rPr>
        <w:t xml:space="preserve">Абсолютное противопоказание для назначения ББ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синоатриальная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атриовентрикулярная блокада </w:t>
      </w:r>
      <w:r>
        <w:rPr>
          <w:rFonts w:ascii="Arial" w:cs="Arial" w:eastAsia="Arial" w:hAnsi="Arial"/>
          <w:sz w:val="24"/>
          <w:szCs w:val="24"/>
          <w:b w:val="1"/>
          <w:bCs w:val="1"/>
          <w:i w:val="1"/>
          <w:iCs w:val="1"/>
          <w:color w:val="auto"/>
        </w:rPr>
        <w:t>2–3-</w:t>
      </w:r>
      <w:r>
        <w:rPr>
          <w:rFonts w:ascii="Arial" w:cs="Arial" w:eastAsia="Arial" w:hAnsi="Arial"/>
          <w:sz w:val="24"/>
          <w:szCs w:val="24"/>
          <w:b w:val="1"/>
          <w:bCs w:val="1"/>
          <w:i w:val="1"/>
          <w:iCs w:val="1"/>
          <w:color w:val="auto"/>
        </w:rPr>
        <w:t>й степени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синдром слабости синусового узла и бронхиальная астма</w:t>
      </w:r>
      <w:r>
        <w:rPr>
          <w:rFonts w:ascii="Arial" w:cs="Arial" w:eastAsia="Arial" w:hAnsi="Arial"/>
          <w:sz w:val="24"/>
          <w:szCs w:val="24"/>
          <w:b w:val="1"/>
          <w:bCs w:val="1"/>
          <w:i w:val="1"/>
          <w:iCs w:val="1"/>
          <w:color w:val="auto"/>
        </w:rPr>
        <w:t>.</w:t>
      </w:r>
    </w:p>
    <w:p>
      <w:pPr>
        <w:spacing w:after="0" w:line="157"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i w:val="1"/>
          <w:iCs w:val="1"/>
          <w:color w:val="auto"/>
        </w:rPr>
        <w:t xml:space="preserve">Другие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дополнительные</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классы антигипертензивных препаратов</w:t>
      </w:r>
    </w:p>
    <w:p>
      <w:pPr>
        <w:spacing w:after="0" w:line="179" w:lineRule="exact"/>
        <w:rPr>
          <w:sz w:val="20"/>
          <w:szCs w:val="20"/>
          <w:color w:val="auto"/>
        </w:rPr>
      </w:pPr>
    </w:p>
    <w:p>
      <w:pPr>
        <w:jc w:val="both"/>
        <w:ind w:left="680" w:right="220" w:hanging="4"/>
        <w:spacing w:after="0" w:line="370" w:lineRule="auto"/>
        <w:tabs>
          <w:tab w:leader="none" w:pos="1019" w:val="left"/>
        </w:tabs>
        <w:numPr>
          <w:ilvl w:val="0"/>
          <w:numId w:val="35"/>
        </w:numPr>
        <w:rPr>
          <w:rFonts w:ascii="Arial" w:cs="Arial" w:eastAsia="Arial" w:hAnsi="Arial"/>
          <w:sz w:val="23"/>
          <w:szCs w:val="23"/>
          <w:b w:val="1"/>
          <w:bCs w:val="1"/>
          <w:i w:val="1"/>
          <w:iCs w:val="1"/>
          <w:color w:val="auto"/>
        </w:rPr>
      </w:pPr>
      <w:r>
        <w:rPr>
          <w:rFonts w:ascii="Arial" w:cs="Arial" w:eastAsia="Arial" w:hAnsi="Arial"/>
          <w:sz w:val="23"/>
          <w:szCs w:val="23"/>
          <w:b w:val="1"/>
          <w:bCs w:val="1"/>
          <w:i w:val="1"/>
          <w:iCs w:val="1"/>
          <w:color w:val="auto"/>
        </w:rPr>
        <w:t>целом антигипертензивные препараты</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не относящиеся к пяти основным классам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например</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препараты центрального действия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альфа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адреноблокаторы</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не рекомендуются для рутинного применения при АГ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но остаются препаратами резерва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например</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для применения при резистентной гипертензии при неэффективности остальных препаратов </w:t>
      </w:r>
      <w:r>
        <w:rPr>
          <w:rFonts w:ascii="Arial" w:cs="Arial" w:eastAsia="Arial" w:hAnsi="Arial"/>
          <w:sz w:val="23"/>
          <w:szCs w:val="23"/>
          <w:b w:val="1"/>
          <w:bCs w:val="1"/>
          <w:i w:val="1"/>
          <w:iCs w:val="1"/>
          <w:color w:val="auto"/>
        </w:rPr>
        <w:t>[21].</w:t>
      </w:r>
    </w:p>
    <w:p>
      <w:pPr>
        <w:spacing w:after="0" w:line="165"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i w:val="1"/>
          <w:iCs w:val="1"/>
          <w:color w:val="auto"/>
        </w:rPr>
        <w:t xml:space="preserve">Агонисты имидазолиновых рецепторов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моксонидин</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стимулируют имидазолиновые рецепторы</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расположенные в вентролатеральном отделе продолговатого мозга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отличие от других классов АГП</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для моксонидина не проводились РКИ с использованием жестких конечных точек</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 учетом результатов исследования </w:t>
      </w:r>
      <w:r>
        <w:rPr>
          <w:rFonts w:ascii="Arial" w:cs="Arial" w:eastAsia="Arial" w:hAnsi="Arial"/>
          <w:sz w:val="23"/>
          <w:szCs w:val="23"/>
          <w:b w:val="1"/>
          <w:bCs w:val="1"/>
          <w:i w:val="1"/>
          <w:iCs w:val="1"/>
          <w:color w:val="auto"/>
        </w:rPr>
        <w:t>ALMAZ [154],</w:t>
      </w:r>
      <w:r>
        <w:rPr>
          <w:rFonts w:ascii="Arial" w:cs="Arial" w:eastAsia="Arial" w:hAnsi="Arial"/>
          <w:sz w:val="23"/>
          <w:szCs w:val="23"/>
          <w:b w:val="1"/>
          <w:bCs w:val="1"/>
          <w:i w:val="1"/>
          <w:iCs w:val="1"/>
          <w:color w:val="auto"/>
        </w:rPr>
        <w:t xml:space="preserve"> показавшего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моксонидин повышает чувствительность тканей к инсулину у пациентов с</w:t>
      </w:r>
    </w:p>
    <w:p>
      <w:pPr>
        <w:jc w:val="both"/>
        <w:ind w:left="680" w:right="220"/>
        <w:spacing w:after="0" w:line="348" w:lineRule="auto"/>
        <w:rPr>
          <w:sz w:val="20"/>
          <w:szCs w:val="20"/>
          <w:color w:val="auto"/>
        </w:rPr>
      </w:pPr>
      <w:r>
        <w:rPr>
          <w:rFonts w:ascii="Arial" w:cs="Arial" w:eastAsia="Arial" w:hAnsi="Arial"/>
          <w:sz w:val="24"/>
          <w:szCs w:val="24"/>
          <w:b w:val="1"/>
          <w:bCs w:val="1"/>
          <w:i w:val="1"/>
          <w:iCs w:val="1"/>
          <w:color w:val="auto"/>
        </w:rPr>
        <w:t>избыточной массой тела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мягкой АГ и инсулинорезистентностью и нарушением углеводного обмена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назначение моксонидина возможно при ведении пациентов с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ожирением и инсулинорезистентностью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Несмотря на отсутствие в рекомендациях данного класса препаратов среди основных</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нет оснований для отмены такой терапии пациентам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которые уже получают данную группу препаратов при условии их хорошей эффективности и переносимости</w:t>
      </w:r>
      <w:r>
        <w:rPr>
          <w:rFonts w:ascii="Arial" w:cs="Arial" w:eastAsia="Arial" w:hAnsi="Arial"/>
          <w:sz w:val="24"/>
          <w:szCs w:val="24"/>
          <w:b w:val="1"/>
          <w:bCs w:val="1"/>
          <w:i w:val="1"/>
          <w:iCs w:val="1"/>
          <w:color w:val="auto"/>
        </w:rPr>
        <w:t>.</w:t>
      </w:r>
    </w:p>
    <w:p>
      <w:pPr>
        <w:spacing w:after="0" w:line="190" w:lineRule="exact"/>
        <w:rPr>
          <w:sz w:val="20"/>
          <w:szCs w:val="20"/>
          <w:color w:val="auto"/>
        </w:rPr>
      </w:pPr>
    </w:p>
    <w:p>
      <w:pPr>
        <w:jc w:val="both"/>
        <w:ind w:left="680" w:right="220"/>
        <w:spacing w:after="0" w:line="295" w:lineRule="auto"/>
        <w:rPr>
          <w:sz w:val="20"/>
          <w:szCs w:val="20"/>
          <w:color w:val="auto"/>
        </w:rPr>
      </w:pPr>
      <w:r>
        <w:rPr>
          <w:rFonts w:ascii="Arial" w:cs="Arial" w:eastAsia="Arial" w:hAnsi="Arial"/>
          <w:sz w:val="27"/>
          <w:szCs w:val="27"/>
          <w:color w:val="auto"/>
        </w:rPr>
        <w:t>Моксонидин для лечения АГ рекомендуется пациентам с МС или ожирением в комбинации с ИАПФ</w:t>
      </w:r>
      <w:r>
        <w:rPr>
          <w:rFonts w:ascii="Arial" w:cs="Arial" w:eastAsia="Arial" w:hAnsi="Arial"/>
          <w:sz w:val="27"/>
          <w:szCs w:val="27"/>
          <w:color w:val="auto"/>
        </w:rPr>
        <w:t>,</w:t>
      </w:r>
      <w:r>
        <w:rPr>
          <w:rFonts w:ascii="Arial" w:cs="Arial" w:eastAsia="Arial" w:hAnsi="Arial"/>
          <w:sz w:val="27"/>
          <w:szCs w:val="27"/>
          <w:color w:val="auto"/>
        </w:rPr>
        <w:t xml:space="preserve"> БРА</w:t>
      </w:r>
      <w:r>
        <w:rPr>
          <w:rFonts w:ascii="Arial" w:cs="Arial" w:eastAsia="Arial" w:hAnsi="Arial"/>
          <w:sz w:val="27"/>
          <w:szCs w:val="27"/>
          <w:color w:val="auto"/>
        </w:rPr>
        <w:t>,</w:t>
      </w:r>
      <w:r>
        <w:rPr>
          <w:rFonts w:ascii="Arial" w:cs="Arial" w:eastAsia="Arial" w:hAnsi="Arial"/>
          <w:sz w:val="27"/>
          <w:szCs w:val="27"/>
          <w:color w:val="auto"/>
        </w:rPr>
        <w:t xml:space="preserve"> АК и диуретиками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-404495</wp:posOffset>
            </wp:positionV>
            <wp:extent cx="82550" cy="82550"/>
            <wp:wrapNone/>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7039" w:orient="portrait"/>
          <w:cols w:equalWidth="0" w:num="1">
            <w:col w:w="9020"/>
          </w:cols>
          <w:pgMar w:left="1440" w:top="19" w:right="1440" w:bottom="0" w:gutter="0" w:footer="0" w:header="0"/>
        </w:sectPr>
      </w:pPr>
    </w:p>
    <w:bookmarkStart w:id="50" w:name="page51"/>
    <w:bookmarkEnd w:id="50"/>
    <w:p>
      <w:pPr>
        <w:spacing w:after="0" w:line="97"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при недостаточной эффективности классических комбинаций </w:t>
      </w:r>
      <w:r>
        <w:rPr>
          <w:rFonts w:ascii="Arial" w:cs="Arial" w:eastAsia="Arial" w:hAnsi="Arial"/>
          <w:sz w:val="27"/>
          <w:szCs w:val="27"/>
          <w:color w:val="auto"/>
        </w:rPr>
        <w:t>[154–156].</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3)</w:t>
      </w:r>
    </w:p>
    <w:p>
      <w:pPr>
        <w:spacing w:after="0" w:line="350"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Не рекомендовано</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абсолютное</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противопоказание</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назначение агонистов имидазолиновых рецепторов при синдроме слабости синусового узла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синоатриальной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атриовентрикулярной блокаде </w:t>
      </w:r>
      <w:r>
        <w:rPr>
          <w:rFonts w:ascii="Arial" w:cs="Arial" w:eastAsia="Arial" w:hAnsi="Arial"/>
          <w:sz w:val="27"/>
          <w:szCs w:val="27"/>
          <w:b w:val="1"/>
          <w:bCs w:val="1"/>
          <w:i w:val="1"/>
          <w:iCs w:val="1"/>
          <w:color w:val="auto"/>
        </w:rPr>
        <w:t>2–3-</w:t>
      </w:r>
      <w:r>
        <w:rPr>
          <w:rFonts w:ascii="Arial" w:cs="Arial" w:eastAsia="Arial" w:hAnsi="Arial"/>
          <w:sz w:val="27"/>
          <w:szCs w:val="27"/>
          <w:b w:val="1"/>
          <w:bCs w:val="1"/>
          <w:i w:val="1"/>
          <w:iCs w:val="1"/>
          <w:color w:val="auto"/>
        </w:rPr>
        <w:t>й степени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выраженной брадикардии с ЧСС менее </w:t>
      </w:r>
      <w:r>
        <w:rPr>
          <w:rFonts w:ascii="Arial" w:cs="Arial" w:eastAsia="Arial" w:hAnsi="Arial"/>
          <w:sz w:val="27"/>
          <w:szCs w:val="27"/>
          <w:b w:val="1"/>
          <w:bCs w:val="1"/>
          <w:i w:val="1"/>
          <w:iCs w:val="1"/>
          <w:color w:val="auto"/>
        </w:rPr>
        <w:t>50</w:t>
      </w:r>
      <w:r>
        <w:rPr>
          <w:rFonts w:ascii="Arial" w:cs="Arial" w:eastAsia="Arial" w:hAnsi="Arial"/>
          <w:sz w:val="27"/>
          <w:szCs w:val="27"/>
          <w:b w:val="1"/>
          <w:bCs w:val="1"/>
          <w:i w:val="1"/>
          <w:iCs w:val="1"/>
          <w:color w:val="auto"/>
        </w:rPr>
        <w:t xml:space="preserve"> в минуту</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ХСН </w:t>
      </w:r>
      <w:r>
        <w:rPr>
          <w:rFonts w:ascii="Arial" w:cs="Arial" w:eastAsia="Arial" w:hAnsi="Arial"/>
          <w:sz w:val="27"/>
          <w:szCs w:val="27"/>
          <w:b w:val="1"/>
          <w:bCs w:val="1"/>
          <w:i w:val="1"/>
          <w:iCs w:val="1"/>
          <w:color w:val="auto"/>
        </w:rPr>
        <w:t>(III–IV</w:t>
      </w:r>
      <w:r>
        <w:rPr>
          <w:rFonts w:ascii="Arial" w:cs="Arial" w:eastAsia="Arial" w:hAnsi="Arial"/>
          <w:sz w:val="27"/>
          <w:szCs w:val="27"/>
          <w:b w:val="1"/>
          <w:bCs w:val="1"/>
          <w:i w:val="1"/>
          <w:iCs w:val="1"/>
          <w:color w:val="auto"/>
        </w:rPr>
        <w:t xml:space="preserve"> ФК</w:t>
      </w:r>
      <w:r>
        <w:rPr>
          <w:rFonts w:ascii="Arial" w:cs="Arial" w:eastAsia="Arial" w:hAnsi="Arial"/>
          <w:sz w:val="27"/>
          <w:szCs w:val="27"/>
          <w:b w:val="1"/>
          <w:bCs w:val="1"/>
          <w:i w:val="1"/>
          <w:iCs w:val="1"/>
          <w:color w:val="auto"/>
        </w:rPr>
        <w:t>).</w:t>
      </w:r>
    </w:p>
    <w:p>
      <w:pPr>
        <w:spacing w:after="0" w:line="220" w:lineRule="exact"/>
        <w:rPr>
          <w:sz w:val="20"/>
          <w:szCs w:val="20"/>
          <w:color w:val="auto"/>
        </w:rPr>
      </w:pPr>
    </w:p>
    <w:p>
      <w:pPr>
        <w:jc w:val="both"/>
        <w:ind w:left="680" w:right="220"/>
        <w:spacing w:after="0" w:line="332" w:lineRule="auto"/>
        <w:rPr>
          <w:sz w:val="20"/>
          <w:szCs w:val="20"/>
          <w:color w:val="auto"/>
        </w:rPr>
      </w:pPr>
      <w:r>
        <w:rPr>
          <w:rFonts w:ascii="Arial" w:cs="Arial" w:eastAsia="Arial" w:hAnsi="Arial"/>
          <w:sz w:val="25"/>
          <w:szCs w:val="25"/>
          <w:b w:val="1"/>
          <w:bCs w:val="1"/>
          <w:i w:val="1"/>
          <w:iCs w:val="1"/>
          <w:color w:val="auto"/>
        </w:rPr>
        <w:t>Альфа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адреноблокаторы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Альфа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адреноблокаторы улучшают углеводный и липидный обмены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повышают чувствительность тканей к инсулину</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улучшают почечную гемодинамику</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Ввиду того</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эти препараты вызывают постуральную гипотензию</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их с осторожностью применяют у пациентов с диабетической нейропатией и у пациентов старше </w:t>
      </w:r>
      <w:r>
        <w:rPr>
          <w:rFonts w:ascii="Arial" w:cs="Arial" w:eastAsia="Arial" w:hAnsi="Arial"/>
          <w:sz w:val="25"/>
          <w:szCs w:val="25"/>
          <w:b w:val="1"/>
          <w:bCs w:val="1"/>
          <w:i w:val="1"/>
          <w:iCs w:val="1"/>
          <w:color w:val="auto"/>
        </w:rPr>
        <w:t>65</w:t>
      </w:r>
      <w:r>
        <w:rPr>
          <w:rFonts w:ascii="Arial" w:cs="Arial" w:eastAsia="Arial" w:hAnsi="Arial"/>
          <w:sz w:val="25"/>
          <w:szCs w:val="25"/>
          <w:b w:val="1"/>
          <w:bCs w:val="1"/>
          <w:i w:val="1"/>
          <w:iCs w:val="1"/>
          <w:color w:val="auto"/>
        </w:rPr>
        <w:t xml:space="preserve"> лет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Предпочтительным показанием для этого класса препаратов является наличие у пациентов с АГ доброкачественной гиперплазии предстательной железы</w:t>
      </w:r>
      <w:r>
        <w:rPr>
          <w:rFonts w:ascii="Arial" w:cs="Arial" w:eastAsia="Arial" w:hAnsi="Arial"/>
          <w:sz w:val="25"/>
          <w:szCs w:val="25"/>
          <w:b w:val="1"/>
          <w:bCs w:val="1"/>
          <w:i w:val="1"/>
          <w:iCs w:val="1"/>
          <w:color w:val="auto"/>
        </w:rPr>
        <w:t>.</w:t>
      </w:r>
    </w:p>
    <w:p>
      <w:pPr>
        <w:spacing w:after="0" w:line="203"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Альфа</w:t>
      </w:r>
      <w:r>
        <w:rPr>
          <w:rFonts w:ascii="Arial" w:cs="Arial" w:eastAsia="Arial" w:hAnsi="Arial"/>
          <w:sz w:val="27"/>
          <w:szCs w:val="27"/>
          <w:color w:val="auto"/>
        </w:rPr>
        <w:t>-</w:t>
      </w:r>
      <w:r>
        <w:rPr>
          <w:rFonts w:ascii="Arial" w:cs="Arial" w:eastAsia="Arial" w:hAnsi="Arial"/>
          <w:sz w:val="27"/>
          <w:szCs w:val="27"/>
          <w:color w:val="auto"/>
        </w:rPr>
        <w:t xml:space="preserve">адероноблокаторы рекомендуются при резистентной АГ </w:t>
      </w:r>
      <w:r>
        <w:rPr>
          <w:rFonts w:ascii="Arial" w:cs="Arial" w:eastAsia="Arial" w:hAnsi="Arial"/>
          <w:sz w:val="27"/>
          <w:szCs w:val="27"/>
          <w:color w:val="auto"/>
        </w:rPr>
        <w:t>(</w:t>
      </w:r>
      <w:r>
        <w:rPr>
          <w:rFonts w:ascii="Arial" w:cs="Arial" w:eastAsia="Arial" w:hAnsi="Arial"/>
          <w:sz w:val="27"/>
          <w:szCs w:val="27"/>
          <w:color w:val="auto"/>
        </w:rPr>
        <w:t>подробнее в разделе</w:t>
      </w:r>
      <w:r>
        <w:rPr>
          <w:rFonts w:ascii="Arial" w:cs="Arial" w:eastAsia="Arial" w:hAnsi="Arial"/>
          <w:sz w:val="27"/>
          <w:szCs w:val="27"/>
          <w:color w:val="auto"/>
        </w:rPr>
        <w:t xml:space="preserve"> 3.6.11.), </w:t>
      </w:r>
      <w:r>
        <w:rPr>
          <w:rFonts w:ascii="Arial" w:cs="Arial" w:eastAsia="Arial" w:hAnsi="Arial"/>
          <w:sz w:val="27"/>
          <w:szCs w:val="27"/>
          <w:color w:val="auto"/>
        </w:rPr>
        <w:t>в качестве четвертого препарата</w:t>
      </w:r>
      <w:r>
        <w:rPr>
          <w:rFonts w:ascii="Arial" w:cs="Arial" w:eastAsia="Arial" w:hAnsi="Arial"/>
          <w:sz w:val="27"/>
          <w:szCs w:val="27"/>
          <w:color w:val="auto"/>
        </w:rPr>
        <w:t xml:space="preserve"> </w:t>
      </w:r>
      <w:r>
        <w:rPr>
          <w:rFonts w:ascii="Arial" w:cs="Arial" w:eastAsia="Arial" w:hAnsi="Arial"/>
          <w:sz w:val="27"/>
          <w:szCs w:val="27"/>
          <w:color w:val="auto"/>
        </w:rPr>
        <w:t>к комбинации ИАПФ</w:t>
      </w:r>
      <w:r>
        <w:rPr>
          <w:rFonts w:ascii="Arial" w:cs="Arial" w:eastAsia="Arial" w:hAnsi="Arial"/>
          <w:sz w:val="27"/>
          <w:szCs w:val="27"/>
          <w:color w:val="auto"/>
        </w:rPr>
        <w:t>/</w:t>
      </w:r>
      <w:r>
        <w:rPr>
          <w:rFonts w:ascii="Arial" w:cs="Arial" w:eastAsia="Arial" w:hAnsi="Arial"/>
          <w:sz w:val="27"/>
          <w:szCs w:val="27"/>
          <w:color w:val="auto"/>
        </w:rPr>
        <w:t>БРА</w:t>
      </w:r>
      <w:r>
        <w:rPr>
          <w:rFonts w:ascii="Arial" w:cs="Arial" w:eastAsia="Arial" w:hAnsi="Arial"/>
          <w:sz w:val="27"/>
          <w:szCs w:val="27"/>
          <w:color w:val="auto"/>
        </w:rPr>
        <w:t>,</w:t>
      </w:r>
      <w:r>
        <w:rPr>
          <w:rFonts w:ascii="Arial" w:cs="Arial" w:eastAsia="Arial" w:hAnsi="Arial"/>
          <w:sz w:val="27"/>
          <w:szCs w:val="27"/>
          <w:color w:val="auto"/>
        </w:rPr>
        <w:t xml:space="preserve"> АК</w:t>
      </w:r>
      <w:r>
        <w:rPr>
          <w:rFonts w:ascii="Arial" w:cs="Arial" w:eastAsia="Arial" w:hAnsi="Arial"/>
          <w:sz w:val="27"/>
          <w:szCs w:val="27"/>
          <w:color w:val="auto"/>
        </w:rPr>
        <w:t>,</w:t>
      </w:r>
      <w:r>
        <w:rPr>
          <w:rFonts w:ascii="Arial" w:cs="Arial" w:eastAsia="Arial" w:hAnsi="Arial"/>
          <w:sz w:val="27"/>
          <w:szCs w:val="27"/>
          <w:color w:val="auto"/>
        </w:rPr>
        <w:t xml:space="preserve"> диуретика </w:t>
      </w:r>
      <w:r>
        <w:rPr>
          <w:rFonts w:ascii="Arial" w:cs="Arial" w:eastAsia="Arial" w:hAnsi="Arial"/>
          <w:sz w:val="27"/>
          <w:szCs w:val="27"/>
          <w:color w:val="auto"/>
        </w:rPr>
        <w:t>(</w:t>
      </w:r>
      <w:r>
        <w:rPr>
          <w:rFonts w:ascii="Arial" w:cs="Arial" w:eastAsia="Arial" w:hAnsi="Arial"/>
          <w:sz w:val="27"/>
          <w:szCs w:val="27"/>
          <w:color w:val="auto"/>
        </w:rPr>
        <w:t>при непереносимости спиронолактона</w:t>
      </w:r>
      <w:r>
        <w:rPr>
          <w:rFonts w:ascii="Arial" w:cs="Arial" w:eastAsia="Arial" w:hAnsi="Arial"/>
          <w:sz w:val="27"/>
          <w:szCs w:val="27"/>
          <w:color w:val="auto"/>
        </w:rPr>
        <w:t>**) [137].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4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200" w:lineRule="exact"/>
        <w:rPr>
          <w:sz w:val="20"/>
          <w:szCs w:val="20"/>
          <w:color w:val="auto"/>
        </w:rPr>
      </w:pPr>
    </w:p>
    <w:p>
      <w:pPr>
        <w:spacing w:after="0" w:line="200" w:lineRule="exact"/>
        <w:rPr>
          <w:sz w:val="20"/>
          <w:szCs w:val="20"/>
          <w:color w:val="auto"/>
        </w:rPr>
      </w:pPr>
    </w:p>
    <w:p>
      <w:pPr>
        <w:spacing w:after="0" w:line="353" w:lineRule="exact"/>
        <w:rPr>
          <w:sz w:val="20"/>
          <w:szCs w:val="20"/>
          <w:color w:val="auto"/>
        </w:rPr>
      </w:pPr>
    </w:p>
    <w:p>
      <w:pPr>
        <w:ind w:left="360" w:right="2100"/>
        <w:spacing w:after="0" w:line="245" w:lineRule="auto"/>
        <w:rPr>
          <w:sz w:val="20"/>
          <w:szCs w:val="20"/>
          <w:color w:val="auto"/>
        </w:rPr>
      </w:pPr>
      <w:r>
        <w:rPr>
          <w:rFonts w:ascii="Arial" w:cs="Arial" w:eastAsia="Arial" w:hAnsi="Arial"/>
          <w:sz w:val="33"/>
          <w:szCs w:val="33"/>
          <w:b w:val="1"/>
          <w:bCs w:val="1"/>
          <w:color w:val="auto"/>
        </w:rPr>
        <w:t xml:space="preserve">3.5. </w:t>
      </w:r>
      <w:r>
        <w:rPr>
          <w:rFonts w:ascii="Arial" w:cs="Arial" w:eastAsia="Arial" w:hAnsi="Arial"/>
          <w:sz w:val="33"/>
          <w:szCs w:val="33"/>
          <w:b w:val="1"/>
          <w:bCs w:val="1"/>
          <w:color w:val="auto"/>
        </w:rPr>
        <w:t>Аппаратное лечение артериальной</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гипертензии</w:t>
      </w:r>
    </w:p>
    <w:p>
      <w:pPr>
        <w:spacing w:after="0" w:line="200" w:lineRule="exact"/>
        <w:rPr>
          <w:sz w:val="20"/>
          <w:szCs w:val="20"/>
          <w:color w:val="auto"/>
        </w:rPr>
      </w:pPr>
    </w:p>
    <w:p>
      <w:pPr>
        <w:spacing w:after="0" w:line="213"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Денервация почечных артерий </w:t>
      </w:r>
      <w:r>
        <w:rPr>
          <w:rFonts w:ascii="Arial" w:cs="Arial" w:eastAsia="Arial" w:hAnsi="Arial"/>
          <w:sz w:val="27"/>
          <w:szCs w:val="27"/>
          <w:color w:val="auto"/>
        </w:rPr>
        <w:t>(</w:t>
      </w:r>
      <w:r>
        <w:rPr>
          <w:rFonts w:ascii="Arial" w:cs="Arial" w:eastAsia="Arial" w:hAnsi="Arial"/>
          <w:sz w:val="27"/>
          <w:szCs w:val="27"/>
          <w:color w:val="auto"/>
        </w:rPr>
        <w:t>ренальная денервация</w:t>
      </w:r>
      <w:r>
        <w:rPr>
          <w:rFonts w:ascii="Arial" w:cs="Arial" w:eastAsia="Arial" w:hAnsi="Arial"/>
          <w:sz w:val="27"/>
          <w:szCs w:val="27"/>
          <w:color w:val="auto"/>
        </w:rPr>
        <w:t>)</w:t>
      </w:r>
      <w:r>
        <w:rPr>
          <w:rFonts w:ascii="Arial" w:cs="Arial" w:eastAsia="Arial" w:hAnsi="Arial"/>
          <w:sz w:val="27"/>
          <w:szCs w:val="27"/>
          <w:color w:val="auto"/>
        </w:rPr>
        <w:t xml:space="preserve"> не рекомендована для лечения артериальной гипертензии в рутинной практике</w:t>
      </w:r>
      <w:r>
        <w:rPr>
          <w:rFonts w:ascii="Arial" w:cs="Arial" w:eastAsia="Arial" w:hAnsi="Arial"/>
          <w:sz w:val="27"/>
          <w:szCs w:val="27"/>
          <w:color w:val="auto"/>
        </w:rPr>
        <w:t>,</w:t>
      </w:r>
      <w:r>
        <w:rPr>
          <w:rFonts w:ascii="Arial" w:cs="Arial" w:eastAsia="Arial" w:hAnsi="Arial"/>
          <w:sz w:val="27"/>
          <w:szCs w:val="27"/>
          <w:color w:val="auto"/>
        </w:rPr>
        <w:t xml:space="preserve"> пока не будет доступно больше данных относительно их эффективности и безопасности </w:t>
      </w:r>
      <w:r>
        <w:rPr>
          <w:rFonts w:ascii="Arial" w:cs="Arial" w:eastAsia="Arial" w:hAnsi="Arial"/>
          <w:sz w:val="27"/>
          <w:szCs w:val="27"/>
          <w:color w:val="auto"/>
        </w:rPr>
        <w:t>[157, 158].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5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Денервация почечных артерий может</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выполнятьсядля предотвращения эффектов симпатической нервной системы в отношении почечного сосудистого сопротивления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высвобождения ренина и реабсорбции натрия </w:t>
      </w:r>
      <w:r>
        <w:rPr>
          <w:rFonts w:ascii="Arial" w:cs="Arial" w:eastAsia="Arial" w:hAnsi="Arial"/>
          <w:sz w:val="24"/>
          <w:szCs w:val="24"/>
          <w:b w:val="1"/>
          <w:bCs w:val="1"/>
          <w:i w:val="1"/>
          <w:iCs w:val="1"/>
          <w:color w:val="auto"/>
        </w:rPr>
        <w:t xml:space="preserve">[159]. </w:t>
      </w:r>
      <w:r>
        <w:rPr>
          <w:rFonts w:ascii="Arial" w:cs="Arial" w:eastAsia="Arial" w:hAnsi="Arial"/>
          <w:sz w:val="24"/>
          <w:szCs w:val="24"/>
          <w:b w:val="1"/>
          <w:bCs w:val="1"/>
          <w:i w:val="1"/>
          <w:iCs w:val="1"/>
          <w:color w:val="auto"/>
        </w:rPr>
        <w:t>Для лечения пациентов с резистентной АГ были</w:t>
      </w:r>
    </w:p>
    <w:p>
      <w:pPr>
        <w:sectPr>
          <w:pgSz w:w="11900" w:h="16937" w:orient="portrait"/>
          <w:cols w:equalWidth="0" w:num="1">
            <w:col w:w="9020"/>
          </w:cols>
          <w:pgMar w:left="1440" w:top="19" w:right="1440" w:bottom="0" w:gutter="0" w:footer="0" w:header="0"/>
        </w:sectPr>
      </w:pPr>
    </w:p>
    <w:bookmarkStart w:id="51" w:name="page52"/>
    <w:bookmarkEnd w:id="51"/>
    <w:p>
      <w:pPr>
        <w:spacing w:after="0" w:line="86"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5"/>
          <w:szCs w:val="25"/>
          <w:b w:val="1"/>
          <w:bCs w:val="1"/>
          <w:i w:val="1"/>
          <w:iCs w:val="1"/>
          <w:color w:val="auto"/>
        </w:rPr>
        <w:t>предложены минимально инвазивные методы катетерной денервации почек с помощью радиочастотной стимуляции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ультразвука или периваскулярной инъекции нейротоксичных веществ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например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этилового спирта </w:t>
      </w:r>
      <w:r>
        <w:rPr>
          <w:rFonts w:ascii="Arial" w:cs="Arial" w:eastAsia="Arial" w:hAnsi="Arial"/>
          <w:sz w:val="25"/>
          <w:szCs w:val="25"/>
          <w:b w:val="1"/>
          <w:bCs w:val="1"/>
          <w:i w:val="1"/>
          <w:iCs w:val="1"/>
          <w:color w:val="auto"/>
        </w:rPr>
        <w:t>[160].</w:t>
      </w:r>
      <w:r>
        <w:rPr>
          <w:rFonts w:ascii="Arial" w:cs="Arial" w:eastAsia="Arial" w:hAnsi="Arial"/>
          <w:sz w:val="25"/>
          <w:szCs w:val="25"/>
          <w:b w:val="1"/>
          <w:bCs w:val="1"/>
          <w:i w:val="1"/>
          <w:iCs w:val="1"/>
          <w:color w:val="auto"/>
        </w:rPr>
        <w:t xml:space="preserve"> Однако клинические данные относительно антигипертензивной эффективности ренальной денервации неоднозначны и требуют дальнейшего изучения</w:t>
      </w:r>
      <w:r>
        <w:rPr>
          <w:rFonts w:ascii="Arial" w:cs="Arial" w:eastAsia="Arial" w:hAnsi="Arial"/>
          <w:sz w:val="25"/>
          <w:szCs w:val="25"/>
          <w:b w:val="1"/>
          <w:bCs w:val="1"/>
          <w:i w:val="1"/>
          <w:iCs w:val="1"/>
          <w:color w:val="auto"/>
        </w:rPr>
        <w:t>.</w:t>
      </w:r>
    </w:p>
    <w:p>
      <w:pPr>
        <w:spacing w:after="0" w:line="200" w:lineRule="exact"/>
        <w:rPr>
          <w:sz w:val="20"/>
          <w:szCs w:val="20"/>
          <w:color w:val="auto"/>
        </w:rPr>
      </w:pPr>
    </w:p>
    <w:p>
      <w:pPr>
        <w:spacing w:after="0" w:line="200" w:lineRule="exact"/>
        <w:rPr>
          <w:sz w:val="20"/>
          <w:szCs w:val="20"/>
          <w:color w:val="auto"/>
        </w:rPr>
      </w:pPr>
    </w:p>
    <w:p>
      <w:pPr>
        <w:spacing w:after="0" w:line="204" w:lineRule="exact"/>
        <w:rPr>
          <w:sz w:val="20"/>
          <w:szCs w:val="20"/>
          <w:color w:val="auto"/>
        </w:rPr>
      </w:pPr>
    </w:p>
    <w:p>
      <w:pPr>
        <w:ind w:left="360" w:right="1640"/>
        <w:spacing w:after="0" w:line="245" w:lineRule="auto"/>
        <w:rPr>
          <w:sz w:val="20"/>
          <w:szCs w:val="20"/>
          <w:color w:val="auto"/>
        </w:rPr>
      </w:pPr>
      <w:r>
        <w:rPr>
          <w:rFonts w:ascii="Arial" w:cs="Arial" w:eastAsia="Arial" w:hAnsi="Arial"/>
          <w:sz w:val="33"/>
          <w:szCs w:val="33"/>
          <w:b w:val="1"/>
          <w:bCs w:val="1"/>
          <w:color w:val="auto"/>
        </w:rPr>
        <w:t xml:space="preserve">3.6. </w:t>
      </w:r>
      <w:r>
        <w:rPr>
          <w:rFonts w:ascii="Arial" w:cs="Arial" w:eastAsia="Arial" w:hAnsi="Arial"/>
          <w:sz w:val="33"/>
          <w:szCs w:val="33"/>
          <w:b w:val="1"/>
          <w:bCs w:val="1"/>
          <w:color w:val="auto"/>
        </w:rPr>
        <w:t>Лечение артериальной гипертензии в</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отдельных клинических ситуациях</w:t>
      </w:r>
    </w:p>
    <w:p>
      <w:pPr>
        <w:spacing w:after="0" w:line="200" w:lineRule="exact"/>
        <w:rPr>
          <w:sz w:val="20"/>
          <w:szCs w:val="20"/>
          <w:color w:val="auto"/>
        </w:rPr>
      </w:pPr>
    </w:p>
    <w:p>
      <w:pPr>
        <w:spacing w:after="0" w:line="213"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3.6.1. </w:t>
      </w:r>
      <w:r>
        <w:rPr>
          <w:rFonts w:ascii="Arial" w:cs="Arial" w:eastAsia="Arial" w:hAnsi="Arial"/>
          <w:sz w:val="27"/>
          <w:szCs w:val="27"/>
          <w:b w:val="1"/>
          <w:bCs w:val="1"/>
          <w:color w:val="auto"/>
        </w:rPr>
        <w:t>Артериальная гипертензия и сахарный диабет</w:t>
      </w:r>
    </w:p>
    <w:p>
      <w:pPr>
        <w:spacing w:after="0" w:line="350" w:lineRule="exact"/>
        <w:rPr>
          <w:sz w:val="20"/>
          <w:szCs w:val="20"/>
          <w:color w:val="auto"/>
        </w:rPr>
      </w:pPr>
    </w:p>
    <w:p>
      <w:pPr>
        <w:jc w:val="both"/>
        <w:ind w:left="680" w:right="220"/>
        <w:spacing w:after="0" w:line="321" w:lineRule="auto"/>
        <w:rPr>
          <w:sz w:val="20"/>
          <w:szCs w:val="20"/>
          <w:color w:val="auto"/>
        </w:rPr>
      </w:pPr>
      <w:r>
        <w:rPr>
          <w:rFonts w:ascii="Arial" w:cs="Arial" w:eastAsia="Arial" w:hAnsi="Arial"/>
          <w:sz w:val="27"/>
          <w:szCs w:val="27"/>
          <w:color w:val="auto"/>
        </w:rPr>
        <w:t>Пациентам с АГ в сочетании с СД рекомендуется начинать антигипертензивную терапию при значениях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 медицинском учреждении </w:t>
      </w:r>
      <w:r>
        <w:rPr>
          <w:rFonts w:ascii="Times New Roman" w:cs="Times New Roman" w:eastAsia="Times New Roman" w:hAnsi="Times New Roman"/>
          <w:sz w:val="27"/>
          <w:szCs w:val="27"/>
          <w:color w:val="auto"/>
        </w:rPr>
        <w:t>≥</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[107, 157, 158]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-711835</wp:posOffset>
            </wp:positionV>
            <wp:extent cx="82550" cy="82550"/>
            <wp:wrapNone/>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73"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Пациентам с АГ в сочетании с СД</w:t>
      </w:r>
      <w:r>
        <w:rPr>
          <w:rFonts w:ascii="Arial" w:cs="Arial" w:eastAsia="Arial" w:hAnsi="Arial"/>
          <w:sz w:val="27"/>
          <w:szCs w:val="27"/>
          <w:color w:val="auto"/>
        </w:rPr>
        <w:t>,</w:t>
      </w:r>
      <w:r>
        <w:rPr>
          <w:rFonts w:ascii="Arial" w:cs="Arial" w:eastAsia="Arial" w:hAnsi="Arial"/>
          <w:sz w:val="27"/>
          <w:szCs w:val="27"/>
          <w:color w:val="auto"/>
        </w:rPr>
        <w:t xml:space="preserve"> получающим АГП</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снижении СС риска рекомендуется</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jc w:val="both"/>
        <w:ind w:left="680" w:right="220" w:hanging="4"/>
        <w:spacing w:after="0" w:line="317" w:lineRule="auto"/>
        <w:tabs>
          <w:tab w:leader="none" w:pos="871" w:val="left"/>
        </w:tabs>
        <w:numPr>
          <w:ilvl w:val="0"/>
          <w:numId w:val="36"/>
        </w:numPr>
        <w:rPr>
          <w:rFonts w:ascii="Arial" w:cs="Arial" w:eastAsia="Arial" w:hAnsi="Arial"/>
          <w:sz w:val="27"/>
          <w:szCs w:val="27"/>
          <w:color w:val="auto"/>
        </w:rPr>
      </w:pPr>
      <w:r>
        <w:rPr>
          <w:rFonts w:ascii="Arial" w:cs="Arial" w:eastAsia="Arial" w:hAnsi="Arial"/>
          <w:sz w:val="27"/>
          <w:szCs w:val="27"/>
          <w:color w:val="auto"/>
        </w:rPr>
        <w:t xml:space="preserve">в качестве целевого уровня снижать САД у пациентов моложе </w:t>
      </w:r>
      <w:r>
        <w:rPr>
          <w:rFonts w:ascii="Arial" w:cs="Arial" w:eastAsia="Arial" w:hAnsi="Arial"/>
          <w:sz w:val="27"/>
          <w:szCs w:val="27"/>
          <w:color w:val="auto"/>
        </w:rPr>
        <w:t xml:space="preserve">65 </w:t>
      </w:r>
      <w:r>
        <w:rPr>
          <w:rFonts w:ascii="Arial" w:cs="Arial" w:eastAsia="Arial" w:hAnsi="Arial"/>
          <w:sz w:val="27"/>
          <w:szCs w:val="27"/>
          <w:color w:val="auto"/>
        </w:rPr>
        <w:t>лет до значений</w:t>
      </w:r>
      <w:r>
        <w:rPr>
          <w:rFonts w:ascii="Arial" w:cs="Arial" w:eastAsia="Arial" w:hAnsi="Arial"/>
          <w:sz w:val="27"/>
          <w:szCs w:val="27"/>
          <w:color w:val="auto"/>
        </w:rPr>
        <w:t xml:space="preserve"> 130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xml:space="preserve">. </w:t>
      </w:r>
      <w:r>
        <w:rPr>
          <w:rFonts w:ascii="Arial" w:cs="Arial" w:eastAsia="Arial" w:hAnsi="Arial"/>
          <w:sz w:val="27"/>
          <w:szCs w:val="27"/>
          <w:color w:val="auto"/>
        </w:rPr>
        <w:t>и ниже при хорошей</w:t>
      </w:r>
      <w:r>
        <w:rPr>
          <w:rFonts w:ascii="Arial" w:cs="Arial" w:eastAsia="Arial" w:hAnsi="Arial"/>
          <w:sz w:val="27"/>
          <w:szCs w:val="27"/>
          <w:color w:val="auto"/>
        </w:rPr>
        <w:t xml:space="preserve"> </w:t>
      </w:r>
      <w:r>
        <w:rPr>
          <w:rFonts w:ascii="Arial" w:cs="Arial" w:eastAsia="Arial" w:hAnsi="Arial"/>
          <w:sz w:val="27"/>
          <w:szCs w:val="27"/>
          <w:color w:val="auto"/>
        </w:rPr>
        <w:t>переносимости</w:t>
      </w:r>
      <w:r>
        <w:rPr>
          <w:rFonts w:ascii="Arial" w:cs="Arial" w:eastAsia="Arial" w:hAnsi="Arial"/>
          <w:sz w:val="27"/>
          <w:szCs w:val="27"/>
          <w:color w:val="auto"/>
        </w:rPr>
        <w:t>,</w:t>
      </w:r>
      <w:r>
        <w:rPr>
          <w:rFonts w:ascii="Arial" w:cs="Arial" w:eastAsia="Arial" w:hAnsi="Arial"/>
          <w:sz w:val="27"/>
          <w:szCs w:val="27"/>
          <w:color w:val="auto"/>
        </w:rPr>
        <w:t xml:space="preserve"> но не ниже </w:t>
      </w:r>
      <w:r>
        <w:rPr>
          <w:rFonts w:ascii="Arial" w:cs="Arial" w:eastAsia="Arial" w:hAnsi="Arial"/>
          <w:sz w:val="27"/>
          <w:szCs w:val="27"/>
          <w:color w:val="auto"/>
        </w:rPr>
        <w:t>120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[107, 157, 159]</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ind w:left="680" w:right="220" w:hanging="4"/>
        <w:spacing w:after="0" w:line="333" w:lineRule="auto"/>
        <w:tabs>
          <w:tab w:leader="none" w:pos="919" w:val="left"/>
        </w:tabs>
        <w:numPr>
          <w:ilvl w:val="0"/>
          <w:numId w:val="37"/>
        </w:numPr>
        <w:rPr>
          <w:rFonts w:ascii="Arial" w:cs="Arial" w:eastAsia="Arial" w:hAnsi="Arial"/>
          <w:sz w:val="27"/>
          <w:szCs w:val="27"/>
          <w:color w:val="auto"/>
        </w:rPr>
      </w:pPr>
      <w:r>
        <w:rPr>
          <w:rFonts w:ascii="Arial" w:cs="Arial" w:eastAsia="Arial" w:hAnsi="Arial"/>
          <w:sz w:val="27"/>
          <w:szCs w:val="27"/>
          <w:color w:val="auto"/>
        </w:rPr>
        <w:t xml:space="preserve">у пожилых пациентов </w:t>
      </w: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65</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с СД целевой уровень САД составляет </w:t>
      </w:r>
      <w:r>
        <w:rPr>
          <w:rFonts w:ascii="Arial" w:cs="Arial" w:eastAsia="Arial" w:hAnsi="Arial"/>
          <w:sz w:val="27"/>
          <w:szCs w:val="27"/>
          <w:color w:val="auto"/>
        </w:rPr>
        <w:t>130–139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[107, 157, 160]</w:t>
      </w:r>
    </w:p>
    <w:p>
      <w:pPr>
        <w:spacing w:after="0" w:line="187"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ind w:left="680" w:right="220" w:hanging="4"/>
        <w:spacing w:after="0" w:line="334" w:lineRule="auto"/>
        <w:tabs>
          <w:tab w:leader="none" w:pos="889" w:val="left"/>
        </w:tabs>
        <w:numPr>
          <w:ilvl w:val="0"/>
          <w:numId w:val="38"/>
        </w:numPr>
        <w:rPr>
          <w:rFonts w:ascii="Arial" w:cs="Arial" w:eastAsia="Arial" w:hAnsi="Arial"/>
          <w:sz w:val="27"/>
          <w:szCs w:val="27"/>
          <w:color w:val="auto"/>
        </w:rPr>
      </w:pPr>
      <w:r>
        <w:rPr>
          <w:rFonts w:ascii="Arial" w:cs="Arial" w:eastAsia="Arial" w:hAnsi="Arial"/>
          <w:sz w:val="27"/>
          <w:szCs w:val="27"/>
          <w:color w:val="auto"/>
        </w:rPr>
        <w:t xml:space="preserve">целевой уровень ДАД у всех пациентов с АГ и СД составляет </w:t>
      </w:r>
      <w:r>
        <w:rPr>
          <w:rFonts w:ascii="Arial" w:cs="Arial" w:eastAsia="Arial" w:hAnsi="Arial"/>
          <w:sz w:val="27"/>
          <w:szCs w:val="27"/>
          <w:color w:val="auto"/>
        </w:rPr>
        <w:t xml:space="preserve">&lt;80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xml:space="preserve">., </w:t>
      </w:r>
      <w:r>
        <w:rPr>
          <w:rFonts w:ascii="Arial" w:cs="Arial" w:eastAsia="Arial" w:hAnsi="Arial"/>
          <w:sz w:val="27"/>
          <w:szCs w:val="27"/>
          <w:color w:val="auto"/>
        </w:rPr>
        <w:t>но не ниже</w:t>
      </w:r>
      <w:r>
        <w:rPr>
          <w:rFonts w:ascii="Arial" w:cs="Arial" w:eastAsia="Arial" w:hAnsi="Arial"/>
          <w:sz w:val="27"/>
          <w:szCs w:val="27"/>
          <w:color w:val="auto"/>
        </w:rPr>
        <w:t xml:space="preserve"> 70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[21, 22].</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Всем пациентам с АГ и СД рекомендуется начинать лечение с комбинации блокатора РААС с АК или тиазидным</w:t>
      </w:r>
      <w:r>
        <w:rPr>
          <w:rFonts w:ascii="Arial" w:cs="Arial" w:eastAsia="Arial" w:hAnsi="Arial"/>
          <w:sz w:val="27"/>
          <w:szCs w:val="27"/>
          <w:color w:val="auto"/>
        </w:rPr>
        <w:t>/</w:t>
      </w:r>
      <w:r>
        <w:rPr>
          <w:rFonts w:ascii="Arial" w:cs="Arial" w:eastAsia="Arial" w:hAnsi="Arial"/>
          <w:sz w:val="27"/>
          <w:szCs w:val="27"/>
          <w:color w:val="auto"/>
        </w:rPr>
        <w:t xml:space="preserve"> тиазидоподобным диуретиком в связи с наилучшим влиянием этих комбинаций на частоту достижения целевого АД и снижение СС риска</w:t>
      </w:r>
      <w:r>
        <w:rPr>
          <w:rFonts w:ascii="Arial" w:cs="Arial" w:eastAsia="Arial" w:hAnsi="Arial"/>
          <w:sz w:val="27"/>
          <w:szCs w:val="27"/>
          <w:color w:val="auto"/>
        </w:rPr>
        <w:t>,</w:t>
      </w:r>
      <w:r>
        <w:rPr>
          <w:rFonts w:ascii="Arial" w:cs="Arial" w:eastAsia="Arial" w:hAnsi="Arial"/>
          <w:sz w:val="27"/>
          <w:szCs w:val="27"/>
          <w:color w:val="auto"/>
        </w:rPr>
        <w:t xml:space="preserve"> а также нефропротективным потенциалом блокаторов РААС </w:t>
      </w:r>
      <w:r>
        <w:rPr>
          <w:rFonts w:ascii="Arial" w:cs="Arial" w:eastAsia="Arial" w:hAnsi="Arial"/>
          <w:sz w:val="27"/>
          <w:szCs w:val="27"/>
          <w:color w:val="auto"/>
        </w:rPr>
        <w:t>[106–107, 165].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926" w:orient="portrait"/>
          <w:cols w:equalWidth="0" w:num="1">
            <w:col w:w="9020"/>
          </w:cols>
          <w:pgMar w:left="1440" w:top="19" w:right="1440" w:bottom="0" w:gutter="0" w:footer="0" w:header="0"/>
        </w:sectPr>
      </w:pPr>
    </w:p>
    <w:bookmarkStart w:id="52" w:name="page53"/>
    <w:bookmarkEnd w:id="52"/>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4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Сочетание СД и АГ заслуживает особого</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внимания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поскольку оба заболевания существенно увеличивают риск развития микро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макрососудистых поражений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включая диабетическую нефропатию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инсульт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ИБС</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ХСН</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атеросклероз периферических артерий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способствуют увеличению СС смертности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лечении пациентов АГ с СД необходимо контролировать все имеющиеся у пациента ФР</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включая дислипидемию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назначение гиполипидемической терапии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Развитие диабетической нефропатии сопровождается очень высоким риском развития ССО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этом необходимы контроль АД и уменьшение протеинурии до минимально возможных значений</w:t>
      </w:r>
      <w:r>
        <w:rPr>
          <w:rFonts w:ascii="Arial" w:cs="Arial" w:eastAsia="Arial" w:hAnsi="Arial"/>
          <w:sz w:val="24"/>
          <w:szCs w:val="24"/>
          <w:b w:val="1"/>
          <w:bCs w:val="1"/>
          <w:i w:val="1"/>
          <w:iCs w:val="1"/>
          <w:color w:val="auto"/>
        </w:rPr>
        <w:t>.</w:t>
      </w:r>
    </w:p>
    <w:p>
      <w:pPr>
        <w:spacing w:after="0" w:line="191"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3.6.2. </w:t>
      </w:r>
      <w:r>
        <w:rPr>
          <w:rFonts w:ascii="Arial" w:cs="Arial" w:eastAsia="Arial" w:hAnsi="Arial"/>
          <w:sz w:val="27"/>
          <w:szCs w:val="27"/>
          <w:b w:val="1"/>
          <w:bCs w:val="1"/>
          <w:color w:val="auto"/>
        </w:rPr>
        <w:t>Артериальная гипертензия и хроническая болезнь</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почек</w:t>
      </w:r>
    </w:p>
    <w:p>
      <w:pPr>
        <w:spacing w:after="0" w:line="179"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с ХБП рекомендуется начинать лечение </w:t>
      </w:r>
      <w:r>
        <w:rPr>
          <w:rFonts w:ascii="Arial" w:cs="Arial" w:eastAsia="Arial" w:hAnsi="Arial"/>
          <w:sz w:val="27"/>
          <w:szCs w:val="27"/>
          <w:color w:val="auto"/>
        </w:rPr>
        <w:t>(</w:t>
      </w:r>
      <w:r>
        <w:rPr>
          <w:rFonts w:ascii="Arial" w:cs="Arial" w:eastAsia="Arial" w:hAnsi="Arial"/>
          <w:sz w:val="27"/>
          <w:szCs w:val="27"/>
          <w:color w:val="auto"/>
        </w:rPr>
        <w:t>изменение образа жизни и лекарственную терапию</w:t>
      </w:r>
      <w:r>
        <w:rPr>
          <w:rFonts w:ascii="Arial" w:cs="Arial" w:eastAsia="Arial" w:hAnsi="Arial"/>
          <w:sz w:val="27"/>
          <w:szCs w:val="27"/>
          <w:color w:val="auto"/>
        </w:rPr>
        <w:t>)</w:t>
      </w:r>
      <w:r>
        <w:rPr>
          <w:rFonts w:ascii="Arial" w:cs="Arial" w:eastAsia="Arial" w:hAnsi="Arial"/>
          <w:sz w:val="27"/>
          <w:szCs w:val="27"/>
          <w:color w:val="auto"/>
        </w:rPr>
        <w:t xml:space="preserve"> вне зависимости от наличия сахарного диабета при уровне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 медицинском учреждении</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w:t>
      </w:r>
      <w:r>
        <w:rPr>
          <w:rFonts w:ascii="Arial" w:cs="Arial" w:eastAsia="Arial" w:hAnsi="Arial"/>
          <w:sz w:val="27"/>
          <w:szCs w:val="27"/>
          <w:color w:val="auto"/>
        </w:rPr>
        <w:t>Приложение Б</w:t>
      </w:r>
      <w:r>
        <w:rPr>
          <w:rFonts w:ascii="Arial" w:cs="Arial" w:eastAsia="Arial" w:hAnsi="Arial"/>
          <w:sz w:val="27"/>
          <w:szCs w:val="27"/>
          <w:color w:val="auto"/>
        </w:rPr>
        <w:t>3)</w:t>
      </w:r>
      <w:r>
        <w:rPr>
          <w:rFonts w:ascii="Arial" w:cs="Arial" w:eastAsia="Arial" w:hAnsi="Arial"/>
          <w:sz w:val="27"/>
          <w:szCs w:val="27"/>
          <w:color w:val="auto"/>
        </w:rPr>
        <w:t xml:space="preserve"> </w:t>
      </w:r>
      <w:r>
        <w:rPr>
          <w:rFonts w:ascii="Arial" w:cs="Arial" w:eastAsia="Arial" w:hAnsi="Arial"/>
          <w:sz w:val="27"/>
          <w:szCs w:val="27"/>
          <w:color w:val="auto"/>
        </w:rPr>
        <w:t>[165, 166].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-1189990</wp:posOffset>
            </wp:positionV>
            <wp:extent cx="82550" cy="82550"/>
            <wp:wrapNone/>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ЕОАГ</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диабетической и недиабетической ХБП рекомендуется снижать САД до значений </w:t>
      </w:r>
      <w:r>
        <w:rPr>
          <w:rFonts w:ascii="Arial" w:cs="Arial" w:eastAsia="Arial" w:hAnsi="Arial"/>
          <w:sz w:val="27"/>
          <w:szCs w:val="27"/>
          <w:color w:val="auto"/>
        </w:rPr>
        <w:t>130–139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снижении риска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сосудистых событий </w:t>
      </w:r>
      <w:r>
        <w:rPr>
          <w:rFonts w:ascii="Arial" w:cs="Arial" w:eastAsia="Arial" w:hAnsi="Arial"/>
          <w:sz w:val="27"/>
          <w:szCs w:val="27"/>
          <w:color w:val="auto"/>
        </w:rPr>
        <w:t>[168].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Следует назначать индивидуализированную</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терапию в зависимости от ее переносимости и влияния на функцию почек и уровень электролитов</w:t>
      </w:r>
    </w:p>
    <w:p>
      <w:pPr>
        <w:spacing w:after="0" w:line="192" w:lineRule="exact"/>
        <w:rPr>
          <w:sz w:val="20"/>
          <w:szCs w:val="20"/>
          <w:color w:val="auto"/>
        </w:rPr>
      </w:pPr>
    </w:p>
    <w:p>
      <w:pPr>
        <w:jc w:val="both"/>
        <w:ind w:left="680" w:right="220"/>
        <w:spacing w:after="0" w:line="314" w:lineRule="auto"/>
        <w:rPr>
          <w:sz w:val="20"/>
          <w:szCs w:val="20"/>
          <w:color w:val="auto"/>
        </w:rPr>
      </w:pPr>
      <w:r>
        <w:rPr>
          <w:rFonts w:ascii="Arial" w:cs="Arial" w:eastAsia="Arial" w:hAnsi="Arial"/>
          <w:sz w:val="27"/>
          <w:szCs w:val="27"/>
          <w:color w:val="auto"/>
        </w:rPr>
        <w:t>Блокаторы РААС рекомендуются в качестве компонента терапевтической стратегии при наличии альбуминурии высокой степени или протеинурии</w:t>
      </w:r>
      <w:r>
        <w:rPr>
          <w:rFonts w:ascii="Arial" w:cs="Arial" w:eastAsia="Arial" w:hAnsi="Arial"/>
          <w:sz w:val="27"/>
          <w:szCs w:val="27"/>
          <w:color w:val="auto"/>
        </w:rPr>
        <w:t>,</w:t>
      </w:r>
      <w:r>
        <w:rPr>
          <w:rFonts w:ascii="Arial" w:cs="Arial" w:eastAsia="Arial" w:hAnsi="Arial"/>
          <w:sz w:val="27"/>
          <w:szCs w:val="27"/>
          <w:color w:val="auto"/>
        </w:rPr>
        <w:t xml:space="preserve"> как более эффективные препараты для уменьшения выраженности альбуминурии </w:t>
      </w:r>
      <w:r>
        <w:rPr>
          <w:rFonts w:ascii="Arial" w:cs="Arial" w:eastAsia="Arial" w:hAnsi="Arial"/>
          <w:sz w:val="27"/>
          <w:szCs w:val="27"/>
          <w:color w:val="auto"/>
        </w:rPr>
        <w:t>[167,</w:t>
      </w:r>
      <w:r>
        <w:rPr>
          <w:rFonts w:ascii="Arial" w:cs="Arial" w:eastAsia="Arial" w:hAnsi="Arial"/>
          <w:sz w:val="27"/>
          <w:szCs w:val="27"/>
          <w:color w:val="auto"/>
        </w:rPr>
        <w:t xml:space="preserve"> </w:t>
      </w:r>
      <w:r>
        <w:rPr>
          <w:rFonts w:ascii="Arial" w:cs="Arial" w:eastAsia="Arial" w:hAnsi="Arial"/>
          <w:sz w:val="27"/>
          <w:szCs w:val="27"/>
          <w:color w:val="auto"/>
        </w:rPr>
        <w:t>168].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-951230</wp:posOffset>
            </wp:positionV>
            <wp:extent cx="82550" cy="8255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7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ectPr>
          <w:pgSz w:w="11900" w:h="16840" w:orient="portrait"/>
          <w:cols w:equalWidth="0" w:num="1">
            <w:col w:w="9020"/>
          </w:cols>
          <w:pgMar w:left="1440" w:top="19" w:right="1440" w:bottom="249" w:gutter="0" w:footer="0" w:header="0"/>
        </w:sectPr>
      </w:pPr>
    </w:p>
    <w:bookmarkStart w:id="53" w:name="page54"/>
    <w:bookmarkEnd w:id="53"/>
    <w:p>
      <w:pPr>
        <w:jc w:val="both"/>
        <w:ind w:left="680" w:right="220"/>
        <w:spacing w:after="0" w:line="301" w:lineRule="auto"/>
        <w:rPr>
          <w:sz w:val="20"/>
          <w:szCs w:val="20"/>
          <w:color w:val="auto"/>
        </w:rPr>
      </w:pPr>
      <w:r>
        <w:rPr>
          <w:rFonts w:ascii="Arial" w:cs="Arial" w:eastAsia="Arial" w:hAnsi="Arial"/>
          <w:sz w:val="27"/>
          <w:szCs w:val="27"/>
          <w:color w:val="auto"/>
        </w:rPr>
        <w:t>Всем пациентам с АГ и ХБП в качестве начальной терапии рекомендуется комбинация блокатора РААС с АК или диуретиком в связи с наилучшим влиянием данных комбинаций на частоту достижения целевого АД и снижение</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1080" w:hanging="404"/>
        <w:spacing w:after="0"/>
        <w:tabs>
          <w:tab w:leader="none" w:pos="1080" w:val="left"/>
        </w:tabs>
        <w:numPr>
          <w:ilvl w:val="0"/>
          <w:numId w:val="39"/>
        </w:numPr>
        <w:rPr>
          <w:rFonts w:ascii="Arial" w:cs="Arial" w:eastAsia="Arial" w:hAnsi="Arial"/>
          <w:sz w:val="27"/>
          <w:szCs w:val="27"/>
          <w:color w:val="auto"/>
        </w:rPr>
      </w:pPr>
      <w:r>
        <w:rPr>
          <w:rFonts w:ascii="Arial" w:cs="Arial" w:eastAsia="Arial" w:hAnsi="Arial"/>
          <w:sz w:val="27"/>
          <w:szCs w:val="27"/>
          <w:color w:val="auto"/>
        </w:rPr>
        <w:t xml:space="preserve">риска </w:t>
      </w:r>
      <w:r>
        <w:rPr>
          <w:rFonts w:ascii="Arial" w:cs="Arial" w:eastAsia="Arial" w:hAnsi="Arial"/>
          <w:sz w:val="27"/>
          <w:szCs w:val="27"/>
          <w:color w:val="auto"/>
        </w:rPr>
        <w:t>[165].</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44"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АГ является важнейшим фактором риска</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 xml:space="preserve">развития и прогрессирования хронической болезни почек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ХБП</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любой этиологии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адекватный контроль АД замедляет ее развитие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свою очередь</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ХБП является важным независимым фактором риска развития и прогрессирования ССЗ</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том числе фатальных</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У пациентов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получающих почечную заместительную терапию гемодиализом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АГ существенно влияет на выживаемость</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Для ведения таких пациентов крайне важно точное и правильное измерение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однако АД до сеанса гемодиализа может не отражать средний уровень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так как большие колебания натрия и воды в организме способствуют большей вариабельности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Доказано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измеренное методом ДМАД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более информативно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чем показатели АД перед сеансом гемодиализа</w:t>
      </w:r>
      <w:r>
        <w:rPr>
          <w:rFonts w:ascii="Arial" w:cs="Arial" w:eastAsia="Arial" w:hAnsi="Arial"/>
          <w:sz w:val="24"/>
          <w:szCs w:val="24"/>
          <w:b w:val="1"/>
          <w:bCs w:val="1"/>
          <w:i w:val="1"/>
          <w:iCs w:val="1"/>
          <w:color w:val="auto"/>
        </w:rPr>
        <w:t>.</w:t>
      </w:r>
    </w:p>
    <w:p>
      <w:pPr>
        <w:spacing w:after="0" w:line="194" w:lineRule="exact"/>
        <w:rPr>
          <w:sz w:val="20"/>
          <w:szCs w:val="20"/>
          <w:color w:val="auto"/>
        </w:rPr>
      </w:pPr>
    </w:p>
    <w:p>
      <w:pPr>
        <w:jc w:val="both"/>
        <w:ind w:left="680" w:right="220" w:hanging="4"/>
        <w:spacing w:after="0" w:line="333" w:lineRule="auto"/>
        <w:tabs>
          <w:tab w:leader="none" w:pos="1028" w:val="left"/>
        </w:tabs>
        <w:numPr>
          <w:ilvl w:val="0"/>
          <w:numId w:val="40"/>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пациентов с терминальной стадией ХБП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находящихся на диализе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снижение САД и ДАД сопровождается уменьшением частоты СС осложнений и общей смертности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Пациентам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находящимся на гемодиализе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можно назначать все АГП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 этом их дозы зависят от стабильности гемодинамики и способности конкретного препарата проходить через диализные мембраны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Петлевые диуретики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препараты выбора среди диуретиков при терминальной ХБП</w:t>
      </w:r>
      <w:r>
        <w:rPr>
          <w:rFonts w:ascii="Arial" w:cs="Arial" w:eastAsia="Arial" w:hAnsi="Arial"/>
          <w:sz w:val="25"/>
          <w:szCs w:val="25"/>
          <w:b w:val="1"/>
          <w:bCs w:val="1"/>
          <w:i w:val="1"/>
          <w:iCs w:val="1"/>
          <w:color w:val="auto"/>
        </w:rPr>
        <w:t>.</w:t>
      </w:r>
    </w:p>
    <w:p>
      <w:pPr>
        <w:spacing w:after="0" w:line="200" w:lineRule="exact"/>
        <w:rPr>
          <w:sz w:val="20"/>
          <w:szCs w:val="20"/>
          <w:color w:val="auto"/>
        </w:rPr>
      </w:pPr>
    </w:p>
    <w:p>
      <w:pPr>
        <w:jc w:val="both"/>
        <w:ind w:left="680" w:right="220"/>
        <w:spacing w:after="0" w:line="352" w:lineRule="auto"/>
        <w:rPr>
          <w:sz w:val="20"/>
          <w:szCs w:val="20"/>
          <w:color w:val="auto"/>
        </w:rPr>
      </w:pPr>
      <w:r>
        <w:rPr>
          <w:rFonts w:ascii="Arial" w:cs="Arial" w:eastAsia="Arial" w:hAnsi="Arial"/>
          <w:sz w:val="25"/>
          <w:szCs w:val="25"/>
          <w:b w:val="1"/>
          <w:bCs w:val="1"/>
          <w:i w:val="1"/>
          <w:iCs w:val="1"/>
          <w:color w:val="auto"/>
        </w:rPr>
        <w:t>При использовании АМКР</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особенно в комбинации с блокатором РААС</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необходим более тщательный контроль функции почек и уровня калия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опасность гиперкалиемии</w:t>
      </w:r>
      <w:r>
        <w:rPr>
          <w:rFonts w:ascii="Arial" w:cs="Arial" w:eastAsia="Arial" w:hAnsi="Arial"/>
          <w:sz w:val="25"/>
          <w:szCs w:val="25"/>
          <w:b w:val="1"/>
          <w:bCs w:val="1"/>
          <w:i w:val="1"/>
          <w:iCs w:val="1"/>
          <w:color w:val="auto"/>
        </w:rPr>
        <w:t>).</w:t>
      </w:r>
    </w:p>
    <w:p>
      <w:pPr>
        <w:spacing w:after="0" w:line="176"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3.6.3. </w:t>
      </w:r>
      <w:r>
        <w:rPr>
          <w:rFonts w:ascii="Arial" w:cs="Arial" w:eastAsia="Arial" w:hAnsi="Arial"/>
          <w:sz w:val="27"/>
          <w:szCs w:val="27"/>
          <w:b w:val="1"/>
          <w:bCs w:val="1"/>
          <w:color w:val="auto"/>
        </w:rPr>
        <w:t>Артериальная гипертензия и ишемическая болезнь</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сердца</w:t>
      </w:r>
    </w:p>
    <w:p>
      <w:pPr>
        <w:spacing w:after="0" w:line="179"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Пациентам с АГ в сочетании с ИБС рекомендуется</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14" w:lineRule="auto"/>
        <w:rPr>
          <w:sz w:val="20"/>
          <w:szCs w:val="20"/>
          <w:color w:val="auto"/>
        </w:rPr>
      </w:pPr>
      <w:r>
        <w:rPr>
          <w:rFonts w:ascii="Arial" w:cs="Arial" w:eastAsia="Arial" w:hAnsi="Arial"/>
          <w:sz w:val="27"/>
          <w:szCs w:val="27"/>
          <w:color w:val="auto"/>
        </w:rPr>
        <w:t xml:space="preserve">Пациентам моложе </w:t>
      </w:r>
      <w:r>
        <w:rPr>
          <w:rFonts w:ascii="Arial" w:cs="Arial" w:eastAsia="Arial" w:hAnsi="Arial"/>
          <w:sz w:val="27"/>
          <w:szCs w:val="27"/>
          <w:color w:val="auto"/>
        </w:rPr>
        <w:t>65</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без ХБП</w:t>
      </w:r>
      <w:r>
        <w:rPr>
          <w:rFonts w:ascii="Arial" w:cs="Arial" w:eastAsia="Arial" w:hAnsi="Arial"/>
          <w:sz w:val="27"/>
          <w:szCs w:val="27"/>
          <w:color w:val="auto"/>
        </w:rPr>
        <w:t>,</w:t>
      </w:r>
      <w:r>
        <w:rPr>
          <w:rFonts w:ascii="Arial" w:cs="Arial" w:eastAsia="Arial" w:hAnsi="Arial"/>
          <w:sz w:val="27"/>
          <w:szCs w:val="27"/>
          <w:color w:val="auto"/>
        </w:rPr>
        <w:t xml:space="preserve"> получающим антигипертензивную терапию</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снижении риска СС событий рекомендуется снижать САД до целевого уровня </w:t>
      </w:r>
      <w:r>
        <w:rPr>
          <w:rFonts w:ascii="Times New Roman" w:cs="Times New Roman" w:eastAsia="Times New Roman" w:hAnsi="Times New Roman"/>
          <w:sz w:val="27"/>
          <w:szCs w:val="27"/>
          <w:color w:val="auto"/>
        </w:rPr>
        <w:t>≤</w:t>
      </w:r>
      <w:r>
        <w:rPr>
          <w:rFonts w:ascii="Arial" w:cs="Arial" w:eastAsia="Arial" w:hAnsi="Arial"/>
          <w:sz w:val="27"/>
          <w:szCs w:val="27"/>
          <w:color w:val="auto"/>
        </w:rPr>
        <w:t>130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при хорошей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-952500</wp:posOffset>
            </wp:positionV>
            <wp:extent cx="82550" cy="8255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5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54" w:name="page55"/>
    <w:bookmarkEnd w:id="54"/>
    <w:p>
      <w:pPr>
        <w:spacing w:after="0" w:line="12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переносимости</w:t>
      </w:r>
      <w:r>
        <w:rPr>
          <w:rFonts w:ascii="Arial" w:cs="Arial" w:eastAsia="Arial" w:hAnsi="Arial"/>
          <w:sz w:val="27"/>
          <w:szCs w:val="27"/>
          <w:color w:val="auto"/>
        </w:rPr>
        <w:t>,</w:t>
      </w:r>
      <w:r>
        <w:rPr>
          <w:rFonts w:ascii="Arial" w:cs="Arial" w:eastAsia="Arial" w:hAnsi="Arial"/>
          <w:sz w:val="27"/>
          <w:szCs w:val="27"/>
          <w:color w:val="auto"/>
        </w:rPr>
        <w:t xml:space="preserve"> но не </w:t>
      </w:r>
      <w:r>
        <w:rPr>
          <w:rFonts w:ascii="Arial" w:cs="Arial" w:eastAsia="Arial" w:hAnsi="Arial"/>
          <w:sz w:val="27"/>
          <w:szCs w:val="27"/>
          <w:color w:val="auto"/>
        </w:rPr>
        <w:t>&lt;120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w:t>
      </w:r>
      <w:r>
        <w:rPr>
          <w:rFonts w:ascii="Arial" w:cs="Arial" w:eastAsia="Arial" w:hAnsi="Arial"/>
          <w:sz w:val="27"/>
          <w:szCs w:val="27"/>
          <w:color w:val="auto"/>
        </w:rPr>
        <w:t>Приложение Б</w:t>
      </w:r>
      <w:r>
        <w:rPr>
          <w:rFonts w:ascii="Arial" w:cs="Arial" w:eastAsia="Arial" w:hAnsi="Arial"/>
          <w:sz w:val="27"/>
          <w:szCs w:val="27"/>
          <w:color w:val="auto"/>
        </w:rPr>
        <w:t>4) [157,</w:t>
      </w:r>
      <w:r>
        <w:rPr>
          <w:rFonts w:ascii="Arial" w:cs="Arial" w:eastAsia="Arial" w:hAnsi="Arial"/>
          <w:sz w:val="27"/>
          <w:szCs w:val="27"/>
          <w:color w:val="auto"/>
        </w:rPr>
        <w:t xml:space="preserve"> </w:t>
      </w:r>
      <w:r>
        <w:rPr>
          <w:rFonts w:ascii="Arial" w:cs="Arial" w:eastAsia="Arial" w:hAnsi="Arial"/>
          <w:sz w:val="27"/>
          <w:szCs w:val="27"/>
          <w:color w:val="auto"/>
        </w:rPr>
        <w:t>170].</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У пожилых пациентов </w:t>
      </w: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65</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с наличием ХБП рекомендовано снижать САД до целевых значений </w:t>
      </w:r>
      <w:r>
        <w:rPr>
          <w:rFonts w:ascii="Arial" w:cs="Arial" w:eastAsia="Arial" w:hAnsi="Arial"/>
          <w:sz w:val="27"/>
          <w:szCs w:val="27"/>
          <w:color w:val="auto"/>
        </w:rPr>
        <w:t>130–139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[157, 170].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-701675</wp:posOffset>
            </wp:positionV>
            <wp:extent cx="82550" cy="8255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89"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Снижать ДАД до целевых значений </w:t>
      </w:r>
      <w:r>
        <w:rPr>
          <w:rFonts w:ascii="Arial" w:cs="Arial" w:eastAsia="Arial" w:hAnsi="Arial"/>
          <w:sz w:val="27"/>
          <w:szCs w:val="27"/>
          <w:color w:val="auto"/>
        </w:rPr>
        <w:t>&lt;80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но не </w:t>
      </w:r>
      <w:r>
        <w:rPr>
          <w:rFonts w:ascii="Arial" w:cs="Arial" w:eastAsia="Arial" w:hAnsi="Arial"/>
          <w:sz w:val="27"/>
          <w:szCs w:val="27"/>
          <w:color w:val="auto"/>
        </w:rPr>
        <w:t>&lt;70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[299]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3)</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АГ с перенесенным инфарктом миокарда рекомендуется назначение ББ и блокаторов РААС в качестве составной части терапии для снижения риска СС смертности </w:t>
      </w:r>
      <w:r>
        <w:rPr>
          <w:rFonts w:ascii="Arial" w:cs="Arial" w:eastAsia="Arial" w:hAnsi="Arial"/>
          <w:sz w:val="27"/>
          <w:szCs w:val="27"/>
          <w:color w:val="auto"/>
        </w:rPr>
        <w:t>[171].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Пациентам с АГ и симптомами стенокардии рекомендуется назначение ББ и</w:t>
      </w:r>
      <w:r>
        <w:rPr>
          <w:rFonts w:ascii="Arial" w:cs="Arial" w:eastAsia="Arial" w:hAnsi="Arial"/>
          <w:sz w:val="27"/>
          <w:szCs w:val="27"/>
          <w:color w:val="auto"/>
        </w:rPr>
        <w:t>/</w:t>
      </w:r>
      <w:r>
        <w:rPr>
          <w:rFonts w:ascii="Arial" w:cs="Arial" w:eastAsia="Arial" w:hAnsi="Arial"/>
          <w:sz w:val="27"/>
          <w:szCs w:val="27"/>
          <w:color w:val="auto"/>
        </w:rPr>
        <w:t>или АК</w:t>
      </w:r>
      <w:r>
        <w:rPr>
          <w:rFonts w:ascii="Arial" w:cs="Arial" w:eastAsia="Arial" w:hAnsi="Arial"/>
          <w:sz w:val="27"/>
          <w:szCs w:val="27"/>
          <w:color w:val="auto"/>
        </w:rPr>
        <w:t>. [171].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3.6.4.</w:t>
      </w:r>
      <w:r>
        <w:rPr>
          <w:rFonts w:ascii="Arial" w:cs="Arial" w:eastAsia="Arial" w:hAnsi="Arial"/>
          <w:sz w:val="27"/>
          <w:szCs w:val="27"/>
          <w:b w:val="1"/>
          <w:bCs w:val="1"/>
          <w:color w:val="auto"/>
        </w:rPr>
        <w:t>Артериальная гипертензия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гипертрофия левого</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желудочка и сердечная недостаточность</w:t>
      </w:r>
    </w:p>
    <w:p>
      <w:pPr>
        <w:spacing w:after="0" w:line="179"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с АГ в сочетании с сердечной недостаточностью </w:t>
      </w:r>
      <w:r>
        <w:rPr>
          <w:rFonts w:ascii="Arial" w:cs="Arial" w:eastAsia="Arial" w:hAnsi="Arial"/>
          <w:sz w:val="27"/>
          <w:szCs w:val="27"/>
          <w:color w:val="auto"/>
        </w:rPr>
        <w:t>(</w:t>
      </w:r>
      <w:r>
        <w:rPr>
          <w:rFonts w:ascii="Arial" w:cs="Arial" w:eastAsia="Arial" w:hAnsi="Arial"/>
          <w:sz w:val="27"/>
          <w:szCs w:val="27"/>
          <w:color w:val="auto"/>
        </w:rPr>
        <w:t>СН</w:t>
      </w:r>
      <w:r>
        <w:rPr>
          <w:rFonts w:ascii="Arial" w:cs="Arial" w:eastAsia="Arial" w:hAnsi="Arial"/>
          <w:sz w:val="27"/>
          <w:szCs w:val="27"/>
          <w:color w:val="auto"/>
        </w:rPr>
        <w:t>) (</w:t>
      </w:r>
      <w:r>
        <w:rPr>
          <w:rFonts w:ascii="Arial" w:cs="Arial" w:eastAsia="Arial" w:hAnsi="Arial"/>
          <w:sz w:val="27"/>
          <w:szCs w:val="27"/>
          <w:color w:val="auto"/>
        </w:rPr>
        <w:t>с низкой или сохраненной фракцией выброса</w:t>
      </w:r>
      <w:r>
        <w:rPr>
          <w:rFonts w:ascii="Arial" w:cs="Arial" w:eastAsia="Arial" w:hAnsi="Arial"/>
          <w:sz w:val="27"/>
          <w:szCs w:val="27"/>
          <w:color w:val="auto"/>
        </w:rPr>
        <w:t xml:space="preserve">) </w:t>
      </w:r>
      <w:r>
        <w:rPr>
          <w:rFonts w:ascii="Arial" w:cs="Arial" w:eastAsia="Arial" w:hAnsi="Arial"/>
          <w:sz w:val="27"/>
          <w:szCs w:val="27"/>
          <w:color w:val="auto"/>
        </w:rPr>
        <w:t xml:space="preserve">рекомендуется назначение АГТ при уровне 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отношении снижения СС смертности </w:t>
      </w:r>
      <w:r>
        <w:rPr>
          <w:rFonts w:ascii="Arial" w:cs="Arial" w:eastAsia="Arial" w:hAnsi="Arial"/>
          <w:sz w:val="27"/>
          <w:szCs w:val="27"/>
          <w:color w:val="auto"/>
        </w:rPr>
        <w:t>[172].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-1189990</wp:posOffset>
            </wp:positionV>
            <wp:extent cx="82550" cy="82550"/>
            <wp:wrapNone/>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5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У пациентов с АГ и СН с сохранной функцией</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левого желудочка при назначении АГТ возможно использование всех основных лекарственных средств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поскольку ни один из препаратов не продемонстрировал свое превосходство над другими в отношении улучшения СС исходов </w:t>
      </w:r>
      <w:r>
        <w:rPr>
          <w:rFonts w:ascii="Arial" w:cs="Arial" w:eastAsia="Arial" w:hAnsi="Arial"/>
          <w:sz w:val="24"/>
          <w:szCs w:val="24"/>
          <w:b w:val="1"/>
          <w:bCs w:val="1"/>
          <w:i w:val="1"/>
          <w:iCs w:val="1"/>
          <w:color w:val="auto"/>
        </w:rPr>
        <w:t>[21, 22].</w:t>
      </w:r>
    </w:p>
    <w:p>
      <w:pPr>
        <w:spacing w:after="0" w:line="18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Пациентам с АГ в сочетании с СН со сниженной ФВ в качестве АГТ рекомендуется использовать ИАПФ или БРА</w:t>
      </w:r>
      <w:r>
        <w:rPr>
          <w:rFonts w:ascii="Arial" w:cs="Arial" w:eastAsia="Arial" w:hAnsi="Arial"/>
          <w:sz w:val="27"/>
          <w:szCs w:val="27"/>
          <w:color w:val="auto"/>
        </w:rPr>
        <w:t>,</w:t>
      </w:r>
      <w:r>
        <w:rPr>
          <w:rFonts w:ascii="Arial" w:cs="Arial" w:eastAsia="Arial" w:hAnsi="Arial"/>
          <w:sz w:val="27"/>
          <w:szCs w:val="27"/>
          <w:color w:val="auto"/>
        </w:rPr>
        <w:t xml:space="preserve"> а также ББ</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960" w:orient="portrait"/>
          <w:cols w:equalWidth="0" w:num="1">
            <w:col w:w="9020"/>
          </w:cols>
          <w:pgMar w:left="1440" w:top="19" w:right="1440" w:bottom="0" w:gutter="0" w:footer="0" w:header="0"/>
        </w:sectPr>
      </w:pPr>
    </w:p>
    <w:bookmarkStart w:id="55" w:name="page56"/>
    <w:bookmarkEnd w:id="55"/>
    <w:p>
      <w:pPr>
        <w:jc w:val="both"/>
        <w:ind w:left="680" w:right="220"/>
        <w:spacing w:after="0" w:line="334" w:lineRule="auto"/>
        <w:rPr>
          <w:sz w:val="20"/>
          <w:szCs w:val="20"/>
          <w:color w:val="auto"/>
        </w:rPr>
      </w:pPr>
      <w:r>
        <w:rPr>
          <w:rFonts w:ascii="Arial" w:cs="Arial" w:eastAsia="Arial" w:hAnsi="Arial"/>
          <w:sz w:val="27"/>
          <w:szCs w:val="27"/>
          <w:color w:val="auto"/>
        </w:rPr>
        <w:t>диуретиков и</w:t>
      </w:r>
      <w:r>
        <w:rPr>
          <w:rFonts w:ascii="Arial" w:cs="Arial" w:eastAsia="Arial" w:hAnsi="Arial"/>
          <w:sz w:val="27"/>
          <w:szCs w:val="27"/>
          <w:color w:val="auto"/>
        </w:rPr>
        <w:t>/</w:t>
      </w:r>
      <w:r>
        <w:rPr>
          <w:rFonts w:ascii="Arial" w:cs="Arial" w:eastAsia="Arial" w:hAnsi="Arial"/>
          <w:sz w:val="27"/>
          <w:szCs w:val="27"/>
          <w:color w:val="auto"/>
        </w:rPr>
        <w:t xml:space="preserve">или АМКР при необходимости </w:t>
      </w:r>
      <w:r>
        <w:rPr>
          <w:rFonts w:ascii="Arial" w:cs="Arial" w:eastAsia="Arial" w:hAnsi="Arial"/>
          <w:sz w:val="27"/>
          <w:szCs w:val="27"/>
          <w:color w:val="auto"/>
        </w:rPr>
        <w:t>[171, 173]</w:t>
      </w:r>
      <w:r>
        <w:rPr>
          <w:rFonts w:ascii="Arial" w:cs="Arial" w:eastAsia="Arial" w:hAnsi="Arial"/>
          <w:sz w:val="27"/>
          <w:szCs w:val="27"/>
          <w:color w:val="auto"/>
        </w:rPr>
        <w:t xml:space="preserve"> </w:t>
      </w:r>
      <w:r>
        <w:rPr>
          <w:rFonts w:ascii="Arial" w:cs="Arial" w:eastAsia="Arial" w:hAnsi="Arial"/>
          <w:sz w:val="27"/>
          <w:szCs w:val="27"/>
          <w:color w:val="auto"/>
        </w:rPr>
        <w:t>(</w:t>
      </w:r>
      <w:r>
        <w:rPr>
          <w:rFonts w:ascii="Arial" w:cs="Arial" w:eastAsia="Arial" w:hAnsi="Arial"/>
          <w:sz w:val="27"/>
          <w:szCs w:val="27"/>
          <w:color w:val="auto"/>
        </w:rPr>
        <w:t>Приложение Б</w:t>
      </w:r>
      <w:r>
        <w:rPr>
          <w:rFonts w:ascii="Arial" w:cs="Arial" w:eastAsia="Arial" w:hAnsi="Arial"/>
          <w:sz w:val="27"/>
          <w:szCs w:val="27"/>
          <w:color w:val="auto"/>
        </w:rPr>
        <w:t>5).</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При недостаточном контроле АД пациентам с СН и АГ рекомендуется рассмотреть возможность добавления к терапии дигидропиридиновых АК для достижения целевого АД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Пациентам с АГ и СН с сохраненной ФВ рекомендуется руководствоваться теми же пороговыми и целевыми значениями АД</w:t>
      </w:r>
      <w:r>
        <w:rPr>
          <w:rFonts w:ascii="Arial" w:cs="Arial" w:eastAsia="Arial" w:hAnsi="Arial"/>
          <w:sz w:val="27"/>
          <w:szCs w:val="27"/>
          <w:color w:val="auto"/>
        </w:rPr>
        <w:t>,</w:t>
      </w:r>
      <w:r>
        <w:rPr>
          <w:rFonts w:ascii="Arial" w:cs="Arial" w:eastAsia="Arial" w:hAnsi="Arial"/>
          <w:sz w:val="27"/>
          <w:szCs w:val="27"/>
          <w:color w:val="auto"/>
        </w:rPr>
        <w:t xml:space="preserve"> что и при сниженной ФВ </w:t>
      </w:r>
      <w:r>
        <w:rPr>
          <w:rFonts w:ascii="Arial" w:cs="Arial" w:eastAsia="Arial" w:hAnsi="Arial"/>
          <w:sz w:val="27"/>
          <w:szCs w:val="27"/>
          <w:color w:val="auto"/>
        </w:rPr>
        <w:t>[174–176].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ГЛЖ рекомендуется назначение блокаторов РААС в комбинации с АК или диуретиком в связи с доказанным влиянием на процессы ремоделирования ЛЖ </w:t>
      </w:r>
      <w:r>
        <w:rPr>
          <w:rFonts w:ascii="Arial" w:cs="Arial" w:eastAsia="Arial" w:hAnsi="Arial"/>
          <w:sz w:val="27"/>
          <w:szCs w:val="27"/>
          <w:color w:val="auto"/>
        </w:rPr>
        <w:t>[177].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У пациентов с АГ и ГЛЖ моложе </w:t>
      </w:r>
      <w:r>
        <w:rPr>
          <w:rFonts w:ascii="Arial" w:cs="Arial" w:eastAsia="Arial" w:hAnsi="Arial"/>
          <w:sz w:val="27"/>
          <w:szCs w:val="27"/>
          <w:color w:val="auto"/>
        </w:rPr>
        <w:t>65</w:t>
      </w:r>
      <w:r>
        <w:rPr>
          <w:rFonts w:ascii="Arial" w:cs="Arial" w:eastAsia="Arial" w:hAnsi="Arial"/>
          <w:sz w:val="27"/>
          <w:szCs w:val="27"/>
          <w:color w:val="auto"/>
        </w:rPr>
        <w:t xml:space="preserve"> лет и при отсутствии ХБП рекомендуется снижать САД до значений </w:t>
      </w:r>
      <w:r>
        <w:rPr>
          <w:rFonts w:ascii="Arial" w:cs="Arial" w:eastAsia="Arial" w:hAnsi="Arial"/>
          <w:sz w:val="27"/>
          <w:szCs w:val="27"/>
          <w:color w:val="auto"/>
        </w:rPr>
        <w:t>120–130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отношении снижения СС исходов и смертности </w:t>
      </w:r>
      <w:r>
        <w:rPr>
          <w:rFonts w:ascii="Arial" w:cs="Arial" w:eastAsia="Arial" w:hAnsi="Arial"/>
          <w:sz w:val="27"/>
          <w:szCs w:val="27"/>
          <w:color w:val="auto"/>
        </w:rPr>
        <w:t>[107, 178–180].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6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3.6.5.</w:t>
      </w:r>
      <w:r>
        <w:rPr>
          <w:rFonts w:ascii="Arial" w:cs="Arial" w:eastAsia="Arial" w:hAnsi="Arial"/>
          <w:sz w:val="27"/>
          <w:szCs w:val="27"/>
          <w:b w:val="1"/>
          <w:bCs w:val="1"/>
          <w:color w:val="auto"/>
        </w:rPr>
        <w:t>Артериальная гипертензия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фибрилляция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предсердий и другие аритмии</w:t>
      </w:r>
    </w:p>
    <w:p>
      <w:pPr>
        <w:spacing w:after="0" w:line="179"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Ведение пациентов с АГ в сочетании с фибрилляцией предсердий проводится в соответствии с действующими клиническими рекомендациями</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Всех пациентов с ФП рекомендуется обследовать для исключения АГ </w:t>
      </w:r>
      <w:r>
        <w:rPr>
          <w:rFonts w:ascii="Arial" w:cs="Arial" w:eastAsia="Arial" w:hAnsi="Arial"/>
          <w:sz w:val="27"/>
          <w:szCs w:val="27"/>
          <w:color w:val="auto"/>
        </w:rPr>
        <w:t>[181].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с АГ и ФП при необходимости контроля ЧСС в качестве компонента АГТ рекомендуется назначать ББ или недигидропиридиновые АК </w:t>
      </w:r>
      <w:r>
        <w:rPr>
          <w:rFonts w:ascii="Arial" w:cs="Arial" w:eastAsia="Arial" w:hAnsi="Arial"/>
          <w:sz w:val="27"/>
          <w:szCs w:val="27"/>
          <w:color w:val="auto"/>
        </w:rPr>
        <w:t>(</w:t>
      </w:r>
      <w:r>
        <w:rPr>
          <w:rFonts w:ascii="Arial" w:cs="Arial" w:eastAsia="Arial" w:hAnsi="Arial"/>
          <w:sz w:val="27"/>
          <w:szCs w:val="27"/>
          <w:color w:val="auto"/>
        </w:rPr>
        <w:t>Приложение Б</w:t>
      </w:r>
      <w:r>
        <w:rPr>
          <w:rFonts w:ascii="Arial" w:cs="Arial" w:eastAsia="Arial" w:hAnsi="Arial"/>
          <w:sz w:val="27"/>
          <w:szCs w:val="27"/>
          <w:color w:val="auto"/>
        </w:rPr>
        <w:t>6) [181].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56" w:name="page57"/>
    <w:bookmarkEnd w:id="56"/>
    <w:p>
      <w:pPr>
        <w:spacing w:after="0" w:line="3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Индивидуальный выбор доз ББ или</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недигидропиридиновых АК препаратов должен быть ориентирован на целевые значения ЧСС не выше </w:t>
      </w:r>
      <w:r>
        <w:rPr>
          <w:rFonts w:ascii="Arial" w:cs="Arial" w:eastAsia="Arial" w:hAnsi="Arial"/>
          <w:sz w:val="27"/>
          <w:szCs w:val="27"/>
          <w:b w:val="1"/>
          <w:bCs w:val="1"/>
          <w:i w:val="1"/>
          <w:iCs w:val="1"/>
          <w:color w:val="auto"/>
        </w:rPr>
        <w:t>110</w:t>
      </w:r>
      <w:r>
        <w:rPr>
          <w:rFonts w:ascii="Arial" w:cs="Arial" w:eastAsia="Arial" w:hAnsi="Arial"/>
          <w:sz w:val="27"/>
          <w:szCs w:val="27"/>
          <w:b w:val="1"/>
          <w:bCs w:val="1"/>
          <w:i w:val="1"/>
          <w:iCs w:val="1"/>
          <w:color w:val="auto"/>
        </w:rPr>
        <w:t xml:space="preserve"> в минуту в состоянии покоя </w:t>
      </w:r>
      <w:r>
        <w:rPr>
          <w:rFonts w:ascii="Arial" w:cs="Arial" w:eastAsia="Arial" w:hAnsi="Arial"/>
          <w:sz w:val="27"/>
          <w:szCs w:val="27"/>
          <w:b w:val="1"/>
          <w:bCs w:val="1"/>
          <w:i w:val="1"/>
          <w:iCs w:val="1"/>
          <w:color w:val="auto"/>
        </w:rPr>
        <w:t>[182].</w:t>
      </w:r>
    </w:p>
    <w:p>
      <w:pPr>
        <w:spacing w:after="0" w:line="216" w:lineRule="exact"/>
        <w:rPr>
          <w:sz w:val="20"/>
          <w:szCs w:val="20"/>
          <w:color w:val="auto"/>
        </w:rPr>
      </w:pPr>
    </w:p>
    <w:p>
      <w:pPr>
        <w:jc w:val="both"/>
        <w:ind w:left="680" w:right="220"/>
        <w:spacing w:after="0" w:line="247" w:lineRule="auto"/>
        <w:rPr>
          <w:sz w:val="20"/>
          <w:szCs w:val="20"/>
          <w:color w:val="auto"/>
        </w:rPr>
      </w:pPr>
      <w:r>
        <w:rPr>
          <w:rFonts w:ascii="Arial" w:cs="Arial" w:eastAsia="Arial" w:hAnsi="Arial"/>
          <w:sz w:val="27"/>
          <w:szCs w:val="27"/>
          <w:color w:val="auto"/>
        </w:rPr>
        <w:t xml:space="preserve">Пациентам с АГ в сочетании с ФП при числе баллов по шкале </w:t>
      </w:r>
      <w:r>
        <w:rPr>
          <w:rFonts w:ascii="Arial" w:cs="Arial" w:eastAsia="Arial" w:hAnsi="Arial"/>
          <w:sz w:val="27"/>
          <w:szCs w:val="27"/>
          <w:color w:val="auto"/>
        </w:rPr>
        <w:t>CHA</w:t>
      </w:r>
      <w:r>
        <w:rPr>
          <w:rFonts w:ascii="Arial" w:cs="Arial" w:eastAsia="Arial" w:hAnsi="Arial"/>
          <w:sz w:val="54"/>
          <w:szCs w:val="54"/>
          <w:color w:val="auto"/>
          <w:vertAlign w:val="subscript"/>
        </w:rPr>
        <w:t>2</w:t>
      </w:r>
      <w:r>
        <w:rPr>
          <w:rFonts w:ascii="Arial" w:cs="Arial" w:eastAsia="Arial" w:hAnsi="Arial"/>
          <w:sz w:val="27"/>
          <w:szCs w:val="27"/>
          <w:color w:val="auto"/>
        </w:rPr>
        <w:t>DS</w:t>
      </w:r>
      <w:r>
        <w:rPr>
          <w:rFonts w:ascii="Arial" w:cs="Arial" w:eastAsia="Arial" w:hAnsi="Arial"/>
          <w:sz w:val="54"/>
          <w:szCs w:val="54"/>
          <w:color w:val="auto"/>
          <w:vertAlign w:val="subscript"/>
        </w:rPr>
        <w:t>2</w:t>
      </w:r>
      <w:r>
        <w:rPr>
          <w:rFonts w:ascii="Arial" w:cs="Arial" w:eastAsia="Arial" w:hAnsi="Arial"/>
          <w:sz w:val="27"/>
          <w:szCs w:val="27"/>
          <w:color w:val="auto"/>
        </w:rPr>
        <w:t xml:space="preserve">-Vasc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2 </w:t>
      </w:r>
      <w:r>
        <w:rPr>
          <w:rFonts w:ascii="Arial" w:cs="Arial" w:eastAsia="Arial" w:hAnsi="Arial"/>
          <w:sz w:val="27"/>
          <w:szCs w:val="27"/>
          <w:color w:val="auto"/>
        </w:rPr>
        <w:t>для мужчин и</w:t>
      </w:r>
      <w:r>
        <w:rPr>
          <w:rFonts w:ascii="Arial" w:cs="Arial" w:eastAsia="Arial" w:hAnsi="Arial"/>
          <w:sz w:val="27"/>
          <w:szCs w:val="27"/>
          <w:color w:val="auto"/>
        </w:rPr>
        <w:t xml:space="preserve">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3 </w:t>
      </w:r>
      <w:r>
        <w:rPr>
          <w:rFonts w:ascii="Arial" w:cs="Arial" w:eastAsia="Arial" w:hAnsi="Arial"/>
          <w:sz w:val="27"/>
          <w:szCs w:val="27"/>
          <w:color w:val="auto"/>
        </w:rPr>
        <w:t>для женщин рекомендуется</w:t>
      </w:r>
      <w:r>
        <w:rPr>
          <w:rFonts w:ascii="Arial" w:cs="Arial" w:eastAsia="Arial" w:hAnsi="Arial"/>
          <w:sz w:val="27"/>
          <w:szCs w:val="27"/>
          <w:color w:val="auto"/>
        </w:rPr>
        <w:t xml:space="preserve"> </w:t>
      </w:r>
      <w:r>
        <w:rPr>
          <w:rFonts w:ascii="Arial" w:cs="Arial" w:eastAsia="Arial" w:hAnsi="Arial"/>
          <w:sz w:val="27"/>
          <w:szCs w:val="27"/>
          <w:color w:val="auto"/>
        </w:rPr>
        <w:t xml:space="preserve">проводить профилактику инсульта с помощью пероральных антикоагулянтов </w:t>
      </w:r>
      <w:r>
        <w:rPr>
          <w:rFonts w:ascii="Arial" w:cs="Arial" w:eastAsia="Arial" w:hAnsi="Arial"/>
          <w:sz w:val="27"/>
          <w:szCs w:val="27"/>
          <w:color w:val="auto"/>
        </w:rPr>
        <w:t>(</w:t>
      </w:r>
      <w:r>
        <w:rPr>
          <w:rFonts w:ascii="Arial" w:cs="Arial" w:eastAsia="Arial" w:hAnsi="Arial"/>
          <w:sz w:val="27"/>
          <w:szCs w:val="27"/>
          <w:color w:val="auto"/>
        </w:rPr>
        <w:t xml:space="preserve">шкала предсталена в Таблице </w:t>
      </w:r>
      <w:r>
        <w:rPr>
          <w:rFonts w:ascii="Arial" w:cs="Arial" w:eastAsia="Arial" w:hAnsi="Arial"/>
          <w:sz w:val="27"/>
          <w:szCs w:val="27"/>
          <w:color w:val="auto"/>
        </w:rPr>
        <w:t>4,</w:t>
      </w:r>
      <w:r>
        <w:rPr>
          <w:rFonts w:ascii="Arial" w:cs="Arial" w:eastAsia="Arial" w:hAnsi="Arial"/>
          <w:sz w:val="27"/>
          <w:szCs w:val="27"/>
          <w:color w:val="auto"/>
        </w:rPr>
        <w:t xml:space="preserve"> Приложение Г</w:t>
      </w:r>
      <w:r>
        <w:rPr>
          <w:rFonts w:ascii="Arial" w:cs="Arial" w:eastAsia="Arial" w:hAnsi="Arial"/>
          <w:sz w:val="27"/>
          <w:szCs w:val="27"/>
          <w:color w:val="auto"/>
        </w:rPr>
        <w:t>3) [183].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-1137285</wp:posOffset>
            </wp:positionV>
            <wp:extent cx="82550" cy="82550"/>
            <wp:wrapNone/>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84"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235" w:lineRule="auto"/>
        <w:rPr>
          <w:sz w:val="20"/>
          <w:szCs w:val="20"/>
          <w:color w:val="auto"/>
        </w:rPr>
      </w:pPr>
      <w:r>
        <w:rPr>
          <w:rFonts w:ascii="Arial" w:cs="Arial" w:eastAsia="Arial" w:hAnsi="Arial"/>
          <w:sz w:val="27"/>
          <w:szCs w:val="27"/>
          <w:color w:val="auto"/>
        </w:rPr>
        <w:t>Назначение пероральных антикоагулянтов рекомендовано пациентам с ФП</w:t>
      </w:r>
      <w:r>
        <w:rPr>
          <w:rFonts w:ascii="Arial" w:cs="Arial" w:eastAsia="Arial" w:hAnsi="Arial"/>
          <w:sz w:val="27"/>
          <w:szCs w:val="27"/>
          <w:color w:val="auto"/>
        </w:rPr>
        <w:t>,</w:t>
      </w:r>
      <w:r>
        <w:rPr>
          <w:rFonts w:ascii="Arial" w:cs="Arial" w:eastAsia="Arial" w:hAnsi="Arial"/>
          <w:sz w:val="27"/>
          <w:szCs w:val="27"/>
          <w:color w:val="auto"/>
        </w:rPr>
        <w:t xml:space="preserve"> имеющим </w:t>
      </w:r>
      <w:r>
        <w:rPr>
          <w:rFonts w:ascii="Arial" w:cs="Arial" w:eastAsia="Arial" w:hAnsi="Arial"/>
          <w:sz w:val="27"/>
          <w:szCs w:val="27"/>
          <w:color w:val="auto"/>
        </w:rPr>
        <w:t>1</w:t>
      </w:r>
      <w:r>
        <w:rPr>
          <w:rFonts w:ascii="Arial" w:cs="Arial" w:eastAsia="Arial" w:hAnsi="Arial"/>
          <w:sz w:val="27"/>
          <w:szCs w:val="27"/>
          <w:color w:val="auto"/>
        </w:rPr>
        <w:t xml:space="preserve"> балл по шкале </w:t>
      </w:r>
      <w:r>
        <w:rPr>
          <w:rFonts w:ascii="Arial" w:cs="Arial" w:eastAsia="Arial" w:hAnsi="Arial"/>
          <w:sz w:val="27"/>
          <w:szCs w:val="27"/>
          <w:color w:val="auto"/>
        </w:rPr>
        <w:t>CHA</w:t>
      </w:r>
      <w:r>
        <w:rPr>
          <w:rFonts w:ascii="Arial" w:cs="Arial" w:eastAsia="Arial" w:hAnsi="Arial"/>
          <w:sz w:val="54"/>
          <w:szCs w:val="54"/>
          <w:color w:val="auto"/>
          <w:vertAlign w:val="subscript"/>
        </w:rPr>
        <w:t>2</w:t>
      </w:r>
      <w:r>
        <w:rPr>
          <w:rFonts w:ascii="Arial" w:cs="Arial" w:eastAsia="Arial" w:hAnsi="Arial"/>
          <w:sz w:val="27"/>
          <w:szCs w:val="27"/>
          <w:color w:val="auto"/>
        </w:rPr>
        <w:t>DS</w:t>
      </w:r>
      <w:r>
        <w:rPr>
          <w:rFonts w:ascii="Arial" w:cs="Arial" w:eastAsia="Arial" w:hAnsi="Arial"/>
          <w:sz w:val="54"/>
          <w:szCs w:val="54"/>
          <w:color w:val="auto"/>
          <w:vertAlign w:val="subscript"/>
        </w:rPr>
        <w:t>2</w:t>
      </w:r>
      <w:r>
        <w:rPr>
          <w:rFonts w:ascii="Arial" w:cs="Arial" w:eastAsia="Arial" w:hAnsi="Arial"/>
          <w:sz w:val="27"/>
          <w:szCs w:val="27"/>
          <w:color w:val="auto"/>
        </w:rPr>
        <w:t>-VASc,</w:t>
      </w:r>
      <w:r>
        <w:rPr>
          <w:rFonts w:ascii="Arial" w:cs="Arial" w:eastAsia="Arial" w:hAnsi="Arial"/>
          <w:sz w:val="27"/>
          <w:szCs w:val="27"/>
          <w:color w:val="auto"/>
        </w:rPr>
        <w:t xml:space="preserve"> учитывая индивидуальные особенности и предпочтения пациента </w:t>
      </w:r>
      <w:r>
        <w:rPr>
          <w:rFonts w:ascii="Arial" w:cs="Arial" w:eastAsia="Arial" w:hAnsi="Arial"/>
          <w:sz w:val="27"/>
          <w:szCs w:val="27"/>
          <w:color w:val="auto"/>
        </w:rPr>
        <w:t>[182,184].</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-884555</wp:posOffset>
            </wp:positionV>
            <wp:extent cx="82550" cy="82550"/>
            <wp:wrapNone/>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9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Развитие ФП у пациентов АГ ухудшает прогноз</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заболевания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значимо повышает риск развития инсульта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кардиоэмболического генеза</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и сердечной недостаточности</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АГ</w:t>
      </w:r>
    </w:p>
    <w:p>
      <w:pPr>
        <w:jc w:val="both"/>
        <w:ind w:left="680" w:right="220"/>
        <w:spacing w:after="0" w:line="329" w:lineRule="auto"/>
        <w:rPr>
          <w:sz w:val="20"/>
          <w:szCs w:val="20"/>
          <w:color w:val="auto"/>
        </w:rPr>
      </w:pP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самое распространенное сопутствующее заболевание у</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пациентов с ФП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 отсутствие противопоказаний пациенты ФП должны получать пероральные антикоагулянты для профилактики инсульта и других эмболий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Адекватный контроль АГ у пациентов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получающих антикоагулянты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способствует снижению частоты кровотечений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Оральные антикоагулянты следует применять с осторожностью у пациентов со значительно повышенным АД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САД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180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или ДАД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100</w:t>
      </w:r>
      <w:r>
        <w:rPr>
          <w:rFonts w:ascii="Times New Roman" w:cs="Times New Roman" w:eastAsia="Times New Roman" w:hAnsi="Times New Roman"/>
          <w:sz w:val="25"/>
          <w:szCs w:val="25"/>
          <w:i w:val="1"/>
          <w:iCs w:val="1"/>
          <w:color w:val="auto"/>
        </w:rPr>
        <w:t xml:space="preserve"> </w:t>
      </w:r>
      <w:r>
        <w:rPr>
          <w:rFonts w:ascii="Arial" w:cs="Arial" w:eastAsia="Arial" w:hAnsi="Arial"/>
          <w:sz w:val="25"/>
          <w:szCs w:val="25"/>
          <w:b w:val="1"/>
          <w:bCs w:val="1"/>
          <w:i w:val="1"/>
          <w:iCs w:val="1"/>
          <w:color w:val="auto"/>
        </w:rPr>
        <w:t>мм рт</w:t>
      </w:r>
      <w:r>
        <w:rPr>
          <w:rFonts w:ascii="Arial" w:cs="Arial" w:eastAsia="Arial" w:hAnsi="Arial"/>
          <w:sz w:val="25"/>
          <w:szCs w:val="25"/>
          <w:b w:val="1"/>
          <w:bCs w:val="1"/>
          <w:i w:val="1"/>
          <w:iCs w:val="1"/>
          <w:color w:val="auto"/>
        </w:rPr>
        <w:t>.</w:t>
      </w:r>
      <w:r>
        <w:rPr>
          <w:rFonts w:ascii="Times New Roman" w:cs="Times New Roman" w:eastAsia="Times New Roman" w:hAnsi="Times New Roman"/>
          <w:sz w:val="25"/>
          <w:szCs w:val="25"/>
          <w:i w:val="1"/>
          <w:iCs w:val="1"/>
          <w:color w:val="auto"/>
        </w:rPr>
        <w:t xml:space="preserve"> </w:t>
      </w:r>
      <w:r>
        <w:rPr>
          <w:rFonts w:ascii="Arial" w:cs="Arial" w:eastAsia="Arial" w:hAnsi="Arial"/>
          <w:sz w:val="25"/>
          <w:szCs w:val="25"/>
          <w:b w:val="1"/>
          <w:bCs w:val="1"/>
          <w:i w:val="1"/>
          <w:iCs w:val="1"/>
          <w:color w:val="auto"/>
        </w:rPr>
        <w:t>ст</w:t>
      </w:r>
      <w:r>
        <w:rPr>
          <w:rFonts w:ascii="Arial" w:cs="Arial" w:eastAsia="Arial" w:hAnsi="Arial"/>
          <w:sz w:val="25"/>
          <w:szCs w:val="25"/>
          <w:b w:val="1"/>
          <w:bCs w:val="1"/>
          <w:i w:val="1"/>
          <w:iCs w:val="1"/>
          <w:color w:val="auto"/>
        </w:rPr>
        <w:t>.),</w:t>
      </w:r>
      <w:r>
        <w:rPr>
          <w:rFonts w:ascii="Times New Roman" w:cs="Times New Roman" w:eastAsia="Times New Roman" w:hAnsi="Times New Roman"/>
          <w:sz w:val="25"/>
          <w:szCs w:val="25"/>
          <w:i w:val="1"/>
          <w:iCs w:val="1"/>
          <w:color w:val="auto"/>
        </w:rPr>
        <w:t xml:space="preserve"> </w:t>
      </w:r>
      <w:r>
        <w:rPr>
          <w:rFonts w:ascii="Arial" w:cs="Arial" w:eastAsia="Arial" w:hAnsi="Arial"/>
          <w:sz w:val="25"/>
          <w:szCs w:val="25"/>
          <w:b w:val="1"/>
          <w:bCs w:val="1"/>
          <w:i w:val="1"/>
          <w:iCs w:val="1"/>
          <w:color w:val="auto"/>
        </w:rPr>
        <w:t>при этом необходимо применить срочные меры</w:t>
      </w:r>
      <w:r>
        <w:rPr>
          <w:rFonts w:ascii="Times New Roman" w:cs="Times New Roman" w:eastAsia="Times New Roman" w:hAnsi="Times New Roman"/>
          <w:sz w:val="25"/>
          <w:szCs w:val="25"/>
          <w:i w:val="1"/>
          <w:iCs w:val="1"/>
          <w:color w:val="auto"/>
        </w:rPr>
        <w:t xml:space="preserve"> </w:t>
      </w:r>
      <w:r>
        <w:rPr>
          <w:rFonts w:ascii="Arial" w:cs="Arial" w:eastAsia="Arial" w:hAnsi="Arial"/>
          <w:sz w:val="25"/>
          <w:szCs w:val="25"/>
          <w:b w:val="1"/>
          <w:bCs w:val="1"/>
          <w:i w:val="1"/>
          <w:iCs w:val="1"/>
          <w:color w:val="auto"/>
        </w:rPr>
        <w:t>для достижения контроля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целью является снижение САД как минимум </w:t>
      </w:r>
      <w:r>
        <w:rPr>
          <w:rFonts w:ascii="Arial" w:cs="Arial" w:eastAsia="Arial" w:hAnsi="Arial"/>
          <w:sz w:val="25"/>
          <w:szCs w:val="25"/>
          <w:b w:val="1"/>
          <w:bCs w:val="1"/>
          <w:i w:val="1"/>
          <w:iCs w:val="1"/>
          <w:color w:val="auto"/>
        </w:rPr>
        <w:t>&lt;140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ДАД </w:t>
      </w:r>
      <w:r>
        <w:rPr>
          <w:rFonts w:ascii="Arial" w:cs="Arial" w:eastAsia="Arial" w:hAnsi="Arial"/>
          <w:sz w:val="25"/>
          <w:szCs w:val="25"/>
          <w:b w:val="1"/>
          <w:bCs w:val="1"/>
          <w:i w:val="1"/>
          <w:iCs w:val="1"/>
          <w:color w:val="auto"/>
        </w:rPr>
        <w:t>&lt;90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Целесообразно оценить возможность снижения САД до </w:t>
      </w:r>
      <w:r>
        <w:rPr>
          <w:rFonts w:ascii="Arial" w:cs="Arial" w:eastAsia="Arial" w:hAnsi="Arial"/>
          <w:sz w:val="25"/>
          <w:szCs w:val="25"/>
          <w:b w:val="1"/>
          <w:bCs w:val="1"/>
          <w:i w:val="1"/>
          <w:iCs w:val="1"/>
          <w:color w:val="auto"/>
        </w:rPr>
        <w:t>&lt;130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 [181,</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185].</w:t>
      </w:r>
    </w:p>
    <w:p>
      <w:pPr>
        <w:spacing w:after="0" w:line="215"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3.6.6. </w:t>
      </w:r>
      <w:r>
        <w:rPr>
          <w:rFonts w:ascii="Arial" w:cs="Arial" w:eastAsia="Arial" w:hAnsi="Arial"/>
          <w:sz w:val="27"/>
          <w:szCs w:val="27"/>
          <w:b w:val="1"/>
          <w:bCs w:val="1"/>
          <w:color w:val="auto"/>
        </w:rPr>
        <w:t>Артериальная гипертензия и цереброваскулярная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болезнь</w:t>
      </w:r>
    </w:p>
    <w:p>
      <w:pPr>
        <w:spacing w:after="0" w:line="179"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с внутримозговой гематомой и САД </w:t>
      </w:r>
      <w:r>
        <w:rPr>
          <w:rFonts w:ascii="Arial" w:cs="Arial" w:eastAsia="Arial" w:hAnsi="Arial"/>
          <w:sz w:val="27"/>
          <w:szCs w:val="27"/>
          <w:color w:val="auto"/>
        </w:rPr>
        <w:t>&lt; 200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не рекомендуется незамедлительное снижение АД для профилактики осложнений </w:t>
      </w:r>
      <w:r>
        <w:rPr>
          <w:rFonts w:ascii="Arial" w:cs="Arial" w:eastAsia="Arial" w:hAnsi="Arial"/>
          <w:sz w:val="27"/>
          <w:szCs w:val="27"/>
          <w:color w:val="auto"/>
        </w:rPr>
        <w:t>(</w:t>
      </w:r>
      <w:r>
        <w:rPr>
          <w:rFonts w:ascii="Arial" w:cs="Arial" w:eastAsia="Arial" w:hAnsi="Arial"/>
          <w:sz w:val="27"/>
          <w:szCs w:val="27"/>
          <w:color w:val="auto"/>
        </w:rPr>
        <w:t>в том числе гипоперфузии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76" w:orient="portrait"/>
          <w:cols w:equalWidth="0" w:num="1">
            <w:col w:w="9020"/>
          </w:cols>
          <w:pgMar w:left="1440" w:top="19" w:right="1440" w:bottom="0" w:gutter="0" w:footer="0" w:header="0"/>
        </w:sectPr>
      </w:pPr>
    </w:p>
    <w:bookmarkStart w:id="57" w:name="page58"/>
    <w:bookmarkEnd w:id="57"/>
    <w:p>
      <w:pPr>
        <w:jc w:val="both"/>
        <w:ind w:left="680" w:right="220"/>
        <w:spacing w:after="0" w:line="334" w:lineRule="auto"/>
        <w:rPr>
          <w:sz w:val="20"/>
          <w:szCs w:val="20"/>
          <w:color w:val="auto"/>
        </w:rPr>
      </w:pPr>
      <w:r>
        <w:rPr>
          <w:rFonts w:ascii="Arial" w:cs="Arial" w:eastAsia="Arial" w:hAnsi="Arial"/>
          <w:sz w:val="27"/>
          <w:szCs w:val="27"/>
          <w:color w:val="auto"/>
        </w:rPr>
        <w:t>головного мозга или увеличения размеров очага поражения</w:t>
      </w:r>
      <w:r>
        <w:rPr>
          <w:rFonts w:ascii="Arial" w:cs="Arial" w:eastAsia="Arial" w:hAnsi="Arial"/>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[186-192].</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с внутримозговой гематомой при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220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рекомендовано осторожное снижение АД до уровня </w:t>
      </w:r>
      <w:r>
        <w:rPr>
          <w:rFonts w:ascii="Arial" w:cs="Arial" w:eastAsia="Arial" w:hAnsi="Arial"/>
          <w:sz w:val="27"/>
          <w:szCs w:val="27"/>
          <w:color w:val="auto"/>
        </w:rPr>
        <w:t>&lt;180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с помощью в</w:t>
      </w:r>
      <w:r>
        <w:rPr>
          <w:rFonts w:ascii="Arial" w:cs="Arial" w:eastAsia="Arial" w:hAnsi="Arial"/>
          <w:sz w:val="27"/>
          <w:szCs w:val="27"/>
          <w:color w:val="auto"/>
        </w:rPr>
        <w:t>/</w:t>
      </w:r>
      <w:r>
        <w:rPr>
          <w:rFonts w:ascii="Arial" w:cs="Arial" w:eastAsia="Arial" w:hAnsi="Arial"/>
          <w:sz w:val="27"/>
          <w:szCs w:val="27"/>
          <w:color w:val="auto"/>
        </w:rPr>
        <w:t xml:space="preserve">в терапии для профилактики осложнений </w:t>
      </w:r>
      <w:r>
        <w:rPr>
          <w:rFonts w:ascii="Arial" w:cs="Arial" w:eastAsia="Arial" w:hAnsi="Arial"/>
          <w:sz w:val="27"/>
          <w:szCs w:val="27"/>
          <w:color w:val="auto"/>
        </w:rPr>
        <w:t>(</w:t>
      </w:r>
      <w:r>
        <w:rPr>
          <w:rFonts w:ascii="Arial" w:cs="Arial" w:eastAsia="Arial" w:hAnsi="Arial"/>
          <w:sz w:val="27"/>
          <w:szCs w:val="27"/>
          <w:color w:val="auto"/>
        </w:rPr>
        <w:t>в том числе гипоперфузии головного мозга или увеличения</w:t>
      </w:r>
      <w:r>
        <w:rPr>
          <w:rFonts w:ascii="Arial" w:cs="Arial" w:eastAsia="Arial" w:hAnsi="Arial"/>
          <w:sz w:val="27"/>
          <w:szCs w:val="27"/>
          <w:color w:val="auto"/>
        </w:rPr>
        <w:t xml:space="preserve"> </w:t>
      </w:r>
      <w:r>
        <w:rPr>
          <w:rFonts w:ascii="Arial" w:cs="Arial" w:eastAsia="Arial" w:hAnsi="Arial"/>
          <w:sz w:val="27"/>
          <w:szCs w:val="27"/>
          <w:color w:val="auto"/>
        </w:rPr>
        <w:t>размеров очага поражения</w:t>
      </w:r>
      <w:r>
        <w:rPr>
          <w:rFonts w:ascii="Arial" w:cs="Arial" w:eastAsia="Arial" w:hAnsi="Arial"/>
          <w:sz w:val="27"/>
          <w:szCs w:val="27"/>
          <w:color w:val="auto"/>
        </w:rPr>
        <w:t>) [191, 192].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-1189990</wp:posOffset>
            </wp:positionV>
            <wp:extent cx="82550" cy="82550"/>
            <wp:wrapNone/>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w:t>
      </w:r>
      <w:r>
        <w:rPr>
          <w:rFonts w:ascii="Arial" w:cs="Arial" w:eastAsia="Arial" w:hAnsi="Arial"/>
          <w:sz w:val="27"/>
          <w:szCs w:val="27"/>
          <w:color w:val="auto"/>
        </w:rPr>
        <w:t>c</w:t>
      </w:r>
      <w:r>
        <w:rPr>
          <w:rFonts w:ascii="Arial" w:cs="Arial" w:eastAsia="Arial" w:hAnsi="Arial"/>
          <w:sz w:val="27"/>
          <w:szCs w:val="27"/>
          <w:color w:val="auto"/>
        </w:rPr>
        <w:t xml:space="preserve"> острым ишемическим инсультом рутинное снижение АД не рекомендуется для профилактики осложнений </w:t>
      </w:r>
      <w:r>
        <w:rPr>
          <w:rFonts w:ascii="Arial" w:cs="Arial" w:eastAsia="Arial" w:hAnsi="Arial"/>
          <w:sz w:val="27"/>
          <w:szCs w:val="27"/>
          <w:color w:val="auto"/>
        </w:rPr>
        <w:t>(</w:t>
      </w:r>
      <w:r>
        <w:rPr>
          <w:rFonts w:ascii="Arial" w:cs="Arial" w:eastAsia="Arial" w:hAnsi="Arial"/>
          <w:sz w:val="27"/>
          <w:szCs w:val="27"/>
          <w:color w:val="auto"/>
        </w:rPr>
        <w:t>в том числе гипоперфузии головного мозга</w:t>
      </w:r>
      <w:r>
        <w:rPr>
          <w:rFonts w:ascii="Arial" w:cs="Arial" w:eastAsia="Arial" w:hAnsi="Arial"/>
          <w:sz w:val="27"/>
          <w:szCs w:val="27"/>
          <w:color w:val="auto"/>
        </w:rPr>
        <w:t>) [190-195].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Пациентам с острым ишемическим инсультом</w:t>
      </w:r>
      <w:r>
        <w:rPr>
          <w:rFonts w:ascii="Arial" w:cs="Arial" w:eastAsia="Arial" w:hAnsi="Arial"/>
          <w:sz w:val="27"/>
          <w:szCs w:val="27"/>
          <w:color w:val="auto"/>
        </w:rPr>
        <w:t>,</w:t>
      </w:r>
      <w:r>
        <w:rPr>
          <w:rFonts w:ascii="Arial" w:cs="Arial" w:eastAsia="Arial" w:hAnsi="Arial"/>
          <w:sz w:val="27"/>
          <w:szCs w:val="27"/>
          <w:color w:val="auto"/>
        </w:rPr>
        <w:t xml:space="preserve"> которым планируется проведение внутривенной тромболитической терапии</w:t>
      </w:r>
      <w:r>
        <w:rPr>
          <w:rFonts w:ascii="Arial" w:cs="Arial" w:eastAsia="Arial" w:hAnsi="Arial"/>
          <w:sz w:val="27"/>
          <w:szCs w:val="27"/>
          <w:color w:val="auto"/>
        </w:rPr>
        <w:t>,</w:t>
      </w:r>
      <w:r>
        <w:rPr>
          <w:rFonts w:ascii="Arial" w:cs="Arial" w:eastAsia="Arial" w:hAnsi="Arial"/>
          <w:sz w:val="27"/>
          <w:szCs w:val="27"/>
          <w:color w:val="auto"/>
        </w:rPr>
        <w:t xml:space="preserve"> АД рекомендуется осторожно снизить и поддерживать на </w:t>
      </w:r>
      <w:r>
        <w:rPr>
          <w:rFonts w:ascii="Arial" w:cs="Arial" w:eastAsia="Arial" w:hAnsi="Arial"/>
          <w:sz w:val="27"/>
          <w:szCs w:val="27"/>
          <w:color w:val="auto"/>
        </w:rPr>
        <w:t>&lt;180/105</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течение как минимум </w:t>
      </w:r>
      <w:r>
        <w:rPr>
          <w:rFonts w:ascii="Arial" w:cs="Arial" w:eastAsia="Arial" w:hAnsi="Arial"/>
          <w:sz w:val="27"/>
          <w:szCs w:val="27"/>
          <w:color w:val="auto"/>
        </w:rPr>
        <w:t>24</w:t>
      </w:r>
      <w:r>
        <w:rPr>
          <w:rFonts w:ascii="Arial" w:cs="Arial" w:eastAsia="Arial" w:hAnsi="Arial"/>
          <w:sz w:val="27"/>
          <w:szCs w:val="27"/>
          <w:color w:val="auto"/>
        </w:rPr>
        <w:t xml:space="preserve"> часов после тромболизиса в связи с доказанными преимуществами в отношении прогноза неврологического восстановления </w:t>
      </w:r>
      <w:r>
        <w:rPr>
          <w:rFonts w:ascii="Arial" w:cs="Arial" w:eastAsia="Arial" w:hAnsi="Arial"/>
          <w:sz w:val="27"/>
          <w:szCs w:val="27"/>
          <w:color w:val="auto"/>
        </w:rPr>
        <w:t>[193, 196, 197].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3)</w:t>
      </w:r>
    </w:p>
    <w:p>
      <w:pPr>
        <w:spacing w:after="0" w:line="35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Пациентам с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220</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ДАД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которым не проводился тромболизис</w:t>
      </w:r>
      <w:r>
        <w:rPr>
          <w:rFonts w:ascii="Arial" w:cs="Arial" w:eastAsia="Arial" w:hAnsi="Arial"/>
          <w:sz w:val="27"/>
          <w:szCs w:val="27"/>
          <w:color w:val="auto"/>
        </w:rPr>
        <w:t>,</w:t>
      </w:r>
      <w:r>
        <w:rPr>
          <w:rFonts w:ascii="Arial" w:cs="Arial" w:eastAsia="Arial" w:hAnsi="Arial"/>
          <w:sz w:val="27"/>
          <w:szCs w:val="27"/>
          <w:color w:val="auto"/>
        </w:rPr>
        <w:t xml:space="preserve"> рекомендуется рассмотреть возможность целесообразности лекарственной терапии с целью снижения АД на </w:t>
      </w:r>
      <w:r>
        <w:rPr>
          <w:rFonts w:ascii="Arial" w:cs="Arial" w:eastAsia="Arial" w:hAnsi="Arial"/>
          <w:sz w:val="27"/>
          <w:szCs w:val="27"/>
          <w:color w:val="auto"/>
        </w:rPr>
        <w:t>15%</w:t>
      </w:r>
      <w:r>
        <w:rPr>
          <w:rFonts w:ascii="Arial" w:cs="Arial" w:eastAsia="Arial" w:hAnsi="Arial"/>
          <w:sz w:val="27"/>
          <w:szCs w:val="27"/>
          <w:color w:val="auto"/>
        </w:rPr>
        <w:t xml:space="preserve"> в течение первых суток после инсульта принимается на основании оценки клинической ситуации </w:t>
      </w:r>
      <w:r>
        <w:rPr>
          <w:rFonts w:ascii="Arial" w:cs="Arial" w:eastAsia="Arial" w:hAnsi="Arial"/>
          <w:sz w:val="27"/>
          <w:szCs w:val="27"/>
          <w:color w:val="auto"/>
        </w:rPr>
        <w:t>[21, 22, 193].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-1433830</wp:posOffset>
            </wp:positionV>
            <wp:extent cx="82550" cy="82550"/>
            <wp:wrapNone/>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7"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Пациентам с АГ</w:t>
      </w:r>
      <w:r>
        <w:rPr>
          <w:rFonts w:ascii="Arial" w:cs="Arial" w:eastAsia="Arial" w:hAnsi="Arial"/>
          <w:sz w:val="27"/>
          <w:szCs w:val="27"/>
          <w:color w:val="auto"/>
        </w:rPr>
        <w:t>,</w:t>
      </w:r>
      <w:r>
        <w:rPr>
          <w:rFonts w:ascii="Arial" w:cs="Arial" w:eastAsia="Arial" w:hAnsi="Arial"/>
          <w:sz w:val="27"/>
          <w:szCs w:val="27"/>
          <w:color w:val="auto"/>
        </w:rPr>
        <w:t xml:space="preserve"> перенесшим острое цереброваскулярное нарушение</w:t>
      </w:r>
      <w:r>
        <w:rPr>
          <w:rFonts w:ascii="Arial" w:cs="Arial" w:eastAsia="Arial" w:hAnsi="Arial"/>
          <w:sz w:val="27"/>
          <w:szCs w:val="27"/>
          <w:color w:val="auto"/>
        </w:rPr>
        <w:t>,</w:t>
      </w:r>
      <w:r>
        <w:rPr>
          <w:rFonts w:ascii="Arial" w:cs="Arial" w:eastAsia="Arial" w:hAnsi="Arial"/>
          <w:sz w:val="27"/>
          <w:szCs w:val="27"/>
          <w:color w:val="auto"/>
        </w:rPr>
        <w:t xml:space="preserve"> с целью сокращения риска повторного острого нарушения мозгового кровообращения </w:t>
      </w:r>
      <w:r>
        <w:rPr>
          <w:rFonts w:ascii="Arial" w:cs="Arial" w:eastAsia="Arial" w:hAnsi="Arial"/>
          <w:sz w:val="27"/>
          <w:szCs w:val="27"/>
          <w:color w:val="auto"/>
        </w:rPr>
        <w:t>(</w:t>
      </w:r>
      <w:r>
        <w:rPr>
          <w:rFonts w:ascii="Arial" w:cs="Arial" w:eastAsia="Arial" w:hAnsi="Arial"/>
          <w:sz w:val="27"/>
          <w:szCs w:val="27"/>
          <w:color w:val="auto"/>
        </w:rPr>
        <w:t>ОНМК</w:t>
      </w:r>
      <w:r>
        <w:rPr>
          <w:rFonts w:ascii="Arial" w:cs="Arial" w:eastAsia="Arial" w:hAnsi="Arial"/>
          <w:sz w:val="27"/>
          <w:szCs w:val="27"/>
          <w:color w:val="auto"/>
        </w:rPr>
        <w:t>)</w:t>
      </w:r>
      <w:r>
        <w:rPr>
          <w:rFonts w:ascii="Arial" w:cs="Arial" w:eastAsia="Arial" w:hAnsi="Arial"/>
          <w:sz w:val="27"/>
          <w:szCs w:val="27"/>
          <w:color w:val="auto"/>
        </w:rPr>
        <w:t xml:space="preserve"> назначение АГТ рекомендовано сразу после транзиторной ишемической атаки </w:t>
      </w:r>
      <w:r>
        <w:rPr>
          <w:rFonts w:ascii="Arial" w:cs="Arial" w:eastAsia="Arial" w:hAnsi="Arial"/>
          <w:sz w:val="27"/>
          <w:szCs w:val="27"/>
          <w:color w:val="auto"/>
        </w:rPr>
        <w:t>(</w:t>
      </w:r>
      <w:r>
        <w:rPr>
          <w:rFonts w:ascii="Arial" w:cs="Arial" w:eastAsia="Arial" w:hAnsi="Arial"/>
          <w:sz w:val="27"/>
          <w:szCs w:val="27"/>
          <w:color w:val="auto"/>
        </w:rPr>
        <w:t>ТИА</w:t>
      </w:r>
      <w:r>
        <w:rPr>
          <w:rFonts w:ascii="Arial" w:cs="Arial" w:eastAsia="Arial" w:hAnsi="Arial"/>
          <w:sz w:val="27"/>
          <w:szCs w:val="27"/>
          <w:color w:val="auto"/>
        </w:rPr>
        <w:t>)</w:t>
      </w:r>
      <w:r>
        <w:rPr>
          <w:rFonts w:ascii="Arial" w:cs="Arial" w:eastAsia="Arial" w:hAnsi="Arial"/>
          <w:sz w:val="27"/>
          <w:szCs w:val="27"/>
          <w:color w:val="auto"/>
        </w:rPr>
        <w:t xml:space="preserve"> и через несколько дней после ишемического инсульта </w:t>
      </w:r>
      <w:r>
        <w:rPr>
          <w:rFonts w:ascii="Arial" w:cs="Arial" w:eastAsia="Arial" w:hAnsi="Arial"/>
          <w:sz w:val="27"/>
          <w:szCs w:val="27"/>
          <w:color w:val="auto"/>
        </w:rPr>
        <w:t>[185, 198, 199].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7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ectPr>
          <w:pgSz w:w="11900" w:h="16840" w:orient="portrait"/>
          <w:cols w:equalWidth="0" w:num="1">
            <w:col w:w="9020"/>
          </w:cols>
          <w:pgMar w:left="1440" w:top="19" w:right="1440" w:bottom="0" w:gutter="0" w:footer="0" w:header="0"/>
        </w:sectPr>
      </w:pPr>
    </w:p>
    <w:bookmarkStart w:id="58" w:name="page59"/>
    <w:bookmarkEnd w:id="58"/>
    <w:p>
      <w:pPr>
        <w:jc w:val="both"/>
        <w:ind w:left="680" w:right="220"/>
        <w:spacing w:after="0" w:line="309" w:lineRule="auto"/>
        <w:rPr>
          <w:sz w:val="20"/>
          <w:szCs w:val="20"/>
          <w:color w:val="auto"/>
        </w:rPr>
      </w:pPr>
      <w:r>
        <w:rPr>
          <w:rFonts w:ascii="Arial" w:cs="Arial" w:eastAsia="Arial" w:hAnsi="Arial"/>
          <w:sz w:val="27"/>
          <w:szCs w:val="27"/>
          <w:color w:val="auto"/>
        </w:rPr>
        <w:t xml:space="preserve">Всем пациентам с АГ после ишемического инсульта или ТИА моложе </w:t>
      </w:r>
      <w:r>
        <w:rPr>
          <w:rFonts w:ascii="Arial" w:cs="Arial" w:eastAsia="Arial" w:hAnsi="Arial"/>
          <w:sz w:val="27"/>
          <w:szCs w:val="27"/>
          <w:color w:val="auto"/>
        </w:rPr>
        <w:t>65</w:t>
      </w:r>
      <w:r>
        <w:rPr>
          <w:rFonts w:ascii="Arial" w:cs="Arial" w:eastAsia="Arial" w:hAnsi="Arial"/>
          <w:sz w:val="27"/>
          <w:szCs w:val="27"/>
          <w:color w:val="auto"/>
        </w:rPr>
        <w:t xml:space="preserve"> лет и без ХБП рекомендуется снижать САД до целевых значений </w:t>
      </w:r>
      <w:r>
        <w:rPr>
          <w:rFonts w:ascii="Arial" w:cs="Arial" w:eastAsia="Arial" w:hAnsi="Arial"/>
          <w:sz w:val="27"/>
          <w:szCs w:val="27"/>
          <w:color w:val="auto"/>
        </w:rPr>
        <w:t>120–130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 связи с доказанными преимуществами в отношении снижения СС смертности </w:t>
      </w:r>
      <w:r>
        <w:rPr>
          <w:rFonts w:ascii="Arial" w:cs="Arial" w:eastAsia="Arial" w:hAnsi="Arial"/>
          <w:sz w:val="27"/>
          <w:szCs w:val="27"/>
          <w:color w:val="auto"/>
        </w:rPr>
        <w:t>[108,</w:t>
      </w:r>
      <w:r>
        <w:rPr>
          <w:rFonts w:ascii="Arial" w:cs="Arial" w:eastAsia="Arial" w:hAnsi="Arial"/>
          <w:sz w:val="27"/>
          <w:szCs w:val="27"/>
          <w:color w:val="auto"/>
        </w:rPr>
        <w:t xml:space="preserve"> </w:t>
      </w:r>
      <w:r>
        <w:rPr>
          <w:rFonts w:ascii="Arial" w:cs="Arial" w:eastAsia="Arial" w:hAnsi="Arial"/>
          <w:sz w:val="27"/>
          <w:szCs w:val="27"/>
          <w:color w:val="auto"/>
        </w:rPr>
        <w:t>185, 199, 200].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7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IIaB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АГТ</w:t>
      </w:r>
      <w:r>
        <w:rPr>
          <w:rFonts w:ascii="Arial" w:cs="Arial" w:eastAsia="Arial" w:hAnsi="Arial"/>
          <w:sz w:val="27"/>
          <w:szCs w:val="27"/>
          <w:color w:val="auto"/>
        </w:rPr>
        <w:t>,</w:t>
      </w:r>
      <w:r>
        <w:rPr>
          <w:rFonts w:ascii="Arial" w:cs="Arial" w:eastAsia="Arial" w:hAnsi="Arial"/>
          <w:sz w:val="27"/>
          <w:szCs w:val="27"/>
          <w:color w:val="auto"/>
        </w:rPr>
        <w:t xml:space="preserve"> направленная на снижение риска инсульта и рекомендованная всем пациентам с ЦВБ</w:t>
      </w:r>
      <w:r>
        <w:rPr>
          <w:rFonts w:ascii="Arial" w:cs="Arial" w:eastAsia="Arial" w:hAnsi="Arial"/>
          <w:sz w:val="27"/>
          <w:szCs w:val="27"/>
          <w:color w:val="auto"/>
        </w:rPr>
        <w:t>,</w:t>
      </w:r>
      <w:r>
        <w:rPr>
          <w:rFonts w:ascii="Arial" w:cs="Arial" w:eastAsia="Arial" w:hAnsi="Arial"/>
          <w:sz w:val="27"/>
          <w:szCs w:val="27"/>
          <w:color w:val="auto"/>
        </w:rPr>
        <w:t xml:space="preserve"> включает блокатор РААС в сочетании с АК или тиазидоподобным диуретиком </w:t>
      </w:r>
      <w:r>
        <w:rPr>
          <w:rFonts w:ascii="Arial" w:cs="Arial" w:eastAsia="Arial" w:hAnsi="Arial"/>
          <w:sz w:val="27"/>
          <w:szCs w:val="27"/>
          <w:color w:val="auto"/>
        </w:rPr>
        <w:t>[108,</w:t>
      </w:r>
      <w:r>
        <w:rPr>
          <w:rFonts w:ascii="Arial" w:cs="Arial" w:eastAsia="Arial" w:hAnsi="Arial"/>
          <w:sz w:val="27"/>
          <w:szCs w:val="27"/>
          <w:color w:val="auto"/>
        </w:rPr>
        <w:t xml:space="preserve"> </w:t>
      </w:r>
      <w:r>
        <w:rPr>
          <w:rFonts w:ascii="Arial" w:cs="Arial" w:eastAsia="Arial" w:hAnsi="Arial"/>
          <w:sz w:val="27"/>
          <w:szCs w:val="27"/>
          <w:color w:val="auto"/>
        </w:rPr>
        <w:t>153, 198].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25"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У пациентов АГ с ЦВБ</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дисциркуляторная</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 xml:space="preserve">энцефалопатия </w:t>
      </w:r>
      <w:r>
        <w:rPr>
          <w:rFonts w:ascii="Arial" w:cs="Arial" w:eastAsia="Arial" w:hAnsi="Arial"/>
          <w:sz w:val="25"/>
          <w:szCs w:val="25"/>
          <w:b w:val="1"/>
          <w:bCs w:val="1"/>
          <w:i w:val="1"/>
          <w:iCs w:val="1"/>
          <w:color w:val="auto"/>
        </w:rPr>
        <w:t>II–III</w:t>
      </w:r>
      <w:r>
        <w:rPr>
          <w:rFonts w:ascii="Arial" w:cs="Arial" w:eastAsia="Arial" w:hAnsi="Arial"/>
          <w:sz w:val="25"/>
          <w:szCs w:val="25"/>
          <w:b w:val="1"/>
          <w:bCs w:val="1"/>
          <w:i w:val="1"/>
          <w:iCs w:val="1"/>
          <w:color w:val="auto"/>
        </w:rPr>
        <w:t xml:space="preserve"> степени 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или ТИА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инсульт в анамнезе</w:t>
      </w:r>
      <w:r>
        <w:rPr>
          <w:rFonts w:ascii="Arial" w:cs="Arial" w:eastAsia="Arial" w:hAnsi="Arial"/>
          <w:sz w:val="25"/>
          <w:szCs w:val="25"/>
          <w:b w:val="1"/>
          <w:bCs w:val="1"/>
          <w:i w:val="1"/>
          <w:iCs w:val="1"/>
          <w:color w:val="auto"/>
        </w:rPr>
        <w:t>,</w:t>
      </w:r>
    </w:p>
    <w:p>
      <w:pPr>
        <w:spacing w:after="0" w:line="2"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b w:val="1"/>
          <w:bCs w:val="1"/>
          <w:i w:val="1"/>
          <w:iCs w:val="1"/>
          <w:color w:val="auto"/>
        </w:rPr>
        <w:t>гемодинамически значимый стеноз магистральных брахиоцефальных артерий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не следует резко снижать АД</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так как у части пациентов может быть плохая индивидуальная переносимость более низких уровней АД вследствие нарушения ауторегуляции сосудов головного мозга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У этих пациентов целесообразно применение этапной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ступенчатой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схемы снижения АД</w:t>
      </w:r>
      <w:r>
        <w:rPr>
          <w:rFonts w:ascii="Arial" w:cs="Arial" w:eastAsia="Arial" w:hAnsi="Arial"/>
          <w:sz w:val="27"/>
          <w:szCs w:val="27"/>
          <w:b w:val="1"/>
          <w:bCs w:val="1"/>
          <w:i w:val="1"/>
          <w:iCs w:val="1"/>
          <w:color w:val="auto"/>
        </w:rPr>
        <w:t>.</w:t>
      </w:r>
    </w:p>
    <w:p>
      <w:pPr>
        <w:spacing w:after="0" w:line="221"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3.6.7. </w:t>
      </w:r>
      <w:r>
        <w:rPr>
          <w:rFonts w:ascii="Arial" w:cs="Arial" w:eastAsia="Arial" w:hAnsi="Arial"/>
          <w:sz w:val="27"/>
          <w:szCs w:val="27"/>
          <w:b w:val="1"/>
          <w:bCs w:val="1"/>
          <w:color w:val="auto"/>
        </w:rPr>
        <w:t>Артериальная гипертензия у пациентов с</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заболеванием периферических артерий</w:t>
      </w:r>
    </w:p>
    <w:p>
      <w:pPr>
        <w:spacing w:after="0" w:line="179"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Пациентам с АГ в сочетании с периферическим атеросклерозом</w:t>
      </w:r>
      <w:r>
        <w:rPr>
          <w:rFonts w:ascii="Arial" w:cs="Arial" w:eastAsia="Arial" w:hAnsi="Arial"/>
          <w:sz w:val="27"/>
          <w:szCs w:val="27"/>
          <w:color w:val="auto"/>
        </w:rPr>
        <w:t>,</w:t>
      </w:r>
      <w:r>
        <w:rPr>
          <w:rFonts w:ascii="Arial" w:cs="Arial" w:eastAsia="Arial" w:hAnsi="Arial"/>
          <w:sz w:val="27"/>
          <w:szCs w:val="27"/>
          <w:color w:val="auto"/>
        </w:rPr>
        <w:t xml:space="preserve"> учитывая высокий риск инфаркта миокарда</w:t>
      </w:r>
      <w:r>
        <w:rPr>
          <w:rFonts w:ascii="Arial" w:cs="Arial" w:eastAsia="Arial" w:hAnsi="Arial"/>
          <w:sz w:val="27"/>
          <w:szCs w:val="27"/>
          <w:color w:val="auto"/>
        </w:rPr>
        <w:t>,</w:t>
      </w:r>
      <w:r>
        <w:rPr>
          <w:rFonts w:ascii="Arial" w:cs="Arial" w:eastAsia="Arial" w:hAnsi="Arial"/>
          <w:sz w:val="27"/>
          <w:szCs w:val="27"/>
          <w:color w:val="auto"/>
        </w:rPr>
        <w:t xml:space="preserve"> инсульта</w:t>
      </w:r>
      <w:r>
        <w:rPr>
          <w:rFonts w:ascii="Arial" w:cs="Arial" w:eastAsia="Arial" w:hAnsi="Arial"/>
          <w:sz w:val="27"/>
          <w:szCs w:val="27"/>
          <w:color w:val="auto"/>
        </w:rPr>
        <w:t>,</w:t>
      </w:r>
      <w:r>
        <w:rPr>
          <w:rFonts w:ascii="Arial" w:cs="Arial" w:eastAsia="Arial" w:hAnsi="Arial"/>
          <w:sz w:val="27"/>
          <w:szCs w:val="27"/>
          <w:color w:val="auto"/>
        </w:rPr>
        <w:t xml:space="preserve"> сердечной недостаточности и сердечно</w:t>
      </w:r>
      <w:r>
        <w:rPr>
          <w:rFonts w:ascii="Arial" w:cs="Arial" w:eastAsia="Arial" w:hAnsi="Arial"/>
          <w:sz w:val="27"/>
          <w:szCs w:val="27"/>
          <w:color w:val="auto"/>
        </w:rPr>
        <w:t>-</w:t>
      </w:r>
      <w:r>
        <w:rPr>
          <w:rFonts w:ascii="Arial" w:cs="Arial" w:eastAsia="Arial" w:hAnsi="Arial"/>
          <w:sz w:val="27"/>
          <w:szCs w:val="27"/>
          <w:color w:val="auto"/>
        </w:rPr>
        <w:t>сосудистой смерти</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назначение АГТ с достижением целевого АД </w:t>
      </w:r>
      <w:r>
        <w:rPr>
          <w:rFonts w:ascii="Arial" w:cs="Arial" w:eastAsia="Arial" w:hAnsi="Arial"/>
          <w:sz w:val="27"/>
          <w:szCs w:val="27"/>
          <w:color w:val="auto"/>
        </w:rPr>
        <w:t>&lt;140/90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 [21, 22, 107, 171, 201–203].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АГ в сочетании с атеросклерозом периферических артерий в качестве начальной терапии рекомендуется назначать комбинацию блокатора РААС и АК или диуретика </w:t>
      </w:r>
      <w:r>
        <w:rPr>
          <w:rFonts w:ascii="Arial" w:cs="Arial" w:eastAsia="Arial" w:hAnsi="Arial"/>
          <w:sz w:val="27"/>
          <w:szCs w:val="27"/>
          <w:color w:val="auto"/>
        </w:rPr>
        <w:t>[21, 22, 201, 202].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7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Пациентам с атеросклерозом сонных артерий рекомендуется назначать АК и блокаторы РААС</w:t>
      </w:r>
      <w:r>
        <w:rPr>
          <w:rFonts w:ascii="Arial" w:cs="Arial" w:eastAsia="Arial" w:hAnsi="Arial"/>
          <w:sz w:val="27"/>
          <w:szCs w:val="27"/>
          <w:color w:val="auto"/>
        </w:rPr>
        <w:t>,</w:t>
      </w:r>
      <w:r>
        <w:rPr>
          <w:rFonts w:ascii="Arial" w:cs="Arial" w:eastAsia="Arial" w:hAnsi="Arial"/>
          <w:sz w:val="27"/>
          <w:szCs w:val="27"/>
          <w:color w:val="auto"/>
        </w:rPr>
        <w:t xml:space="preserve"> так как препараты данных</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7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59" w:name="page60"/>
    <w:bookmarkEnd w:id="59"/>
    <w:p>
      <w:pPr>
        <w:spacing w:after="0" w:line="198"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групп более эффективно замедляют прогрессирование атеросклероза</w:t>
      </w:r>
      <w:r>
        <w:rPr>
          <w:rFonts w:ascii="Arial" w:cs="Arial" w:eastAsia="Arial" w:hAnsi="Arial"/>
          <w:sz w:val="27"/>
          <w:szCs w:val="27"/>
          <w:color w:val="auto"/>
        </w:rPr>
        <w:t>,</w:t>
      </w:r>
      <w:r>
        <w:rPr>
          <w:rFonts w:ascii="Arial" w:cs="Arial" w:eastAsia="Arial" w:hAnsi="Arial"/>
          <w:sz w:val="27"/>
          <w:szCs w:val="27"/>
          <w:color w:val="auto"/>
        </w:rPr>
        <w:t xml:space="preserve"> чем диуретики и ББ </w:t>
      </w:r>
      <w:r>
        <w:rPr>
          <w:rFonts w:ascii="Arial" w:cs="Arial" w:eastAsia="Arial" w:hAnsi="Arial"/>
          <w:sz w:val="27"/>
          <w:szCs w:val="27"/>
          <w:color w:val="auto"/>
        </w:rPr>
        <w:t>[21, 22, 201–205].</w:t>
      </w:r>
    </w:p>
    <w:p>
      <w:pPr>
        <w:spacing w:after="0" w:line="186" w:lineRule="exact"/>
        <w:rPr>
          <w:sz w:val="20"/>
          <w:szCs w:val="20"/>
          <w:color w:val="auto"/>
        </w:rPr>
      </w:pPr>
    </w:p>
    <w:p>
      <w:pPr>
        <w:ind w:left="74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62"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На основании данных РКИ установлено</w:t>
      </w:r>
      <w:r>
        <w:rPr>
          <w:rFonts w:ascii="Arial" w:cs="Arial" w:eastAsia="Arial" w:hAnsi="Arial"/>
          <w:sz w:val="23"/>
          <w:szCs w:val="23"/>
          <w:b w:val="1"/>
          <w:bCs w:val="1"/>
          <w:i w:val="1"/>
          <w:i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что</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контроль АГ замедляет прогрессирование атеросклероза сонных артерий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АК</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ИАПФ и их комбинация в этом случае более эффективны</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чем диуретики и ББ </w:t>
      </w:r>
      <w:r>
        <w:rPr>
          <w:rFonts w:ascii="Arial" w:cs="Arial" w:eastAsia="Arial" w:hAnsi="Arial"/>
          <w:sz w:val="23"/>
          <w:szCs w:val="23"/>
          <w:b w:val="1"/>
          <w:bCs w:val="1"/>
          <w:i w:val="1"/>
          <w:iCs w:val="1"/>
          <w:color w:val="auto"/>
        </w:rPr>
        <w:t>[204, 205].</w:t>
      </w:r>
      <w:r>
        <w:rPr>
          <w:rFonts w:ascii="Arial" w:cs="Arial" w:eastAsia="Arial" w:hAnsi="Arial"/>
          <w:sz w:val="23"/>
          <w:szCs w:val="23"/>
          <w:b w:val="1"/>
          <w:bCs w:val="1"/>
          <w:i w:val="1"/>
          <w:iCs w:val="1"/>
          <w:color w:val="auto"/>
        </w:rPr>
        <w:t xml:space="preserve"> Следует учитывать</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пациенты с каротидным атеросклерозом имеют высокий риск атероэмболического инсульта и СС осложнений</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 связи с чем АГТ должна сочетаться с назначением статинов и антитромбоцитарных препаратов</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Снижение АД у пациентов с двусторонним стенозом сонных артерий следует проводить осторожно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начиная с монотерапии и тщательно отслеживая побочные эффекты </w:t>
      </w:r>
      <w:r>
        <w:rPr>
          <w:rFonts w:ascii="Arial" w:cs="Arial" w:eastAsia="Arial" w:hAnsi="Arial"/>
          <w:sz w:val="23"/>
          <w:szCs w:val="23"/>
          <w:b w:val="1"/>
          <w:bCs w:val="1"/>
          <w:i w:val="1"/>
          <w:iCs w:val="1"/>
          <w:color w:val="auto"/>
        </w:rPr>
        <w:t>[21, 22].</w:t>
      </w:r>
    </w:p>
    <w:p>
      <w:pPr>
        <w:spacing w:after="0" w:line="174"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У пациентов с периферическим атеросклерозом рекомендуется рассмотреть возможность назначения ББ в качестве АГТ</w:t>
      </w:r>
      <w:r>
        <w:rPr>
          <w:rFonts w:ascii="Arial" w:cs="Arial" w:eastAsia="Arial" w:hAnsi="Arial"/>
          <w:sz w:val="27"/>
          <w:szCs w:val="27"/>
          <w:color w:val="auto"/>
        </w:rPr>
        <w:t>,</w:t>
      </w:r>
      <w:r>
        <w:rPr>
          <w:rFonts w:ascii="Arial" w:cs="Arial" w:eastAsia="Arial" w:hAnsi="Arial"/>
          <w:sz w:val="27"/>
          <w:szCs w:val="27"/>
          <w:color w:val="auto"/>
        </w:rPr>
        <w:t xml:space="preserve"> особенно при наличии показаний к их применению для снижения выраженности симптоматики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7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IIbC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3.6.8. </w:t>
      </w:r>
      <w:r>
        <w:rPr>
          <w:rFonts w:ascii="Arial" w:cs="Arial" w:eastAsia="Arial" w:hAnsi="Arial"/>
          <w:sz w:val="27"/>
          <w:szCs w:val="27"/>
          <w:b w:val="1"/>
          <w:bCs w:val="1"/>
          <w:color w:val="auto"/>
        </w:rPr>
        <w:t>Артериальная гипертензия у пациентов с</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заболеваниями легких</w:t>
      </w:r>
    </w:p>
    <w:p>
      <w:pPr>
        <w:spacing w:after="0" w:line="179"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АГ в сочетании с бронхиальной астмой </w:t>
      </w:r>
      <w:r>
        <w:rPr>
          <w:rFonts w:ascii="Arial" w:cs="Arial" w:eastAsia="Arial" w:hAnsi="Arial"/>
          <w:sz w:val="27"/>
          <w:szCs w:val="27"/>
          <w:color w:val="auto"/>
        </w:rPr>
        <w:t>(</w:t>
      </w:r>
      <w:r>
        <w:rPr>
          <w:rFonts w:ascii="Arial" w:cs="Arial" w:eastAsia="Arial" w:hAnsi="Arial"/>
          <w:sz w:val="27"/>
          <w:szCs w:val="27"/>
          <w:color w:val="auto"/>
        </w:rPr>
        <w:t>БА</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или ХОБЛ с целью достижения целевого уровня АД в качестве стартовой АГТ не рекомедовано назначение ББ</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назначение блокаторов РААС и АК </w:t>
      </w:r>
      <w:r>
        <w:rPr>
          <w:rFonts w:ascii="Arial" w:cs="Arial" w:eastAsia="Arial" w:hAnsi="Arial"/>
          <w:sz w:val="27"/>
          <w:szCs w:val="27"/>
          <w:color w:val="auto"/>
        </w:rPr>
        <w:t>[206–211].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Сочетание АГ с ХОБЛ 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или бронхиальной</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астмой обуславливает особенности проведения АГТ</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b w:val="1"/>
          <w:bCs w:val="1"/>
          <w:i w:val="1"/>
          <w:iCs w:val="1"/>
          <w:color w:val="auto"/>
        </w:rPr>
        <w:t>Пациентам с БА 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или ХОБЛ назначение петлевых и тиазидных диуретиков требует осторожности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 связи с высокой вероятностью развития гипокалиемии при их совместном применении с </w:t>
      </w:r>
      <w:r>
        <w:rPr>
          <w:rFonts w:ascii="Times New Roman" w:cs="Times New Roman" w:eastAsia="Times New Roman" w:hAnsi="Times New Roman"/>
          <w:sz w:val="27"/>
          <w:szCs w:val="27"/>
          <w:i w:val="1"/>
          <w:iCs w:val="1"/>
          <w:color w:val="auto"/>
        </w:rPr>
        <w:t>β</w:t>
      </w:r>
      <w:r>
        <w:rPr>
          <w:rFonts w:ascii="Arial" w:cs="Arial" w:eastAsia="Arial" w:hAnsi="Arial"/>
          <w:sz w:val="27"/>
          <w:szCs w:val="27"/>
          <w:b w:val="1"/>
          <w:bCs w:val="1"/>
          <w:i w:val="1"/>
          <w:iCs w:val="1"/>
          <w:color w:val="auto"/>
        </w:rPr>
        <w:t>2-</w:t>
      </w:r>
      <w:r>
        <w:rPr>
          <w:rFonts w:ascii="Arial" w:cs="Arial" w:eastAsia="Arial" w:hAnsi="Arial"/>
          <w:sz w:val="27"/>
          <w:szCs w:val="27"/>
          <w:b w:val="1"/>
          <w:bCs w:val="1"/>
          <w:i w:val="1"/>
          <w:iCs w:val="1"/>
          <w:color w:val="auto"/>
        </w:rPr>
        <w:t xml:space="preserve">агонистами и особенно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системными стероидами</w:t>
      </w:r>
      <w:r>
        <w:rPr>
          <w:rFonts w:ascii="Arial" w:cs="Arial" w:eastAsia="Arial" w:hAnsi="Arial"/>
          <w:sz w:val="27"/>
          <w:szCs w:val="27"/>
          <w:b w:val="1"/>
          <w:bCs w:val="1"/>
          <w:i w:val="1"/>
          <w:iCs w:val="1"/>
          <w:color w:val="auto"/>
        </w:rPr>
        <w:t>.</w:t>
      </w:r>
    </w:p>
    <w:p>
      <w:pPr>
        <w:sectPr>
          <w:pgSz w:w="11900" w:h="17038" w:orient="portrait"/>
          <w:cols w:equalWidth="0" w:num="1">
            <w:col w:w="9020"/>
          </w:cols>
          <w:pgMar w:left="1440" w:top="19" w:right="1440" w:bottom="0" w:gutter="0" w:footer="0" w:header="0"/>
        </w:sectPr>
      </w:pPr>
    </w:p>
    <w:p>
      <w:pPr>
        <w:spacing w:after="0" w:line="221" w:lineRule="exact"/>
        <w:rPr>
          <w:sz w:val="20"/>
          <w:szCs w:val="20"/>
          <w:color w:val="auto"/>
        </w:rPr>
      </w:pPr>
    </w:p>
    <w:p>
      <w:pPr>
        <w:jc w:val="both"/>
        <w:ind w:left="680" w:right="220" w:hanging="4"/>
        <w:spacing w:after="0" w:line="360" w:lineRule="auto"/>
        <w:tabs>
          <w:tab w:leader="none" w:pos="1170" w:val="left"/>
        </w:tabs>
        <w:numPr>
          <w:ilvl w:val="0"/>
          <w:numId w:val="42"/>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могут стать причиной развития бронхоспазма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особенно неселективные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связи с чем не должны рутинно назначаться пациентам с ХОБЛ и противопоказаны пациентам с БА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Ряд</w:t>
      </w:r>
    </w:p>
    <w:p>
      <w:pPr>
        <w:sectPr>
          <w:pgSz w:w="11900" w:h="17038" w:orient="portrait"/>
          <w:cols w:equalWidth="0" w:num="1">
            <w:col w:w="9020"/>
          </w:cols>
          <w:pgMar w:left="1440" w:top="19" w:right="1440" w:bottom="0" w:gutter="0" w:footer="0" w:header="0"/>
          <w:type w:val="continuous"/>
        </w:sectPr>
      </w:pPr>
    </w:p>
    <w:bookmarkStart w:id="60" w:name="page61"/>
    <w:bookmarkEnd w:id="60"/>
    <w:p>
      <w:pPr>
        <w:spacing w:after="0" w:line="192"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b w:val="1"/>
          <w:bCs w:val="1"/>
          <w:i w:val="1"/>
          <w:iCs w:val="1"/>
          <w:color w:val="auto"/>
        </w:rPr>
        <w:t>исследований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проведенных у ограниченного числа пациентов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показали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что применение небольших доз высокоселективных ББ не ухудшает и может даже несколько улучшать бронхиальную проходимость </w:t>
      </w:r>
      <w:r>
        <w:rPr>
          <w:rFonts w:ascii="Arial" w:cs="Arial" w:eastAsia="Arial" w:hAnsi="Arial"/>
          <w:sz w:val="27"/>
          <w:szCs w:val="27"/>
          <w:b w:val="1"/>
          <w:bCs w:val="1"/>
          <w:i w:val="1"/>
          <w:iCs w:val="1"/>
          <w:color w:val="auto"/>
        </w:rPr>
        <w:t>[210].</w:t>
      </w:r>
    </w:p>
    <w:p>
      <w:pPr>
        <w:spacing w:after="0" w:line="216" w:lineRule="exact"/>
        <w:rPr>
          <w:sz w:val="20"/>
          <w:szCs w:val="20"/>
          <w:color w:val="auto"/>
        </w:rPr>
      </w:pPr>
    </w:p>
    <w:p>
      <w:pPr>
        <w:jc w:val="both"/>
        <w:ind w:left="680" w:right="220"/>
        <w:spacing w:after="0" w:line="346" w:lineRule="auto"/>
        <w:rPr>
          <w:sz w:val="20"/>
          <w:szCs w:val="20"/>
          <w:color w:val="auto"/>
        </w:rPr>
      </w:pPr>
      <w:r>
        <w:rPr>
          <w:rFonts w:ascii="Arial" w:cs="Arial" w:eastAsia="Arial" w:hAnsi="Arial"/>
          <w:sz w:val="24"/>
          <w:szCs w:val="24"/>
          <w:b w:val="1"/>
          <w:bCs w:val="1"/>
          <w:i w:val="1"/>
          <w:iCs w:val="1"/>
          <w:color w:val="auto"/>
        </w:rPr>
        <w:t>Применение АК у пациентов с ХОБЛ 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или БА безопасно и даже способствует снижению гиперреактивности бронхов и повышению бронходилатирующего эффекта </w:t>
      </w:r>
      <w:r>
        <w:rPr>
          <w:rFonts w:ascii="Times New Roman" w:cs="Times New Roman" w:eastAsia="Times New Roman" w:hAnsi="Times New Roman"/>
          <w:sz w:val="24"/>
          <w:szCs w:val="24"/>
          <w:i w:val="1"/>
          <w:iCs w:val="1"/>
          <w:color w:val="auto"/>
        </w:rPr>
        <w:t>β</w:t>
      </w:r>
      <w:r>
        <w:rPr>
          <w:rFonts w:ascii="Arial" w:cs="Arial" w:eastAsia="Arial" w:hAnsi="Arial"/>
          <w:sz w:val="24"/>
          <w:szCs w:val="24"/>
          <w:b w:val="1"/>
          <w:bCs w:val="1"/>
          <w:i w:val="1"/>
          <w:iCs w:val="1"/>
          <w:color w:val="auto"/>
        </w:rPr>
        <w:t>2-</w:t>
      </w:r>
      <w:r>
        <w:rPr>
          <w:rFonts w:ascii="Arial" w:cs="Arial" w:eastAsia="Arial" w:hAnsi="Arial"/>
          <w:sz w:val="24"/>
          <w:szCs w:val="24"/>
          <w:b w:val="1"/>
          <w:bCs w:val="1"/>
          <w:i w:val="1"/>
          <w:iCs w:val="1"/>
          <w:color w:val="auto"/>
        </w:rPr>
        <w:t>агонистов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Таким образом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наравне с изменением образа жизни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в первую очередь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отказом от курения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 качестве стартовой АГТ предопочтительно использование блокаторов РААС и АК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недостижении целевого АД или наличии сопутствующих заболеваний с соответствующими показаниями можно рассмотреть добавление</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назначение тиазидных или тиазидоподобных диуретиков и высокоселективных ББ </w:t>
      </w:r>
      <w:r>
        <w:rPr>
          <w:rFonts w:ascii="Arial" w:cs="Arial" w:eastAsia="Arial" w:hAnsi="Arial"/>
          <w:sz w:val="24"/>
          <w:szCs w:val="24"/>
          <w:b w:val="1"/>
          <w:bCs w:val="1"/>
          <w:i w:val="1"/>
          <w:iCs w:val="1"/>
          <w:color w:val="auto"/>
        </w:rPr>
        <w:t>[21, 22].</w:t>
      </w:r>
    </w:p>
    <w:p>
      <w:pPr>
        <w:spacing w:after="0" w:line="192" w:lineRule="exact"/>
        <w:rPr>
          <w:sz w:val="20"/>
          <w:szCs w:val="20"/>
          <w:color w:val="auto"/>
        </w:rPr>
      </w:pPr>
    </w:p>
    <w:p>
      <w:pPr>
        <w:jc w:val="both"/>
        <w:ind w:left="680" w:right="220"/>
        <w:spacing w:after="0" w:line="323" w:lineRule="auto"/>
        <w:rPr>
          <w:sz w:val="20"/>
          <w:szCs w:val="20"/>
          <w:color w:val="auto"/>
        </w:rPr>
      </w:pPr>
      <w:r>
        <w:rPr>
          <w:rFonts w:ascii="Arial" w:cs="Arial" w:eastAsia="Arial" w:hAnsi="Arial"/>
          <w:sz w:val="26"/>
          <w:szCs w:val="26"/>
          <w:b w:val="1"/>
          <w:bCs w:val="1"/>
          <w:i w:val="1"/>
          <w:iCs w:val="1"/>
          <w:color w:val="auto"/>
        </w:rPr>
        <w:t xml:space="preserve">Пациенты с АГ с бронхообструктивной патологией часто применяют бронхолитические и глюкокортикостероидные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ГКС</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препараты</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Системное и длительное применение ГКС способствует повышению АД</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При применении ингаляционных ГКС подобные эффекты незначительны</w:t>
      </w:r>
      <w:r>
        <w:rPr>
          <w:rFonts w:ascii="Arial" w:cs="Arial" w:eastAsia="Arial" w:hAnsi="Arial"/>
          <w:sz w:val="26"/>
          <w:szCs w:val="26"/>
          <w:b w:val="1"/>
          <w:bCs w:val="1"/>
          <w:i w:val="1"/>
          <w:iCs w:val="1"/>
          <w:color w:val="auto"/>
        </w:rPr>
        <w:t>.</w:t>
      </w:r>
    </w:p>
    <w:p>
      <w:pPr>
        <w:spacing w:after="0" w:line="209"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3.6.9. </w:t>
      </w:r>
      <w:r>
        <w:rPr>
          <w:rFonts w:ascii="Arial" w:cs="Arial" w:eastAsia="Arial" w:hAnsi="Arial"/>
          <w:sz w:val="27"/>
          <w:szCs w:val="27"/>
          <w:b w:val="1"/>
          <w:bCs w:val="1"/>
          <w:color w:val="auto"/>
        </w:rPr>
        <w:t>Артериальная гипертензия и синдром</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обструктивного апноэ сна</w:t>
      </w:r>
    </w:p>
    <w:p>
      <w:pPr>
        <w:spacing w:after="0" w:line="179"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Для улучшения контроля АГ у пациентов с синдромом обструктивного апноэ во время сна </w:t>
      </w:r>
      <w:r>
        <w:rPr>
          <w:rFonts w:ascii="Arial" w:cs="Arial" w:eastAsia="Arial" w:hAnsi="Arial"/>
          <w:sz w:val="27"/>
          <w:szCs w:val="27"/>
          <w:color w:val="auto"/>
        </w:rPr>
        <w:t>(</w:t>
      </w:r>
      <w:r>
        <w:rPr>
          <w:rFonts w:ascii="Arial" w:cs="Arial" w:eastAsia="Arial" w:hAnsi="Arial"/>
          <w:sz w:val="27"/>
          <w:szCs w:val="27"/>
          <w:color w:val="auto"/>
        </w:rPr>
        <w:t>СОАС</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применение </w:t>
      </w:r>
      <w:r>
        <w:rPr>
          <w:rFonts w:ascii="Arial" w:cs="Arial" w:eastAsia="Arial" w:hAnsi="Arial"/>
          <w:sz w:val="27"/>
          <w:szCs w:val="27"/>
          <w:color w:val="auto"/>
        </w:rPr>
        <w:t>CPAP (“</w:t>
      </w:r>
      <w:r>
        <w:rPr>
          <w:rFonts w:ascii="Arial" w:cs="Arial" w:eastAsia="Arial" w:hAnsi="Arial"/>
          <w:sz w:val="27"/>
          <w:szCs w:val="27"/>
          <w:color w:val="auto"/>
        </w:rPr>
        <w:t>сипап</w:t>
      </w:r>
      <w:r>
        <w:rPr>
          <w:rFonts w:ascii="Arial" w:cs="Arial" w:eastAsia="Arial" w:hAnsi="Arial"/>
          <w:sz w:val="27"/>
          <w:szCs w:val="27"/>
          <w:color w:val="auto"/>
        </w:rPr>
        <w:t>”) —</w:t>
      </w:r>
      <w:r>
        <w:rPr>
          <w:rFonts w:ascii="Arial" w:cs="Arial" w:eastAsia="Arial" w:hAnsi="Arial"/>
          <w:sz w:val="27"/>
          <w:szCs w:val="27"/>
          <w:color w:val="auto"/>
        </w:rPr>
        <w:t xml:space="preserve"> терапии </w:t>
      </w:r>
      <w:r>
        <w:rPr>
          <w:rFonts w:ascii="Arial" w:cs="Arial" w:eastAsia="Arial" w:hAnsi="Arial"/>
          <w:sz w:val="27"/>
          <w:szCs w:val="27"/>
          <w:color w:val="auto"/>
        </w:rPr>
        <w:t>(</w:t>
      </w:r>
      <w:r>
        <w:rPr>
          <w:rFonts w:ascii="Arial" w:cs="Arial" w:eastAsia="Arial" w:hAnsi="Arial"/>
          <w:sz w:val="27"/>
          <w:szCs w:val="27"/>
          <w:color w:val="auto"/>
        </w:rPr>
        <w:t>от англ</w:t>
      </w:r>
      <w:r>
        <w:rPr>
          <w:rFonts w:ascii="Arial" w:cs="Arial" w:eastAsia="Arial" w:hAnsi="Arial"/>
          <w:sz w:val="27"/>
          <w:szCs w:val="27"/>
          <w:color w:val="auto"/>
        </w:rPr>
        <w:t>. Constant</w:t>
      </w:r>
      <w:r>
        <w:rPr>
          <w:rFonts w:ascii="Arial" w:cs="Arial" w:eastAsia="Arial" w:hAnsi="Arial"/>
          <w:sz w:val="27"/>
          <w:szCs w:val="27"/>
          <w:color w:val="auto"/>
        </w:rPr>
        <w:t xml:space="preserve"> </w:t>
      </w:r>
      <w:r>
        <w:rPr>
          <w:rFonts w:ascii="Arial" w:cs="Arial" w:eastAsia="Arial" w:hAnsi="Arial"/>
          <w:sz w:val="27"/>
          <w:szCs w:val="27"/>
          <w:color w:val="auto"/>
        </w:rPr>
        <w:t xml:space="preserve">Positive Airway Pressure), </w:t>
      </w:r>
      <w:r>
        <w:rPr>
          <w:rFonts w:ascii="Arial" w:cs="Arial" w:eastAsia="Arial" w:hAnsi="Arial"/>
          <w:sz w:val="27"/>
          <w:szCs w:val="27"/>
          <w:color w:val="auto"/>
        </w:rPr>
        <w:t>заключающейся в создании</w:t>
      </w:r>
      <w:r>
        <w:rPr>
          <w:rFonts w:ascii="Arial" w:cs="Arial" w:eastAsia="Arial" w:hAnsi="Arial"/>
          <w:sz w:val="27"/>
          <w:szCs w:val="27"/>
          <w:color w:val="auto"/>
        </w:rPr>
        <w:t xml:space="preserve"> </w:t>
      </w:r>
      <w:r>
        <w:rPr>
          <w:rFonts w:ascii="Arial" w:cs="Arial" w:eastAsia="Arial" w:hAnsi="Arial"/>
          <w:sz w:val="27"/>
          <w:szCs w:val="27"/>
          <w:color w:val="auto"/>
        </w:rPr>
        <w:t>непрерывного положительного давления в дыхательных путях аппаратным методом</w:t>
      </w:r>
      <w:r>
        <w:rPr>
          <w:rFonts w:ascii="Arial" w:cs="Arial" w:eastAsia="Arial" w:hAnsi="Arial"/>
          <w:sz w:val="27"/>
          <w:szCs w:val="27"/>
          <w:color w:val="auto"/>
        </w:rPr>
        <w:t>) [21].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52"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СОАС характеризуется периодическим</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спадением верхних дыхательных путей на уровне глотки и прекращением легочной вентиляции при сохраняющихся дыхательных усилиях во время сна с последовательным снижением насыщения кислородом крови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грубой фрагментацией сна и выраженной дневной сонливостью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При СОАС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особенно тяжелой степени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индекс апноэ</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гипопноэ </w:t>
      </w:r>
      <w:r>
        <w:rPr>
          <w:rFonts w:ascii="Arial" w:cs="Arial" w:eastAsia="Arial" w:hAnsi="Arial"/>
          <w:sz w:val="23"/>
          <w:szCs w:val="23"/>
          <w:b w:val="1"/>
          <w:bCs w:val="1"/>
          <w:i w:val="1"/>
          <w:iCs w:val="1"/>
          <w:color w:val="auto"/>
        </w:rPr>
        <w:t>&gt;30),</w:t>
      </w:r>
      <w:r>
        <w:rPr>
          <w:rFonts w:ascii="Arial" w:cs="Arial" w:eastAsia="Arial" w:hAnsi="Arial"/>
          <w:sz w:val="23"/>
          <w:szCs w:val="23"/>
          <w:b w:val="1"/>
          <w:bCs w:val="1"/>
          <w:i w:val="1"/>
          <w:iCs w:val="1"/>
          <w:color w:val="auto"/>
        </w:rPr>
        <w:t xml:space="preserve"> происходит активация СНС</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приводит к повышению или недостаточному снижению АД в ночные часы</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развитию эндотелиальной дисфункции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оксидативного стресса и увеличению риска развития ССО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На наличие СОАС должны быть</w:t>
      </w:r>
    </w:p>
    <w:p>
      <w:pPr>
        <w:sectPr>
          <w:pgSz w:w="11900" w:h="17032" w:orient="portrait"/>
          <w:cols w:equalWidth="0" w:num="1">
            <w:col w:w="9020"/>
          </w:cols>
          <w:pgMar w:left="1440" w:top="19" w:right="1440" w:bottom="0" w:gutter="0" w:footer="0" w:header="0"/>
        </w:sectPr>
      </w:pPr>
    </w:p>
    <w:bookmarkStart w:id="61" w:name="page62"/>
    <w:bookmarkEnd w:id="61"/>
    <w:p>
      <w:pPr>
        <w:spacing w:after="0" w:line="156" w:lineRule="exact"/>
        <w:rPr>
          <w:sz w:val="20"/>
          <w:szCs w:val="20"/>
          <w:color w:val="auto"/>
        </w:rPr>
      </w:pPr>
    </w:p>
    <w:p>
      <w:pPr>
        <w:jc w:val="both"/>
        <w:ind w:left="680" w:right="220"/>
        <w:spacing w:after="0" w:line="332" w:lineRule="auto"/>
        <w:rPr>
          <w:sz w:val="20"/>
          <w:szCs w:val="20"/>
          <w:color w:val="auto"/>
        </w:rPr>
      </w:pPr>
      <w:r>
        <w:rPr>
          <w:rFonts w:ascii="Arial" w:cs="Arial" w:eastAsia="Arial" w:hAnsi="Arial"/>
          <w:sz w:val="25"/>
          <w:szCs w:val="25"/>
          <w:b w:val="1"/>
          <w:bCs w:val="1"/>
          <w:i w:val="1"/>
          <w:iCs w:val="1"/>
          <w:color w:val="auto"/>
        </w:rPr>
        <w:t>обследованы пациенты с АГ с ожирением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резистентностью к АГТ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 которых по результатам СМАД имеется недостаточное снижение или повышение АД в ночные часы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Признаками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позволяющими заподозрить СОАС</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являются</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беспокойный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неосвежающий</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сон</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учащенное ночное мочеиспускание</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дневная</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сонливость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разбитость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утренние головные боли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хроническая усталость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снижение памяти и внимания</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громкий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прерывистый храп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остановки дыхания во сне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увеличение массы тела и снижение потенции</w:t>
      </w:r>
      <w:r>
        <w:rPr>
          <w:rFonts w:ascii="Arial" w:cs="Arial" w:eastAsia="Arial" w:hAnsi="Arial"/>
          <w:sz w:val="25"/>
          <w:szCs w:val="25"/>
          <w:b w:val="1"/>
          <w:bCs w:val="1"/>
          <w:i w:val="1"/>
          <w:iCs w:val="1"/>
          <w:color w:val="auto"/>
        </w:rPr>
        <w:t>.</w:t>
      </w:r>
    </w:p>
    <w:p>
      <w:pPr>
        <w:spacing w:after="0" w:line="203"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6"/>
          <w:szCs w:val="26"/>
          <w:b w:val="1"/>
          <w:bCs w:val="1"/>
          <w:i w:val="1"/>
          <w:iCs w:val="1"/>
          <w:color w:val="auto"/>
        </w:rPr>
        <w:t xml:space="preserve">Для скрининга СОАС можно использовать опросник шкалы сонливости по Эпфорт </w:t>
      </w:r>
      <w:r>
        <w:rPr>
          <w:rFonts w:ascii="Arial" w:cs="Arial" w:eastAsia="Arial" w:hAnsi="Arial"/>
          <w:sz w:val="26"/>
          <w:szCs w:val="26"/>
          <w:b w:val="1"/>
          <w:bCs w:val="1"/>
          <w:i w:val="1"/>
          <w:iCs w:val="1"/>
          <w:color w:val="auto"/>
        </w:rPr>
        <w:t>(Epworth Sleepiness Scale) (</w:t>
      </w:r>
      <w:r>
        <w:rPr>
          <w:rFonts w:ascii="Arial" w:cs="Arial" w:eastAsia="Arial" w:hAnsi="Arial"/>
          <w:sz w:val="26"/>
          <w:szCs w:val="26"/>
          <w:b w:val="1"/>
          <w:bCs w:val="1"/>
          <w:i w:val="1"/>
          <w:iCs w:val="1"/>
          <w:color w:val="auto"/>
        </w:rPr>
        <w:t>Таблица П</w:t>
      </w:r>
      <w:r>
        <w:rPr>
          <w:rFonts w:ascii="Arial" w:cs="Arial" w:eastAsia="Arial" w:hAnsi="Arial"/>
          <w:sz w:val="26"/>
          <w:szCs w:val="26"/>
          <w:b w:val="1"/>
          <w:bCs w:val="1"/>
          <w:i w:val="1"/>
          <w:iCs w:val="1"/>
          <w:color w:val="auto"/>
        </w:rPr>
        <w:t>5,</w:t>
      </w:r>
      <w:r>
        <w:rPr>
          <w:rFonts w:ascii="Arial" w:cs="Arial" w:eastAsia="Arial" w:hAnsi="Arial"/>
          <w:sz w:val="26"/>
          <w:szCs w:val="26"/>
          <w:b w:val="1"/>
          <w:bCs w:val="1"/>
          <w:i w:val="1"/>
          <w:iCs w:val="1"/>
          <w:color w:val="auto"/>
        </w:rPr>
        <w:t xml:space="preserve"> Приложение Г</w:t>
      </w:r>
      <w:r>
        <w:rPr>
          <w:rFonts w:ascii="Arial" w:cs="Arial" w:eastAsia="Arial" w:hAnsi="Arial"/>
          <w:sz w:val="26"/>
          <w:szCs w:val="26"/>
          <w:b w:val="1"/>
          <w:bCs w:val="1"/>
          <w:i w:val="1"/>
          <w:iCs w:val="1"/>
          <w:color w:val="auto"/>
        </w:rPr>
        <w:t>3),</w:t>
      </w:r>
      <w:r>
        <w:rPr>
          <w:rFonts w:ascii="Arial" w:cs="Arial" w:eastAsia="Arial" w:hAnsi="Arial"/>
          <w:sz w:val="26"/>
          <w:szCs w:val="26"/>
          <w:b w:val="1"/>
          <w:bCs w:val="1"/>
          <w:i w:val="1"/>
          <w:iCs w:val="1"/>
          <w:color w:val="auto"/>
        </w:rPr>
        <w:t xml:space="preserve"> компьютерную пульсоксиметрию</w:t>
      </w:r>
      <w:r>
        <w:rPr>
          <w:rFonts w:ascii="Arial" w:cs="Arial" w:eastAsia="Arial" w:hAnsi="Arial"/>
          <w:sz w:val="26"/>
          <w:szCs w:val="26"/>
          <w:b w:val="1"/>
          <w:bCs w:val="1"/>
          <w:i w:val="1"/>
          <w:iCs w:val="1"/>
          <w:color w:val="auto"/>
        </w:rPr>
        <w:t>.</w:t>
      </w:r>
    </w:p>
    <w:p>
      <w:pPr>
        <w:spacing w:after="0" w:line="192" w:lineRule="exact"/>
        <w:rPr>
          <w:sz w:val="20"/>
          <w:szCs w:val="20"/>
          <w:color w:val="auto"/>
        </w:rPr>
      </w:pPr>
    </w:p>
    <w:p>
      <w:pPr>
        <w:jc w:val="both"/>
        <w:ind w:left="680" w:right="220"/>
        <w:spacing w:after="0" w:line="327" w:lineRule="auto"/>
        <w:rPr>
          <w:sz w:val="20"/>
          <w:szCs w:val="20"/>
          <w:color w:val="auto"/>
        </w:rPr>
      </w:pPr>
      <w:r>
        <w:rPr>
          <w:rFonts w:ascii="Arial" w:cs="Arial" w:eastAsia="Arial" w:hAnsi="Arial"/>
          <w:sz w:val="26"/>
          <w:szCs w:val="26"/>
          <w:b w:val="1"/>
          <w:bCs w:val="1"/>
          <w:i w:val="1"/>
          <w:iCs w:val="1"/>
          <w:color w:val="auto"/>
        </w:rPr>
        <w:t>Для постановки диагноза и оценки степени тяжести СОАС проводится респираторное или кардиореспираторное мониторирование</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Золотой стандарт выявления СОАС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полисомнографическое исследование</w:t>
      </w:r>
      <w:r>
        <w:rPr>
          <w:rFonts w:ascii="Arial" w:cs="Arial" w:eastAsia="Arial" w:hAnsi="Arial"/>
          <w:sz w:val="26"/>
          <w:szCs w:val="26"/>
          <w:b w:val="1"/>
          <w:bCs w:val="1"/>
          <w:i w:val="1"/>
          <w:iCs w:val="1"/>
          <w:color w:val="auto"/>
        </w:rPr>
        <w:t>.</w:t>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Лечение пациентов с СОАС включает снижение веса у пациентов</w:t>
      </w:r>
    </w:p>
    <w:p>
      <w:pPr>
        <w:spacing w:after="0" w:line="126" w:lineRule="exact"/>
        <w:rPr>
          <w:sz w:val="20"/>
          <w:szCs w:val="20"/>
          <w:color w:val="auto"/>
        </w:rPr>
      </w:pPr>
    </w:p>
    <w:p>
      <w:pPr>
        <w:jc w:val="both"/>
        <w:ind w:left="680" w:right="220" w:hanging="4"/>
        <w:spacing w:after="0" w:line="339" w:lineRule="auto"/>
        <w:tabs>
          <w:tab w:leader="none" w:pos="936" w:val="left"/>
        </w:tabs>
        <w:numPr>
          <w:ilvl w:val="0"/>
          <w:numId w:val="43"/>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ожирением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отказ от курения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приема транквилизаторов и снотворных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 также проведение мероприятий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направленных на обеспечение свободного носового дыхания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Основной метод лечения пациентов с СОАС </w:t>
      </w:r>
      <w:r>
        <w:rPr>
          <w:rFonts w:ascii="Arial" w:cs="Arial" w:eastAsia="Arial" w:hAnsi="Arial"/>
          <w:sz w:val="24"/>
          <w:szCs w:val="24"/>
          <w:b w:val="1"/>
          <w:bCs w:val="1"/>
          <w:i w:val="1"/>
          <w:iCs w:val="1"/>
          <w:color w:val="auto"/>
        </w:rPr>
        <w:t>— CPAP</w:t>
      </w:r>
      <w:r>
        <w:rPr>
          <w:rFonts w:ascii="Arial" w:cs="Arial" w:eastAsia="Arial" w:hAnsi="Arial"/>
          <w:sz w:val="24"/>
          <w:szCs w:val="24"/>
          <w:b w:val="1"/>
          <w:bCs w:val="1"/>
          <w:i w:val="1"/>
          <w:iCs w:val="1"/>
          <w:color w:val="auto"/>
        </w:rPr>
        <w:t xml:space="preserve"> терапия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создание постоянного положительного давления воздуха в</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 xml:space="preserve">дыхательных путях </w:t>
      </w:r>
      <w:r>
        <w:rPr>
          <w:rFonts w:ascii="Arial" w:cs="Arial" w:eastAsia="Arial" w:hAnsi="Arial"/>
          <w:sz w:val="24"/>
          <w:szCs w:val="24"/>
          <w:b w:val="1"/>
          <w:bCs w:val="1"/>
          <w:i w:val="1"/>
          <w:iCs w:val="1"/>
          <w:color w:val="auto"/>
        </w:rPr>
        <w:t>— Continuous Positive Airways Pressure).</w:t>
      </w:r>
      <w:r>
        <w:rPr>
          <w:rFonts w:ascii="Arial" w:cs="Arial" w:eastAsia="Arial" w:hAnsi="Arial"/>
          <w:sz w:val="24"/>
          <w:szCs w:val="24"/>
          <w:b w:val="1"/>
          <w:bCs w:val="1"/>
          <w:i w:val="1"/>
          <w:iCs w:val="1"/>
          <w:color w:val="auto"/>
        </w:rPr>
        <w:t xml:space="preserve"> При</w:t>
      </w:r>
    </w:p>
    <w:p>
      <w:pPr>
        <w:spacing w:after="0" w:line="2" w:lineRule="exact"/>
        <w:rPr>
          <w:rFonts w:ascii="Arial" w:cs="Arial" w:eastAsia="Arial" w:hAnsi="Arial"/>
          <w:sz w:val="24"/>
          <w:szCs w:val="24"/>
          <w:b w:val="1"/>
          <w:bCs w:val="1"/>
          <w:i w:val="1"/>
          <w:iCs w:val="1"/>
          <w:color w:val="auto"/>
        </w:rPr>
      </w:pPr>
    </w:p>
    <w:p>
      <w:pPr>
        <w:jc w:val="both"/>
        <w:ind w:left="680" w:right="220"/>
        <w:spacing w:after="0" w:line="339" w:lineRule="auto"/>
        <w:rPr>
          <w:rFonts w:ascii="Arial" w:cs="Arial" w:eastAsia="Arial" w:hAnsi="Arial"/>
          <w:sz w:val="24"/>
          <w:szCs w:val="24"/>
          <w:b w:val="1"/>
          <w:bCs w:val="1"/>
          <w:i w:val="1"/>
          <w:iCs w:val="1"/>
          <w:color w:val="auto"/>
        </w:rPr>
      </w:pPr>
      <w:r>
        <w:rPr>
          <w:rFonts w:ascii="Arial" w:cs="Arial" w:eastAsia="Arial" w:hAnsi="Arial"/>
          <w:sz w:val="25"/>
          <w:szCs w:val="25"/>
          <w:b w:val="1"/>
          <w:bCs w:val="1"/>
          <w:i w:val="1"/>
          <w:iCs w:val="1"/>
          <w:color w:val="auto"/>
        </w:rPr>
        <w:t xml:space="preserve">CPAP </w:t>
      </w:r>
      <w:r>
        <w:rPr>
          <w:rFonts w:ascii="Arial" w:cs="Arial" w:eastAsia="Arial" w:hAnsi="Arial"/>
          <w:sz w:val="25"/>
          <w:szCs w:val="25"/>
          <w:b w:val="1"/>
          <w:bCs w:val="1"/>
          <w:i w:val="1"/>
          <w:iCs w:val="1"/>
          <w:color w:val="auto"/>
        </w:rPr>
        <w:t>терапии поток нагнетаемого под давлением воздуха</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предотвращает спадение верхних дыхательных путей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Для СРАР терапии применяются аппараты с индивидуальными режимами вентиляции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обеспечивающими максимально эффективное их использование </w:t>
      </w:r>
      <w:r>
        <w:rPr>
          <w:rFonts w:ascii="Arial" w:cs="Arial" w:eastAsia="Arial" w:hAnsi="Arial"/>
          <w:sz w:val="25"/>
          <w:szCs w:val="25"/>
          <w:b w:val="1"/>
          <w:bCs w:val="1"/>
          <w:i w:val="1"/>
          <w:iCs w:val="1"/>
          <w:color w:val="auto"/>
        </w:rPr>
        <w:t>[212].</w:t>
      </w:r>
    </w:p>
    <w:p>
      <w:pPr>
        <w:spacing w:after="0" w:line="191"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3.6.10. </w:t>
      </w:r>
      <w:r>
        <w:rPr>
          <w:rFonts w:ascii="Arial" w:cs="Arial" w:eastAsia="Arial" w:hAnsi="Arial"/>
          <w:sz w:val="27"/>
          <w:szCs w:val="27"/>
          <w:b w:val="1"/>
          <w:bCs w:val="1"/>
          <w:color w:val="auto"/>
        </w:rPr>
        <w:t>Артериальная гипертензия в периоперационном</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периоде</w:t>
      </w:r>
    </w:p>
    <w:p>
      <w:pPr>
        <w:spacing w:after="0" w:line="179"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При впервые выявленной АГ перед плановым хирургическим вмешательством рекомендуется провести обследование в объеме</w:t>
      </w:r>
      <w:r>
        <w:rPr>
          <w:rFonts w:ascii="Arial" w:cs="Arial" w:eastAsia="Arial" w:hAnsi="Arial"/>
          <w:sz w:val="27"/>
          <w:szCs w:val="27"/>
          <w:color w:val="auto"/>
        </w:rPr>
        <w:t>,</w:t>
      </w:r>
      <w:r>
        <w:rPr>
          <w:rFonts w:ascii="Arial" w:cs="Arial" w:eastAsia="Arial" w:hAnsi="Arial"/>
          <w:sz w:val="27"/>
          <w:szCs w:val="27"/>
          <w:color w:val="auto"/>
        </w:rPr>
        <w:t xml:space="preserve"> предусмотренном п</w:t>
      </w:r>
      <w:r>
        <w:rPr>
          <w:rFonts w:ascii="Arial" w:cs="Arial" w:eastAsia="Arial" w:hAnsi="Arial"/>
          <w:sz w:val="27"/>
          <w:szCs w:val="27"/>
          <w:color w:val="auto"/>
        </w:rPr>
        <w:t>. 2</w:t>
      </w:r>
      <w:r>
        <w:rPr>
          <w:rFonts w:ascii="Arial" w:cs="Arial" w:eastAsia="Arial" w:hAnsi="Arial"/>
          <w:sz w:val="27"/>
          <w:szCs w:val="27"/>
          <w:color w:val="auto"/>
        </w:rPr>
        <w:t xml:space="preserve"> данных рекомендаций</w:t>
      </w:r>
      <w:r>
        <w:rPr>
          <w:rFonts w:ascii="Arial" w:cs="Arial" w:eastAsia="Arial" w:hAnsi="Arial"/>
          <w:sz w:val="27"/>
          <w:szCs w:val="27"/>
          <w:color w:val="auto"/>
        </w:rPr>
        <w:t>,</w:t>
      </w:r>
      <w:r>
        <w:rPr>
          <w:rFonts w:ascii="Arial" w:cs="Arial" w:eastAsia="Arial" w:hAnsi="Arial"/>
          <w:sz w:val="27"/>
          <w:szCs w:val="27"/>
          <w:color w:val="auto"/>
        </w:rPr>
        <w:t xml:space="preserve"> с целью выявления ПОМ и оценки </w:t>
      </w:r>
      <w:r>
        <w:rPr>
          <w:rFonts w:ascii="Arial" w:cs="Arial" w:eastAsia="Arial" w:hAnsi="Arial"/>
          <w:sz w:val="27"/>
          <w:szCs w:val="27"/>
          <w:color w:val="auto"/>
        </w:rPr>
        <w:t>CC</w:t>
      </w:r>
      <w:r>
        <w:rPr>
          <w:rFonts w:ascii="Arial" w:cs="Arial" w:eastAsia="Arial" w:hAnsi="Arial"/>
          <w:sz w:val="27"/>
          <w:szCs w:val="27"/>
          <w:color w:val="auto"/>
        </w:rPr>
        <w:t xml:space="preserve"> риска </w:t>
      </w:r>
      <w:r>
        <w:rPr>
          <w:rFonts w:ascii="Arial" w:cs="Arial" w:eastAsia="Arial" w:hAnsi="Arial"/>
          <w:sz w:val="27"/>
          <w:szCs w:val="27"/>
          <w:color w:val="auto"/>
        </w:rPr>
        <w:t>[21].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АГ рекомендуется избегать существенных колебаний АД </w:t>
      </w:r>
      <w:r>
        <w:rPr>
          <w:rFonts w:ascii="Arial" w:cs="Arial" w:eastAsia="Arial" w:hAnsi="Arial"/>
          <w:sz w:val="27"/>
          <w:szCs w:val="27"/>
          <w:color w:val="auto"/>
        </w:rPr>
        <w:t>(</w:t>
      </w:r>
      <w:r>
        <w:rPr>
          <w:rFonts w:ascii="Arial" w:cs="Arial" w:eastAsia="Arial" w:hAnsi="Arial"/>
          <w:sz w:val="27"/>
          <w:szCs w:val="27"/>
          <w:color w:val="auto"/>
        </w:rPr>
        <w:t xml:space="preserve">более </w:t>
      </w:r>
      <w:r>
        <w:rPr>
          <w:rFonts w:ascii="Arial" w:cs="Arial" w:eastAsia="Arial" w:hAnsi="Arial"/>
          <w:sz w:val="27"/>
          <w:szCs w:val="27"/>
          <w:color w:val="auto"/>
        </w:rPr>
        <w:t>10%)</w:t>
      </w:r>
      <w:r>
        <w:rPr>
          <w:rFonts w:ascii="Arial" w:cs="Arial" w:eastAsia="Arial" w:hAnsi="Arial"/>
          <w:sz w:val="27"/>
          <w:szCs w:val="27"/>
          <w:color w:val="auto"/>
        </w:rPr>
        <w:t xml:space="preserve"> в периоперационном периоде </w:t>
      </w:r>
      <w:r>
        <w:rPr>
          <w:rFonts w:ascii="Arial" w:cs="Arial" w:eastAsia="Arial" w:hAnsi="Arial"/>
          <w:sz w:val="27"/>
          <w:szCs w:val="27"/>
          <w:color w:val="auto"/>
        </w:rPr>
        <w:t>[21,</w:t>
      </w:r>
      <w:r>
        <w:rPr>
          <w:rFonts w:ascii="Arial" w:cs="Arial" w:eastAsia="Arial" w:hAnsi="Arial"/>
          <w:sz w:val="27"/>
          <w:szCs w:val="27"/>
          <w:color w:val="auto"/>
        </w:rPr>
        <w:t xml:space="preserve"> </w:t>
      </w:r>
      <w:r>
        <w:rPr>
          <w:rFonts w:ascii="Arial" w:cs="Arial" w:eastAsia="Arial" w:hAnsi="Arial"/>
          <w:sz w:val="27"/>
          <w:szCs w:val="27"/>
          <w:color w:val="auto"/>
        </w:rPr>
        <w:t>213, 214].</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8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996" w:orient="portrait"/>
          <w:cols w:equalWidth="0" w:num="1">
            <w:col w:w="9020"/>
          </w:cols>
          <w:pgMar w:left="1440" w:top="19" w:right="1440" w:bottom="0" w:gutter="0" w:footer="0" w:header="0"/>
        </w:sectPr>
      </w:pPr>
    </w:p>
    <w:bookmarkStart w:id="62" w:name="page63"/>
    <w:bookmarkEnd w:id="62"/>
    <w:p>
      <w:pPr>
        <w:spacing w:after="0" w:line="12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52"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Можно не откладывать некардиохирургическое</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 xml:space="preserve">вмешательство у пациентов с АГ </w:t>
      </w:r>
      <w:r>
        <w:rPr>
          <w:rFonts w:ascii="Arial" w:cs="Arial" w:eastAsia="Arial" w:hAnsi="Arial"/>
          <w:sz w:val="25"/>
          <w:szCs w:val="25"/>
          <w:b w:val="1"/>
          <w:bCs w:val="1"/>
          <w:i w:val="1"/>
          <w:iCs w:val="1"/>
          <w:color w:val="auto"/>
        </w:rPr>
        <w:t>1–2-</w:t>
      </w:r>
      <w:r>
        <w:rPr>
          <w:rFonts w:ascii="Arial" w:cs="Arial" w:eastAsia="Arial" w:hAnsi="Arial"/>
          <w:sz w:val="25"/>
          <w:szCs w:val="25"/>
          <w:b w:val="1"/>
          <w:bCs w:val="1"/>
          <w:i w:val="1"/>
          <w:iCs w:val="1"/>
          <w:color w:val="auto"/>
        </w:rPr>
        <w:t xml:space="preserve">й степени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САД</w:t>
      </w:r>
      <w:r>
        <w:rPr>
          <w:rFonts w:ascii="Arial" w:cs="Arial" w:eastAsia="Arial" w:hAnsi="Arial"/>
          <w:sz w:val="25"/>
          <w:szCs w:val="25"/>
          <w:b w:val="1"/>
          <w:bCs w:val="1"/>
          <w:i w:val="1"/>
          <w:iCs w:val="1"/>
          <w:color w:val="auto"/>
        </w:rPr>
        <w:t>&lt;180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 ДАД </w:t>
      </w:r>
      <w:r>
        <w:rPr>
          <w:rFonts w:ascii="Arial" w:cs="Arial" w:eastAsia="Arial" w:hAnsi="Arial"/>
          <w:sz w:val="25"/>
          <w:szCs w:val="25"/>
          <w:b w:val="1"/>
          <w:bCs w:val="1"/>
          <w:i w:val="1"/>
          <w:iCs w:val="1"/>
          <w:color w:val="auto"/>
        </w:rPr>
        <w:t>&lt;110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w:t>
      </w:r>
      <w:r>
        <w:rPr>
          <w:rFonts w:ascii="Arial" w:cs="Arial" w:eastAsia="Arial" w:hAnsi="Arial"/>
          <w:sz w:val="25"/>
          <w:szCs w:val="25"/>
          <w:color w:val="auto"/>
        </w:rPr>
        <w:t>[21].</w:t>
      </w:r>
    </w:p>
    <w:p>
      <w:pPr>
        <w:spacing w:after="0" w:line="17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Пациентам с АГ</w:t>
      </w:r>
      <w:r>
        <w:rPr>
          <w:rFonts w:ascii="Arial" w:cs="Arial" w:eastAsia="Arial" w:hAnsi="Arial"/>
          <w:sz w:val="27"/>
          <w:szCs w:val="27"/>
          <w:color w:val="auto"/>
        </w:rPr>
        <w:t>,</w:t>
      </w:r>
      <w:r>
        <w:rPr>
          <w:rFonts w:ascii="Arial" w:cs="Arial" w:eastAsia="Arial" w:hAnsi="Arial"/>
          <w:sz w:val="27"/>
          <w:szCs w:val="27"/>
          <w:color w:val="auto"/>
        </w:rPr>
        <w:t xml:space="preserve"> длительно получающим ББ</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продолжить терапию в периоперационном периоде для контроля АД</w:t>
      </w:r>
      <w:r>
        <w:rPr>
          <w:rFonts w:ascii="Arial" w:cs="Arial" w:eastAsia="Arial" w:hAnsi="Arial"/>
          <w:sz w:val="27"/>
          <w:szCs w:val="27"/>
          <w:color w:val="auto"/>
        </w:rPr>
        <w:t>. [215, 216].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8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3)</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Резкая отмена ББ или препаратов центрального действия </w:t>
      </w:r>
      <w:r>
        <w:rPr>
          <w:rFonts w:ascii="Arial" w:cs="Arial" w:eastAsia="Arial" w:hAnsi="Arial"/>
          <w:sz w:val="27"/>
          <w:szCs w:val="27"/>
          <w:color w:val="auto"/>
        </w:rPr>
        <w:t>(</w:t>
      </w:r>
      <w:r>
        <w:rPr>
          <w:rFonts w:ascii="Arial" w:cs="Arial" w:eastAsia="Arial" w:hAnsi="Arial"/>
          <w:sz w:val="27"/>
          <w:szCs w:val="27"/>
          <w:color w:val="auto"/>
        </w:rPr>
        <w:t>например</w:t>
      </w:r>
      <w:r>
        <w:rPr>
          <w:rFonts w:ascii="Arial" w:cs="Arial" w:eastAsia="Arial" w:hAnsi="Arial"/>
          <w:sz w:val="27"/>
          <w:szCs w:val="27"/>
          <w:color w:val="auto"/>
        </w:rPr>
        <w:t xml:space="preserve">, </w:t>
      </w:r>
      <w:r>
        <w:rPr>
          <w:rFonts w:ascii="Arial" w:cs="Arial" w:eastAsia="Arial" w:hAnsi="Arial"/>
          <w:sz w:val="27"/>
          <w:szCs w:val="27"/>
          <w:color w:val="auto"/>
        </w:rPr>
        <w:t>клонидина</w:t>
      </w:r>
      <w:r>
        <w:rPr>
          <w:rFonts w:ascii="Arial" w:cs="Arial" w:eastAsia="Arial" w:hAnsi="Arial"/>
          <w:sz w:val="27"/>
          <w:szCs w:val="27"/>
          <w:color w:val="auto"/>
        </w:rPr>
        <w:t xml:space="preserve">) </w:t>
      </w:r>
      <w:r>
        <w:rPr>
          <w:rFonts w:ascii="Arial" w:cs="Arial" w:eastAsia="Arial" w:hAnsi="Arial"/>
          <w:sz w:val="27"/>
          <w:szCs w:val="27"/>
          <w:color w:val="auto"/>
        </w:rPr>
        <w:t>потенциально опасна и не</w:t>
      </w:r>
      <w:r>
        <w:rPr>
          <w:rFonts w:ascii="Arial" w:cs="Arial" w:eastAsia="Arial" w:hAnsi="Arial"/>
          <w:sz w:val="27"/>
          <w:szCs w:val="27"/>
          <w:color w:val="auto"/>
        </w:rPr>
        <w:t xml:space="preserve"> </w:t>
      </w:r>
      <w:r>
        <w:rPr>
          <w:rFonts w:ascii="Arial" w:cs="Arial" w:eastAsia="Arial" w:hAnsi="Arial"/>
          <w:sz w:val="27"/>
          <w:szCs w:val="27"/>
          <w:color w:val="auto"/>
        </w:rPr>
        <w:t xml:space="preserve">рекомендуется </w:t>
      </w:r>
      <w:r>
        <w:rPr>
          <w:rFonts w:ascii="Arial" w:cs="Arial" w:eastAsia="Arial" w:hAnsi="Arial"/>
          <w:sz w:val="27"/>
          <w:szCs w:val="27"/>
          <w:color w:val="auto"/>
        </w:rPr>
        <w:t>[217, 218].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8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АГ перед некардиохирургическим вмешательством для снижения риска интраоперационной гипотензии рекомендуется временная отмена блокаторов РААС </w:t>
      </w:r>
      <w:r>
        <w:rPr>
          <w:rFonts w:ascii="Arial" w:cs="Arial" w:eastAsia="Arial" w:hAnsi="Arial"/>
          <w:sz w:val="27"/>
          <w:szCs w:val="27"/>
          <w:color w:val="auto"/>
        </w:rPr>
        <w:t>[21].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8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IIaC (</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3.6.11. </w:t>
      </w:r>
      <w:r>
        <w:rPr>
          <w:rFonts w:ascii="Arial" w:cs="Arial" w:eastAsia="Arial" w:hAnsi="Arial"/>
          <w:sz w:val="27"/>
          <w:szCs w:val="27"/>
          <w:b w:val="1"/>
          <w:bCs w:val="1"/>
          <w:color w:val="auto"/>
        </w:rPr>
        <w:t>Резистентная артериальная гипертензия</w:t>
      </w:r>
    </w:p>
    <w:p>
      <w:pPr>
        <w:spacing w:after="0" w:line="350" w:lineRule="exact"/>
        <w:rPr>
          <w:sz w:val="20"/>
          <w:szCs w:val="20"/>
          <w:color w:val="auto"/>
        </w:rPr>
      </w:pPr>
    </w:p>
    <w:p>
      <w:pPr>
        <w:ind w:left="680"/>
        <w:spacing w:after="0"/>
        <w:tabs>
          <w:tab w:leader="none" w:pos="2740" w:val="left"/>
          <w:tab w:leader="none" w:pos="3260" w:val="left"/>
          <w:tab w:leader="none" w:pos="4700" w:val="left"/>
          <w:tab w:leader="none" w:pos="5380" w:val="left"/>
          <w:tab w:leader="none" w:pos="6280" w:val="left"/>
          <w:tab w:leader="none" w:pos="8360" w:val="left"/>
        </w:tabs>
        <w:rPr>
          <w:sz w:val="20"/>
          <w:szCs w:val="20"/>
          <w:color w:val="auto"/>
        </w:rPr>
      </w:pPr>
      <w:r>
        <w:rPr>
          <w:rFonts w:ascii="Arial" w:cs="Arial" w:eastAsia="Arial" w:hAnsi="Arial"/>
          <w:sz w:val="27"/>
          <w:szCs w:val="27"/>
          <w:color w:val="auto"/>
        </w:rPr>
        <w:t>Резистентная</w:t>
        <w:tab/>
        <w:t>к</w:t>
        <w:tab/>
        <w:t>терапии</w:t>
        <w:tab/>
        <w:t>АГ</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т</w:t>
      </w:r>
      <w:r>
        <w:rPr>
          <w:rFonts w:ascii="Arial" w:cs="Arial" w:eastAsia="Arial" w:hAnsi="Arial"/>
          <w:sz w:val="27"/>
          <w:szCs w:val="27"/>
          <w:color w:val="auto"/>
        </w:rPr>
        <w:t>.</w:t>
      </w:r>
      <w:r>
        <w:rPr>
          <w:rFonts w:ascii="Arial" w:cs="Arial" w:eastAsia="Arial" w:hAnsi="Arial"/>
          <w:sz w:val="27"/>
          <w:szCs w:val="27"/>
          <w:color w:val="auto"/>
        </w:rPr>
        <w:t>е</w:t>
      </w:r>
      <w:r>
        <w:rPr>
          <w:rFonts w:ascii="Arial" w:cs="Arial" w:eastAsia="Arial" w:hAnsi="Arial"/>
          <w:sz w:val="27"/>
          <w:szCs w:val="27"/>
          <w:color w:val="auto"/>
        </w:rPr>
        <w:t>.</w:t>
      </w:r>
      <w:r>
        <w:rPr>
          <w:sz w:val="20"/>
          <w:szCs w:val="20"/>
          <w:color w:val="auto"/>
        </w:rPr>
        <w:tab/>
      </w:r>
      <w:r>
        <w:rPr>
          <w:rFonts w:ascii="Arial" w:cs="Arial" w:eastAsia="Arial" w:hAnsi="Arial"/>
          <w:sz w:val="27"/>
          <w:szCs w:val="27"/>
          <w:color w:val="auto"/>
        </w:rPr>
        <w:t>резистентная</w:t>
        <w:tab/>
        <w:t>АГ</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устанавливается на основании следующих критериев</w:t>
      </w:r>
      <w:r>
        <w:rPr>
          <w:rFonts w:ascii="Arial" w:cs="Arial" w:eastAsia="Arial" w:hAnsi="Arial"/>
          <w:sz w:val="27"/>
          <w:szCs w:val="27"/>
          <w:color w:val="auto"/>
        </w:rPr>
        <w:t>:</w:t>
      </w:r>
    </w:p>
    <w:p>
      <w:pPr>
        <w:spacing w:after="0" w:line="350" w:lineRule="exact"/>
        <w:rPr>
          <w:sz w:val="20"/>
          <w:szCs w:val="20"/>
          <w:color w:val="auto"/>
        </w:rPr>
      </w:pPr>
    </w:p>
    <w:p>
      <w:pPr>
        <w:jc w:val="both"/>
        <w:ind w:left="680" w:right="220" w:hanging="4"/>
        <w:spacing w:after="0" w:line="308" w:lineRule="auto"/>
        <w:tabs>
          <w:tab w:leader="none" w:pos="959" w:val="left"/>
        </w:tabs>
        <w:numPr>
          <w:ilvl w:val="0"/>
          <w:numId w:val="44"/>
        </w:numPr>
        <w:rPr>
          <w:rFonts w:ascii="Arial" w:cs="Arial" w:eastAsia="Arial" w:hAnsi="Arial"/>
          <w:sz w:val="27"/>
          <w:szCs w:val="27"/>
          <w:color w:val="auto"/>
        </w:rPr>
      </w:pPr>
      <w:r>
        <w:rPr>
          <w:rFonts w:ascii="Arial" w:cs="Arial" w:eastAsia="Arial" w:hAnsi="Arial"/>
          <w:sz w:val="27"/>
          <w:szCs w:val="27"/>
          <w:color w:val="auto"/>
        </w:rPr>
        <w:t xml:space="preserve">соблюдение мероприятий по изменению образа жизни и лечение с использованием оптимальных </w:t>
      </w:r>
      <w:r>
        <w:rPr>
          <w:rFonts w:ascii="Arial" w:cs="Arial" w:eastAsia="Arial" w:hAnsi="Arial"/>
          <w:sz w:val="27"/>
          <w:szCs w:val="27"/>
          <w:color w:val="auto"/>
        </w:rPr>
        <w:t>(</w:t>
      </w:r>
      <w:r>
        <w:rPr>
          <w:rFonts w:ascii="Arial" w:cs="Arial" w:eastAsia="Arial" w:hAnsi="Arial"/>
          <w:sz w:val="27"/>
          <w:szCs w:val="27"/>
          <w:color w:val="auto"/>
        </w:rPr>
        <w:t>или максимальных переносимых</w:t>
      </w:r>
      <w:r>
        <w:rPr>
          <w:rFonts w:ascii="Arial" w:cs="Arial" w:eastAsia="Arial" w:hAnsi="Arial"/>
          <w:sz w:val="27"/>
          <w:szCs w:val="27"/>
          <w:color w:val="auto"/>
        </w:rPr>
        <w:t>)</w:t>
      </w:r>
      <w:r>
        <w:rPr>
          <w:rFonts w:ascii="Arial" w:cs="Arial" w:eastAsia="Arial" w:hAnsi="Arial"/>
          <w:sz w:val="27"/>
          <w:szCs w:val="27"/>
          <w:color w:val="auto"/>
        </w:rPr>
        <w:t xml:space="preserve"> доз трех и более лекарственных препаратов</w:t>
      </w:r>
      <w:r>
        <w:rPr>
          <w:rFonts w:ascii="Arial" w:cs="Arial" w:eastAsia="Arial" w:hAnsi="Arial"/>
          <w:sz w:val="27"/>
          <w:szCs w:val="27"/>
          <w:color w:val="auto"/>
        </w:rPr>
        <w:t>,</w:t>
      </w:r>
      <w:r>
        <w:rPr>
          <w:rFonts w:ascii="Arial" w:cs="Arial" w:eastAsia="Arial" w:hAnsi="Arial"/>
          <w:sz w:val="27"/>
          <w:szCs w:val="27"/>
          <w:color w:val="auto"/>
        </w:rPr>
        <w:t xml:space="preserve"> включая ингибитор АПФ или БРА</w:t>
      </w:r>
      <w:r>
        <w:rPr>
          <w:rFonts w:ascii="Arial" w:cs="Arial" w:eastAsia="Arial" w:hAnsi="Arial"/>
          <w:sz w:val="27"/>
          <w:szCs w:val="27"/>
          <w:color w:val="auto"/>
        </w:rPr>
        <w:t>,</w:t>
      </w:r>
      <w:r>
        <w:rPr>
          <w:rFonts w:ascii="Arial" w:cs="Arial" w:eastAsia="Arial" w:hAnsi="Arial"/>
          <w:sz w:val="27"/>
          <w:szCs w:val="27"/>
          <w:color w:val="auto"/>
        </w:rPr>
        <w:t xml:space="preserve"> АК и диуретик не приводит к снижению САД и ДАД до значений </w:t>
      </w:r>
      <w:r>
        <w:rPr>
          <w:rFonts w:ascii="Arial" w:cs="Arial" w:eastAsia="Arial" w:hAnsi="Arial"/>
          <w:sz w:val="27"/>
          <w:szCs w:val="27"/>
          <w:color w:val="auto"/>
        </w:rPr>
        <w:t>&lt;140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или </w:t>
      </w:r>
      <w:r>
        <w:rPr>
          <w:rFonts w:ascii="Arial" w:cs="Arial" w:eastAsia="Arial" w:hAnsi="Arial"/>
          <w:sz w:val="27"/>
          <w:szCs w:val="27"/>
          <w:color w:val="auto"/>
        </w:rPr>
        <w:t>&lt;90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соответственно</w:t>
      </w:r>
      <w:r>
        <w:rPr>
          <w:rFonts w:ascii="Arial" w:cs="Arial" w:eastAsia="Arial" w:hAnsi="Arial"/>
          <w:sz w:val="27"/>
          <w:szCs w:val="27"/>
          <w:color w:val="auto"/>
        </w:rPr>
        <w:t>;</w:t>
      </w:r>
    </w:p>
    <w:p>
      <w:pPr>
        <w:spacing w:after="0" w:line="220" w:lineRule="exact"/>
        <w:rPr>
          <w:rFonts w:ascii="Arial" w:cs="Arial" w:eastAsia="Arial" w:hAnsi="Arial"/>
          <w:sz w:val="27"/>
          <w:szCs w:val="27"/>
          <w:color w:val="auto"/>
        </w:rPr>
      </w:pPr>
    </w:p>
    <w:p>
      <w:pPr>
        <w:ind w:left="680" w:right="220" w:hanging="4"/>
        <w:spacing w:after="0" w:line="334" w:lineRule="auto"/>
        <w:tabs>
          <w:tab w:leader="none" w:pos="869" w:val="left"/>
        </w:tabs>
        <w:numPr>
          <w:ilvl w:val="0"/>
          <w:numId w:val="44"/>
        </w:numPr>
        <w:rPr>
          <w:rFonts w:ascii="Arial" w:cs="Arial" w:eastAsia="Arial" w:hAnsi="Arial"/>
          <w:sz w:val="27"/>
          <w:szCs w:val="27"/>
          <w:color w:val="auto"/>
        </w:rPr>
      </w:pPr>
      <w:r>
        <w:rPr>
          <w:rFonts w:ascii="Arial" w:cs="Arial" w:eastAsia="Arial" w:hAnsi="Arial"/>
          <w:sz w:val="27"/>
          <w:szCs w:val="27"/>
          <w:color w:val="auto"/>
        </w:rPr>
        <w:t>неадекватность контроля АД подтверждена с помощью СМАД и</w:t>
      </w:r>
      <w:r>
        <w:rPr>
          <w:rFonts w:ascii="Arial" w:cs="Arial" w:eastAsia="Arial" w:hAnsi="Arial"/>
          <w:sz w:val="27"/>
          <w:szCs w:val="27"/>
          <w:color w:val="auto"/>
        </w:rPr>
        <w:t>/</w:t>
      </w:r>
      <w:r>
        <w:rPr>
          <w:rFonts w:ascii="Arial" w:cs="Arial" w:eastAsia="Arial" w:hAnsi="Arial"/>
          <w:sz w:val="27"/>
          <w:szCs w:val="27"/>
          <w:color w:val="auto"/>
        </w:rPr>
        <w:t>или ДМАД</w:t>
      </w:r>
      <w:r>
        <w:rPr>
          <w:rFonts w:ascii="Arial" w:cs="Arial" w:eastAsia="Arial" w:hAnsi="Arial"/>
          <w:sz w:val="27"/>
          <w:szCs w:val="27"/>
          <w:color w:val="auto"/>
        </w:rPr>
        <w:t>;</w:t>
      </w:r>
    </w:p>
    <w:p>
      <w:pPr>
        <w:spacing w:after="0" w:line="186" w:lineRule="exact"/>
        <w:rPr>
          <w:rFonts w:ascii="Arial" w:cs="Arial" w:eastAsia="Arial" w:hAnsi="Arial"/>
          <w:sz w:val="27"/>
          <w:szCs w:val="27"/>
          <w:color w:val="auto"/>
        </w:rPr>
      </w:pPr>
    </w:p>
    <w:p>
      <w:pPr>
        <w:ind w:left="920" w:hanging="244"/>
        <w:spacing w:after="0"/>
        <w:tabs>
          <w:tab w:leader="none" w:pos="920" w:val="left"/>
        </w:tabs>
        <w:numPr>
          <w:ilvl w:val="0"/>
          <w:numId w:val="44"/>
        </w:numPr>
        <w:rPr>
          <w:rFonts w:ascii="Arial" w:cs="Arial" w:eastAsia="Arial" w:hAnsi="Arial"/>
          <w:sz w:val="27"/>
          <w:szCs w:val="27"/>
          <w:color w:val="auto"/>
        </w:rPr>
      </w:pPr>
      <w:r>
        <w:rPr>
          <w:rFonts w:ascii="Arial" w:cs="Arial" w:eastAsia="Arial" w:hAnsi="Arial"/>
          <w:sz w:val="27"/>
          <w:szCs w:val="27"/>
          <w:color w:val="auto"/>
        </w:rPr>
        <w:t>подтверждена приверженность пациента к лечению</w:t>
      </w:r>
    </w:p>
    <w:p>
      <w:pPr>
        <w:spacing w:after="0" w:line="349" w:lineRule="exact"/>
        <w:rPr>
          <w:rFonts w:ascii="Arial" w:cs="Arial" w:eastAsia="Arial" w:hAnsi="Arial"/>
          <w:sz w:val="27"/>
          <w:szCs w:val="27"/>
          <w:color w:val="auto"/>
        </w:rPr>
      </w:pPr>
    </w:p>
    <w:p>
      <w:pPr>
        <w:ind w:left="680" w:right="220" w:hanging="4"/>
        <w:spacing w:after="0" w:line="334" w:lineRule="auto"/>
        <w:tabs>
          <w:tab w:leader="none" w:pos="1035" w:val="left"/>
        </w:tabs>
        <w:numPr>
          <w:ilvl w:val="0"/>
          <w:numId w:val="44"/>
        </w:numPr>
        <w:rPr>
          <w:rFonts w:ascii="Arial" w:cs="Arial" w:eastAsia="Arial" w:hAnsi="Arial"/>
          <w:sz w:val="27"/>
          <w:szCs w:val="27"/>
          <w:color w:val="auto"/>
        </w:rPr>
      </w:pPr>
      <w:r>
        <w:rPr>
          <w:rFonts w:ascii="Arial" w:cs="Arial" w:eastAsia="Arial" w:hAnsi="Arial"/>
          <w:sz w:val="27"/>
          <w:szCs w:val="27"/>
          <w:color w:val="auto"/>
        </w:rPr>
        <w:t>исключены причины псевдорезистентности и причины вторичной АГ</w:t>
      </w:r>
      <w:r>
        <w:rPr>
          <w:rFonts w:ascii="Arial" w:cs="Arial" w:eastAsia="Arial" w:hAnsi="Arial"/>
          <w:sz w:val="27"/>
          <w:szCs w:val="27"/>
          <w:color w:val="auto"/>
        </w:rPr>
        <w:t>.</w:t>
      </w:r>
    </w:p>
    <w:p>
      <w:pPr>
        <w:spacing w:after="0" w:line="186"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color w:val="auto"/>
        </w:rPr>
        <w:t>Прежде чем диагностировать резистентную АГ</w:t>
      </w:r>
      <w:r>
        <w:rPr>
          <w:rFonts w:ascii="Arial" w:cs="Arial" w:eastAsia="Arial" w:hAnsi="Arial"/>
          <w:sz w:val="27"/>
          <w:szCs w:val="27"/>
          <w:color w:val="auto"/>
        </w:rPr>
        <w:t>,</w:t>
      </w:r>
      <w:r>
        <w:rPr>
          <w:rFonts w:ascii="Arial" w:cs="Arial" w:eastAsia="Arial" w:hAnsi="Arial"/>
          <w:sz w:val="27"/>
          <w:szCs w:val="27"/>
          <w:color w:val="auto"/>
        </w:rPr>
        <w:t xml:space="preserve"> необходимо исключить причины псевдорезистентности</w:t>
      </w:r>
      <w:r>
        <w:rPr>
          <w:rFonts w:ascii="Arial" w:cs="Arial" w:eastAsia="Arial" w:hAnsi="Arial"/>
          <w:sz w:val="27"/>
          <w:szCs w:val="27"/>
          <w:color w:val="auto"/>
        </w:rPr>
        <w:t>:</w:t>
      </w:r>
    </w:p>
    <w:p>
      <w:pPr>
        <w:sectPr>
          <w:pgSz w:w="11900" w:h="16960" w:orient="portrait"/>
          <w:cols w:equalWidth="0" w:num="1">
            <w:col w:w="9020"/>
          </w:cols>
          <w:pgMar w:left="1440" w:top="19" w:right="1440" w:bottom="0" w:gutter="0" w:footer="0" w:header="0"/>
        </w:sectPr>
      </w:pPr>
    </w:p>
    <w:bookmarkStart w:id="63" w:name="page64"/>
    <w:bookmarkEnd w:id="63"/>
    <w:p>
      <w:pPr>
        <w:spacing w:after="0" w:line="176" w:lineRule="exact"/>
        <w:rPr>
          <w:sz w:val="20"/>
          <w:szCs w:val="20"/>
          <w:color w:val="auto"/>
        </w:rPr>
      </w:pPr>
    </w:p>
    <w:p>
      <w:pPr>
        <w:jc w:val="both"/>
        <w:ind w:left="680" w:right="220" w:hanging="4"/>
        <w:spacing w:after="0" w:line="301" w:lineRule="auto"/>
        <w:tabs>
          <w:tab w:leader="none" w:pos="1480" w:val="left"/>
        </w:tabs>
        <w:numPr>
          <w:ilvl w:val="0"/>
          <w:numId w:val="45"/>
        </w:numPr>
        <w:rPr>
          <w:rFonts w:ascii="Arial" w:cs="Arial" w:eastAsia="Arial" w:hAnsi="Arial"/>
          <w:sz w:val="27"/>
          <w:szCs w:val="27"/>
          <w:color w:val="auto"/>
        </w:rPr>
      </w:pPr>
      <w:r>
        <w:rPr>
          <w:rFonts w:ascii="Arial" w:cs="Arial" w:eastAsia="Arial" w:hAnsi="Arial"/>
          <w:sz w:val="27"/>
          <w:szCs w:val="27"/>
          <w:color w:val="auto"/>
        </w:rPr>
        <w:t>низкая приверженность к назначенной терапии является частой причиной псевдорезистентности</w:t>
      </w:r>
      <w:r>
        <w:rPr>
          <w:rFonts w:ascii="Arial" w:cs="Arial" w:eastAsia="Arial" w:hAnsi="Arial"/>
          <w:sz w:val="27"/>
          <w:szCs w:val="27"/>
          <w:color w:val="auto"/>
        </w:rPr>
        <w:t>,</w:t>
      </w:r>
      <w:r>
        <w:rPr>
          <w:rFonts w:ascii="Arial" w:cs="Arial" w:eastAsia="Arial" w:hAnsi="Arial"/>
          <w:sz w:val="27"/>
          <w:szCs w:val="27"/>
          <w:color w:val="auto"/>
        </w:rPr>
        <w:t xml:space="preserve"> она выявляется у </w:t>
      </w:r>
      <w:r>
        <w:rPr>
          <w:rFonts w:ascii="Times New Roman" w:cs="Times New Roman" w:eastAsia="Times New Roman" w:hAnsi="Times New Roman"/>
          <w:sz w:val="27"/>
          <w:szCs w:val="27"/>
          <w:color w:val="auto"/>
        </w:rPr>
        <w:t>≤</w:t>
      </w:r>
      <w:r>
        <w:rPr>
          <w:rFonts w:ascii="Arial" w:cs="Arial" w:eastAsia="Arial" w:hAnsi="Arial"/>
          <w:sz w:val="27"/>
          <w:szCs w:val="27"/>
          <w:color w:val="auto"/>
        </w:rPr>
        <w:t>50%</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пациентов</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которых обследовали с помощью методов</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прямого мониторинга контроля приема препаратов</w:t>
      </w:r>
      <w:r>
        <w:rPr>
          <w:rFonts w:ascii="Arial" w:cs="Arial" w:eastAsia="Arial" w:hAnsi="Arial"/>
          <w:sz w:val="27"/>
          <w:szCs w:val="27"/>
          <w:color w:val="auto"/>
        </w:rPr>
        <w:t>,</w:t>
      </w:r>
      <w:r>
        <w:rPr>
          <w:rFonts w:ascii="Arial" w:cs="Arial" w:eastAsia="Arial" w:hAnsi="Arial"/>
          <w:sz w:val="27"/>
          <w:szCs w:val="27"/>
          <w:color w:val="auto"/>
        </w:rPr>
        <w:t xml:space="preserve"> этот показатель прямо зависит от количества назначенных таблеток</w:t>
      </w:r>
    </w:p>
    <w:p>
      <w:pPr>
        <w:ind w:left="680"/>
        <w:spacing w:after="0"/>
        <w:rPr>
          <w:rFonts w:ascii="Arial" w:cs="Arial" w:eastAsia="Arial" w:hAnsi="Arial"/>
          <w:sz w:val="27"/>
          <w:szCs w:val="27"/>
          <w:color w:val="auto"/>
        </w:rPr>
      </w:pPr>
      <w:r>
        <w:rPr>
          <w:rFonts w:ascii="Arial" w:cs="Arial" w:eastAsia="Arial" w:hAnsi="Arial"/>
          <w:sz w:val="27"/>
          <w:szCs w:val="27"/>
          <w:color w:val="auto"/>
        </w:rPr>
        <w:t>[219].</w:t>
      </w:r>
    </w:p>
    <w:p>
      <w:pPr>
        <w:spacing w:after="0" w:line="349" w:lineRule="exact"/>
        <w:rPr>
          <w:rFonts w:ascii="Arial" w:cs="Arial" w:eastAsia="Arial" w:hAnsi="Arial"/>
          <w:sz w:val="27"/>
          <w:szCs w:val="27"/>
          <w:color w:val="auto"/>
        </w:rPr>
      </w:pPr>
    </w:p>
    <w:p>
      <w:pPr>
        <w:jc w:val="both"/>
        <w:ind w:left="680" w:right="220" w:hanging="4"/>
        <w:spacing w:after="0" w:line="309" w:lineRule="auto"/>
        <w:tabs>
          <w:tab w:leader="none" w:pos="941" w:val="left"/>
        </w:tabs>
        <w:numPr>
          <w:ilvl w:val="0"/>
          <w:numId w:val="45"/>
        </w:numPr>
        <w:rPr>
          <w:rFonts w:ascii="Arial" w:cs="Arial" w:eastAsia="Arial" w:hAnsi="Arial"/>
          <w:sz w:val="27"/>
          <w:szCs w:val="27"/>
          <w:color w:val="auto"/>
        </w:rPr>
      </w:pPr>
      <w:r>
        <w:rPr>
          <w:rFonts w:ascii="Arial" w:cs="Arial" w:eastAsia="Arial" w:hAnsi="Arial"/>
          <w:sz w:val="27"/>
          <w:szCs w:val="27"/>
          <w:color w:val="auto"/>
        </w:rPr>
        <w:t xml:space="preserve">феномен </w:t>
      </w:r>
      <w:r>
        <w:rPr>
          <w:rFonts w:ascii="Arial" w:cs="Arial" w:eastAsia="Arial" w:hAnsi="Arial"/>
          <w:sz w:val="27"/>
          <w:szCs w:val="27"/>
          <w:color w:val="auto"/>
        </w:rPr>
        <w:t>«</w:t>
      </w:r>
      <w:r>
        <w:rPr>
          <w:rFonts w:ascii="Arial" w:cs="Arial" w:eastAsia="Arial" w:hAnsi="Arial"/>
          <w:sz w:val="27"/>
          <w:szCs w:val="27"/>
          <w:color w:val="auto"/>
        </w:rPr>
        <w:t>белого халата</w:t>
      </w:r>
      <w:r>
        <w:rPr>
          <w:rFonts w:ascii="Arial" w:cs="Arial" w:eastAsia="Arial" w:hAnsi="Arial"/>
          <w:sz w:val="27"/>
          <w:szCs w:val="27"/>
          <w:color w:val="auto"/>
        </w:rPr>
        <w:t>» (</w:t>
      </w:r>
      <w:r>
        <w:rPr>
          <w:rFonts w:ascii="Arial" w:cs="Arial" w:eastAsia="Arial" w:hAnsi="Arial"/>
          <w:sz w:val="27"/>
          <w:szCs w:val="27"/>
          <w:color w:val="auto"/>
        </w:rPr>
        <w:t>при котором АД</w:t>
      </w:r>
      <w:r>
        <w:rPr>
          <w:rFonts w:ascii="Arial" w:cs="Arial" w:eastAsia="Arial" w:hAnsi="Arial"/>
          <w:sz w:val="27"/>
          <w:szCs w:val="27"/>
          <w:color w:val="auto"/>
        </w:rPr>
        <w:t>,</w:t>
      </w:r>
      <w:r>
        <w:rPr>
          <w:rFonts w:ascii="Arial" w:cs="Arial" w:eastAsia="Arial" w:hAnsi="Arial"/>
          <w:sz w:val="27"/>
          <w:szCs w:val="27"/>
          <w:color w:val="auto"/>
        </w:rPr>
        <w:t xml:space="preserve"> измеренное в медицинском учреждении</w:t>
      </w:r>
      <w:r>
        <w:rPr>
          <w:rFonts w:ascii="Arial" w:cs="Arial" w:eastAsia="Arial" w:hAnsi="Arial"/>
          <w:sz w:val="27"/>
          <w:szCs w:val="27"/>
          <w:color w:val="auto"/>
        </w:rPr>
        <w:t>,</w:t>
      </w:r>
      <w:r>
        <w:rPr>
          <w:rFonts w:ascii="Arial" w:cs="Arial" w:eastAsia="Arial" w:hAnsi="Arial"/>
          <w:sz w:val="27"/>
          <w:szCs w:val="27"/>
          <w:color w:val="auto"/>
        </w:rPr>
        <w:t xml:space="preserve"> повышено</w:t>
      </w:r>
      <w:r>
        <w:rPr>
          <w:rFonts w:ascii="Arial" w:cs="Arial" w:eastAsia="Arial" w:hAnsi="Arial"/>
          <w:sz w:val="27"/>
          <w:szCs w:val="27"/>
          <w:color w:val="auto"/>
        </w:rPr>
        <w:t>,</w:t>
      </w:r>
      <w:r>
        <w:rPr>
          <w:rFonts w:ascii="Arial" w:cs="Arial" w:eastAsia="Arial" w:hAnsi="Arial"/>
          <w:sz w:val="27"/>
          <w:szCs w:val="27"/>
          <w:color w:val="auto"/>
        </w:rPr>
        <w:t xml:space="preserve"> но по данным СМАД или ДМАД уровень АД контролируется</w:t>
      </w:r>
      <w:r>
        <w:rPr>
          <w:rFonts w:ascii="Arial" w:cs="Arial" w:eastAsia="Arial" w:hAnsi="Arial"/>
          <w:sz w:val="27"/>
          <w:szCs w:val="27"/>
          <w:color w:val="auto"/>
        </w:rPr>
        <w:t>)</w:t>
      </w:r>
      <w:r>
        <w:rPr>
          <w:rFonts w:ascii="Arial" w:cs="Arial" w:eastAsia="Arial" w:hAnsi="Arial"/>
          <w:sz w:val="27"/>
          <w:szCs w:val="27"/>
          <w:color w:val="auto"/>
        </w:rPr>
        <w:t xml:space="preserve"> встречается нередко</w:t>
      </w:r>
      <w:r>
        <w:rPr>
          <w:rFonts w:ascii="Arial" w:cs="Arial" w:eastAsia="Arial" w:hAnsi="Arial"/>
          <w:sz w:val="27"/>
          <w:szCs w:val="27"/>
          <w:color w:val="auto"/>
        </w:rPr>
        <w:t>,</w:t>
      </w:r>
      <w:r>
        <w:rPr>
          <w:rFonts w:ascii="Arial" w:cs="Arial" w:eastAsia="Arial" w:hAnsi="Arial"/>
          <w:sz w:val="27"/>
          <w:szCs w:val="27"/>
          <w:color w:val="auto"/>
        </w:rPr>
        <w:t xml:space="preserve"> в связи с чем рекомендуется подтвердить наличие АГ с помощью СМАД или ДМАД до установления диагноза резистентной АГ</w:t>
      </w:r>
      <w:r>
        <w:rPr>
          <w:rFonts w:ascii="Arial" w:cs="Arial" w:eastAsia="Arial" w:hAnsi="Arial"/>
          <w:sz w:val="27"/>
          <w:szCs w:val="27"/>
          <w:color w:val="auto"/>
        </w:rPr>
        <w:t>.</w:t>
      </w:r>
    </w:p>
    <w:p>
      <w:pPr>
        <w:spacing w:after="0" w:line="222" w:lineRule="exact"/>
        <w:rPr>
          <w:rFonts w:ascii="Arial" w:cs="Arial" w:eastAsia="Arial" w:hAnsi="Arial"/>
          <w:sz w:val="27"/>
          <w:szCs w:val="27"/>
          <w:color w:val="auto"/>
        </w:rPr>
      </w:pPr>
    </w:p>
    <w:p>
      <w:pPr>
        <w:jc w:val="both"/>
        <w:ind w:left="680" w:right="220" w:hanging="4"/>
        <w:spacing w:after="0" w:line="312" w:lineRule="auto"/>
        <w:tabs>
          <w:tab w:leader="none" w:pos="2141" w:val="left"/>
        </w:tabs>
        <w:numPr>
          <w:ilvl w:val="0"/>
          <w:numId w:val="45"/>
        </w:numPr>
        <w:rPr>
          <w:rFonts w:ascii="Arial" w:cs="Arial" w:eastAsia="Arial" w:hAnsi="Arial"/>
          <w:sz w:val="27"/>
          <w:szCs w:val="27"/>
          <w:color w:val="auto"/>
        </w:rPr>
      </w:pPr>
      <w:r>
        <w:rPr>
          <w:rFonts w:ascii="Arial" w:cs="Arial" w:eastAsia="Arial" w:hAnsi="Arial"/>
          <w:sz w:val="27"/>
          <w:szCs w:val="27"/>
          <w:color w:val="auto"/>
        </w:rPr>
        <w:t>нарушение правил измерения АД в медицинском учреждении</w:t>
      </w:r>
      <w:r>
        <w:rPr>
          <w:rFonts w:ascii="Arial" w:cs="Arial" w:eastAsia="Arial" w:hAnsi="Arial"/>
          <w:sz w:val="27"/>
          <w:szCs w:val="27"/>
          <w:color w:val="auto"/>
        </w:rPr>
        <w:t>,</w:t>
      </w:r>
      <w:r>
        <w:rPr>
          <w:rFonts w:ascii="Arial" w:cs="Arial" w:eastAsia="Arial" w:hAnsi="Arial"/>
          <w:sz w:val="27"/>
          <w:szCs w:val="27"/>
          <w:color w:val="auto"/>
        </w:rPr>
        <w:t xml:space="preserve"> включая использование манжеты меньшего размера</w:t>
      </w:r>
      <w:r>
        <w:rPr>
          <w:rFonts w:ascii="Arial" w:cs="Arial" w:eastAsia="Arial" w:hAnsi="Arial"/>
          <w:sz w:val="27"/>
          <w:szCs w:val="27"/>
          <w:color w:val="auto"/>
        </w:rPr>
        <w:t>,</w:t>
      </w:r>
      <w:r>
        <w:rPr>
          <w:rFonts w:ascii="Arial" w:cs="Arial" w:eastAsia="Arial" w:hAnsi="Arial"/>
          <w:sz w:val="27"/>
          <w:szCs w:val="27"/>
          <w:color w:val="auto"/>
        </w:rPr>
        <w:t xml:space="preserve"> может привести к ложному выявлению повышенного АД</w:t>
      </w:r>
      <w:r>
        <w:rPr>
          <w:rFonts w:ascii="Arial" w:cs="Arial" w:eastAsia="Arial" w:hAnsi="Arial"/>
          <w:sz w:val="27"/>
          <w:szCs w:val="27"/>
          <w:color w:val="auto"/>
        </w:rPr>
        <w:t>.</w:t>
      </w:r>
    </w:p>
    <w:p>
      <w:pPr>
        <w:spacing w:after="0" w:line="216" w:lineRule="exact"/>
        <w:rPr>
          <w:rFonts w:ascii="Arial" w:cs="Arial" w:eastAsia="Arial" w:hAnsi="Arial"/>
          <w:sz w:val="27"/>
          <w:szCs w:val="27"/>
          <w:color w:val="auto"/>
        </w:rPr>
      </w:pPr>
    </w:p>
    <w:p>
      <w:pPr>
        <w:ind w:left="680" w:right="220" w:hanging="4"/>
        <w:spacing w:after="0" w:line="334" w:lineRule="auto"/>
        <w:tabs>
          <w:tab w:leader="none" w:pos="1721" w:val="left"/>
        </w:tabs>
        <w:numPr>
          <w:ilvl w:val="0"/>
          <w:numId w:val="45"/>
        </w:numPr>
        <w:rPr>
          <w:rFonts w:ascii="Arial" w:cs="Arial" w:eastAsia="Arial" w:hAnsi="Arial"/>
          <w:sz w:val="27"/>
          <w:szCs w:val="27"/>
          <w:color w:val="auto"/>
        </w:rPr>
      </w:pPr>
      <w:r>
        <w:rPr>
          <w:rFonts w:ascii="Arial" w:cs="Arial" w:eastAsia="Arial" w:hAnsi="Arial"/>
          <w:sz w:val="27"/>
          <w:szCs w:val="27"/>
          <w:color w:val="auto"/>
        </w:rPr>
        <w:t>выраженный кальциноз плечевой артерии</w:t>
      </w:r>
      <w:r>
        <w:rPr>
          <w:rFonts w:ascii="Arial" w:cs="Arial" w:eastAsia="Arial" w:hAnsi="Arial"/>
          <w:sz w:val="27"/>
          <w:szCs w:val="27"/>
          <w:color w:val="auto"/>
        </w:rPr>
        <w:t>,</w:t>
      </w:r>
      <w:r>
        <w:rPr>
          <w:rFonts w:ascii="Arial" w:cs="Arial" w:eastAsia="Arial" w:hAnsi="Arial"/>
          <w:sz w:val="27"/>
          <w:szCs w:val="27"/>
          <w:color w:val="auto"/>
        </w:rPr>
        <w:t xml:space="preserve"> особенно у пожилых пациентов</w:t>
      </w:r>
      <w:r>
        <w:rPr>
          <w:rFonts w:ascii="Arial" w:cs="Arial" w:eastAsia="Arial" w:hAnsi="Arial"/>
          <w:sz w:val="27"/>
          <w:szCs w:val="27"/>
          <w:color w:val="auto"/>
        </w:rPr>
        <w:t>.</w:t>
      </w:r>
    </w:p>
    <w:p>
      <w:pPr>
        <w:spacing w:after="0" w:line="186" w:lineRule="exact"/>
        <w:rPr>
          <w:rFonts w:ascii="Arial" w:cs="Arial" w:eastAsia="Arial" w:hAnsi="Arial"/>
          <w:sz w:val="27"/>
          <w:szCs w:val="27"/>
          <w:color w:val="auto"/>
        </w:rPr>
      </w:pPr>
    </w:p>
    <w:p>
      <w:pPr>
        <w:ind w:left="680" w:right="220" w:hanging="4"/>
        <w:spacing w:after="0" w:line="334" w:lineRule="auto"/>
        <w:tabs>
          <w:tab w:leader="none" w:pos="1110" w:val="left"/>
        </w:tabs>
        <w:numPr>
          <w:ilvl w:val="0"/>
          <w:numId w:val="45"/>
        </w:numPr>
        <w:rPr>
          <w:rFonts w:ascii="Arial" w:cs="Arial" w:eastAsia="Arial" w:hAnsi="Arial"/>
          <w:sz w:val="27"/>
          <w:szCs w:val="27"/>
          <w:color w:val="auto"/>
        </w:rPr>
      </w:pPr>
      <w:r>
        <w:rPr>
          <w:rFonts w:ascii="Arial" w:cs="Arial" w:eastAsia="Arial" w:hAnsi="Arial"/>
          <w:sz w:val="27"/>
          <w:szCs w:val="27"/>
          <w:color w:val="auto"/>
        </w:rPr>
        <w:t>клиническая инертность</w:t>
      </w:r>
      <w:r>
        <w:rPr>
          <w:rFonts w:ascii="Arial" w:cs="Arial" w:eastAsia="Arial" w:hAnsi="Arial"/>
          <w:sz w:val="27"/>
          <w:szCs w:val="27"/>
          <w:color w:val="auto"/>
        </w:rPr>
        <w:t>,</w:t>
      </w:r>
      <w:r>
        <w:rPr>
          <w:rFonts w:ascii="Arial" w:cs="Arial" w:eastAsia="Arial" w:hAnsi="Arial"/>
          <w:sz w:val="27"/>
          <w:szCs w:val="27"/>
          <w:color w:val="auto"/>
        </w:rPr>
        <w:t xml:space="preserve"> приводящая к назначению нерациональных комбинаций и неадекватных доз АГП</w:t>
      </w:r>
      <w:r>
        <w:rPr>
          <w:rFonts w:ascii="Arial" w:cs="Arial" w:eastAsia="Arial" w:hAnsi="Arial"/>
          <w:sz w:val="27"/>
          <w:szCs w:val="27"/>
          <w:color w:val="auto"/>
        </w:rPr>
        <w:t>.</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Другие причины резистентной гипертензии</w:t>
      </w:r>
      <w:r>
        <w:rPr>
          <w:rFonts w:ascii="Arial" w:cs="Arial" w:eastAsia="Arial" w:hAnsi="Arial"/>
          <w:sz w:val="27"/>
          <w:szCs w:val="27"/>
          <w:color w:val="auto"/>
        </w:rPr>
        <w:t>:</w:t>
      </w:r>
    </w:p>
    <w:p>
      <w:pPr>
        <w:spacing w:after="0" w:line="350" w:lineRule="exact"/>
        <w:rPr>
          <w:sz w:val="20"/>
          <w:szCs w:val="20"/>
          <w:color w:val="auto"/>
        </w:rPr>
      </w:pPr>
    </w:p>
    <w:p>
      <w:pPr>
        <w:jc w:val="both"/>
        <w:ind w:left="680" w:right="220" w:hanging="4"/>
        <w:spacing w:after="0" w:line="334" w:lineRule="auto"/>
        <w:tabs>
          <w:tab w:leader="none" w:pos="1600" w:val="left"/>
        </w:tabs>
        <w:numPr>
          <w:ilvl w:val="0"/>
          <w:numId w:val="46"/>
        </w:numPr>
        <w:rPr>
          <w:rFonts w:ascii="Arial" w:cs="Arial" w:eastAsia="Arial" w:hAnsi="Arial"/>
          <w:sz w:val="27"/>
          <w:szCs w:val="27"/>
          <w:color w:val="auto"/>
        </w:rPr>
      </w:pPr>
      <w:r>
        <w:rPr>
          <w:rFonts w:ascii="Arial" w:cs="Arial" w:eastAsia="Arial" w:hAnsi="Arial"/>
          <w:sz w:val="27"/>
          <w:szCs w:val="27"/>
          <w:color w:val="auto"/>
        </w:rPr>
        <w:t>образ жизни</w:t>
      </w:r>
      <w:r>
        <w:rPr>
          <w:rFonts w:ascii="Arial" w:cs="Arial" w:eastAsia="Arial" w:hAnsi="Arial"/>
          <w:sz w:val="27"/>
          <w:szCs w:val="27"/>
          <w:color w:val="auto"/>
        </w:rPr>
        <w:t>,</w:t>
      </w:r>
      <w:r>
        <w:rPr>
          <w:rFonts w:ascii="Arial" w:cs="Arial" w:eastAsia="Arial" w:hAnsi="Arial"/>
          <w:sz w:val="27"/>
          <w:szCs w:val="27"/>
          <w:color w:val="auto"/>
        </w:rPr>
        <w:t xml:space="preserve"> включая ожирение или быструю прибавку веса</w:t>
      </w:r>
      <w:r>
        <w:rPr>
          <w:rFonts w:ascii="Arial" w:cs="Arial" w:eastAsia="Arial" w:hAnsi="Arial"/>
          <w:sz w:val="27"/>
          <w:szCs w:val="27"/>
          <w:color w:val="auto"/>
        </w:rPr>
        <w:t>,</w:t>
      </w:r>
      <w:r>
        <w:rPr>
          <w:rFonts w:ascii="Arial" w:cs="Arial" w:eastAsia="Arial" w:hAnsi="Arial"/>
          <w:sz w:val="27"/>
          <w:szCs w:val="27"/>
          <w:color w:val="auto"/>
        </w:rPr>
        <w:t xml:space="preserve"> чрезмерное употребление алкоголя или поваренной соли</w:t>
      </w:r>
      <w:r>
        <w:rPr>
          <w:rFonts w:ascii="Arial" w:cs="Arial" w:eastAsia="Arial" w:hAnsi="Arial"/>
          <w:sz w:val="27"/>
          <w:szCs w:val="27"/>
          <w:color w:val="auto"/>
        </w:rPr>
        <w:t>.</w:t>
      </w:r>
    </w:p>
    <w:p>
      <w:pPr>
        <w:spacing w:after="0" w:line="186"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применение вазопрессоров или веществ</w:t>
      </w:r>
      <w:r>
        <w:rPr>
          <w:rFonts w:ascii="Arial" w:cs="Arial" w:eastAsia="Arial" w:hAnsi="Arial"/>
          <w:sz w:val="27"/>
          <w:szCs w:val="27"/>
          <w:color w:val="auto"/>
        </w:rPr>
        <w:t xml:space="preserve">, </w:t>
      </w:r>
      <w:r>
        <w:rPr>
          <w:rFonts w:ascii="Arial" w:cs="Arial" w:eastAsia="Arial" w:hAnsi="Arial"/>
          <w:sz w:val="27"/>
          <w:szCs w:val="27"/>
          <w:color w:val="auto"/>
        </w:rPr>
        <w:t>способствующих задержке натрия</w:t>
      </w:r>
      <w:r>
        <w:rPr>
          <w:rFonts w:ascii="Arial" w:cs="Arial" w:eastAsia="Arial" w:hAnsi="Arial"/>
          <w:sz w:val="27"/>
          <w:szCs w:val="27"/>
          <w:color w:val="auto"/>
        </w:rPr>
        <w:t>,</w:t>
      </w:r>
      <w:r>
        <w:rPr>
          <w:rFonts w:ascii="Arial" w:cs="Arial" w:eastAsia="Arial" w:hAnsi="Arial"/>
          <w:sz w:val="27"/>
          <w:szCs w:val="27"/>
          <w:color w:val="auto"/>
        </w:rPr>
        <w:t xml:space="preserve"> препаратов</w:t>
      </w:r>
      <w:r>
        <w:rPr>
          <w:rFonts w:ascii="Arial" w:cs="Arial" w:eastAsia="Arial" w:hAnsi="Arial"/>
          <w:sz w:val="27"/>
          <w:szCs w:val="27"/>
          <w:color w:val="auto"/>
        </w:rPr>
        <w:t>,</w:t>
      </w:r>
      <w:r>
        <w:rPr>
          <w:rFonts w:ascii="Arial" w:cs="Arial" w:eastAsia="Arial" w:hAnsi="Arial"/>
          <w:sz w:val="27"/>
          <w:szCs w:val="27"/>
          <w:color w:val="auto"/>
        </w:rPr>
        <w:t xml:space="preserve"> назначенных по поводу сопутствующих заболеваний</w:t>
      </w:r>
      <w:r>
        <w:rPr>
          <w:rFonts w:ascii="Arial" w:cs="Arial" w:eastAsia="Arial" w:hAnsi="Arial"/>
          <w:sz w:val="27"/>
          <w:szCs w:val="27"/>
          <w:color w:val="auto"/>
        </w:rPr>
        <w:t>,</w:t>
      </w:r>
      <w:r>
        <w:rPr>
          <w:rFonts w:ascii="Arial" w:cs="Arial" w:eastAsia="Arial" w:hAnsi="Arial"/>
          <w:sz w:val="27"/>
          <w:szCs w:val="27"/>
          <w:color w:val="auto"/>
        </w:rPr>
        <w:t xml:space="preserve"> растительных препаратов</w:t>
      </w:r>
      <w:r>
        <w:rPr>
          <w:rFonts w:ascii="Arial" w:cs="Arial" w:eastAsia="Arial" w:hAnsi="Arial"/>
          <w:sz w:val="27"/>
          <w:szCs w:val="27"/>
          <w:color w:val="auto"/>
        </w:rPr>
        <w:t>,</w:t>
      </w:r>
      <w:r>
        <w:rPr>
          <w:rFonts w:ascii="Arial" w:cs="Arial" w:eastAsia="Arial" w:hAnsi="Arial"/>
          <w:sz w:val="27"/>
          <w:szCs w:val="27"/>
          <w:color w:val="auto"/>
        </w:rPr>
        <w:t xml:space="preserve"> употребление наркотиков </w:t>
      </w:r>
      <w:r>
        <w:rPr>
          <w:rFonts w:ascii="Arial" w:cs="Arial" w:eastAsia="Arial" w:hAnsi="Arial"/>
          <w:sz w:val="27"/>
          <w:szCs w:val="27"/>
          <w:color w:val="auto"/>
        </w:rPr>
        <w:t>(</w:t>
      </w:r>
      <w:r>
        <w:rPr>
          <w:rFonts w:ascii="Arial" w:cs="Arial" w:eastAsia="Arial" w:hAnsi="Arial"/>
          <w:sz w:val="27"/>
          <w:szCs w:val="27"/>
          <w:color w:val="auto"/>
        </w:rPr>
        <w:t>кокаин и т</w:t>
      </w:r>
      <w:r>
        <w:rPr>
          <w:rFonts w:ascii="Arial" w:cs="Arial" w:eastAsia="Arial" w:hAnsi="Arial"/>
          <w:sz w:val="27"/>
          <w:szCs w:val="27"/>
          <w:color w:val="auto"/>
        </w:rPr>
        <w:t>.</w:t>
      </w:r>
      <w:r>
        <w:rPr>
          <w:rFonts w:ascii="Arial" w:cs="Arial" w:eastAsia="Arial" w:hAnsi="Arial"/>
          <w:sz w:val="27"/>
          <w:szCs w:val="27"/>
          <w:color w:val="auto"/>
        </w:rPr>
        <w:t>п</w:t>
      </w:r>
      <w:r>
        <w:rPr>
          <w:rFonts w:ascii="Arial" w:cs="Arial" w:eastAsia="Arial" w:hAnsi="Arial"/>
          <w:sz w:val="27"/>
          <w:szCs w:val="27"/>
          <w:color w:val="auto"/>
        </w:rPr>
        <w:t>.)</w:t>
      </w:r>
      <w:r>
        <w:rPr>
          <w:rFonts w:ascii="Arial" w:cs="Arial" w:eastAsia="Arial" w:hAnsi="Arial"/>
          <w:sz w:val="27"/>
          <w:szCs w:val="27"/>
          <w:color w:val="auto"/>
        </w:rPr>
        <w:t xml:space="preserve"> или анаболических стероидов</w:t>
      </w:r>
    </w:p>
    <w:p>
      <w:pPr>
        <w:spacing w:after="0" w:line="222" w:lineRule="exact"/>
        <w:rPr>
          <w:sz w:val="20"/>
          <w:szCs w:val="20"/>
          <w:color w:val="auto"/>
        </w:rPr>
      </w:pPr>
    </w:p>
    <w:p>
      <w:pPr>
        <w:ind w:left="860" w:hanging="184"/>
        <w:spacing w:after="0"/>
        <w:tabs>
          <w:tab w:leader="none" w:pos="860" w:val="left"/>
        </w:tabs>
        <w:numPr>
          <w:ilvl w:val="0"/>
          <w:numId w:val="47"/>
        </w:numPr>
        <w:rPr>
          <w:rFonts w:ascii="Arial" w:cs="Arial" w:eastAsia="Arial" w:hAnsi="Arial"/>
          <w:sz w:val="27"/>
          <w:szCs w:val="27"/>
          <w:color w:val="auto"/>
        </w:rPr>
      </w:pPr>
      <w:r>
        <w:rPr>
          <w:rFonts w:ascii="Arial" w:cs="Arial" w:eastAsia="Arial" w:hAnsi="Arial"/>
          <w:sz w:val="27"/>
          <w:szCs w:val="27"/>
          <w:color w:val="auto"/>
        </w:rPr>
        <w:t>СОАС</w:t>
      </w:r>
    </w:p>
    <w:p>
      <w:pPr>
        <w:spacing w:after="0" w:line="349" w:lineRule="exact"/>
        <w:rPr>
          <w:rFonts w:ascii="Arial" w:cs="Arial" w:eastAsia="Arial" w:hAnsi="Arial"/>
          <w:sz w:val="27"/>
          <w:szCs w:val="27"/>
          <w:color w:val="auto"/>
        </w:rPr>
      </w:pPr>
    </w:p>
    <w:p>
      <w:pPr>
        <w:ind w:left="680" w:right="220" w:hanging="4"/>
        <w:spacing w:after="0" w:line="334" w:lineRule="auto"/>
        <w:tabs>
          <w:tab w:leader="none" w:pos="961" w:val="left"/>
        </w:tabs>
        <w:numPr>
          <w:ilvl w:val="0"/>
          <w:numId w:val="47"/>
        </w:numPr>
        <w:rPr>
          <w:rFonts w:ascii="Arial" w:cs="Arial" w:eastAsia="Arial" w:hAnsi="Arial"/>
          <w:sz w:val="27"/>
          <w:szCs w:val="27"/>
          <w:color w:val="auto"/>
        </w:rPr>
      </w:pPr>
      <w:r>
        <w:rPr>
          <w:rFonts w:ascii="Arial" w:cs="Arial" w:eastAsia="Arial" w:hAnsi="Arial"/>
          <w:sz w:val="27"/>
          <w:szCs w:val="27"/>
          <w:color w:val="auto"/>
        </w:rPr>
        <w:t>выраженное ПОМ</w:t>
      </w:r>
      <w:r>
        <w:rPr>
          <w:rFonts w:ascii="Arial" w:cs="Arial" w:eastAsia="Arial" w:hAnsi="Arial"/>
          <w:sz w:val="27"/>
          <w:szCs w:val="27"/>
          <w:color w:val="auto"/>
        </w:rPr>
        <w:t>,</w:t>
      </w:r>
      <w:r>
        <w:rPr>
          <w:rFonts w:ascii="Arial" w:cs="Arial" w:eastAsia="Arial" w:hAnsi="Arial"/>
          <w:sz w:val="27"/>
          <w:szCs w:val="27"/>
          <w:color w:val="auto"/>
        </w:rPr>
        <w:t xml:space="preserve"> особенно ХБП или жесткость крупных артерий </w:t>
      </w:r>
      <w:r>
        <w:rPr>
          <w:rFonts w:ascii="Arial" w:cs="Arial" w:eastAsia="Arial" w:hAnsi="Arial"/>
          <w:sz w:val="27"/>
          <w:szCs w:val="27"/>
          <w:color w:val="auto"/>
        </w:rPr>
        <w:t>[21, 22].</w:t>
      </w:r>
    </w:p>
    <w:p>
      <w:pPr>
        <w:spacing w:after="0" w:line="186"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Истинная резистентная АГ встречается</w:t>
      </w:r>
      <w:r>
        <w:rPr>
          <w:rFonts w:ascii="Arial" w:cs="Arial" w:eastAsia="Arial" w:hAnsi="Arial"/>
          <w:sz w:val="27"/>
          <w:szCs w:val="27"/>
          <w:color w:val="auto"/>
        </w:rPr>
        <w:t>,</w:t>
      </w:r>
      <w:r>
        <w:rPr>
          <w:rFonts w:ascii="Arial" w:cs="Arial" w:eastAsia="Arial" w:hAnsi="Arial"/>
          <w:sz w:val="27"/>
          <w:szCs w:val="27"/>
          <w:color w:val="auto"/>
        </w:rPr>
        <w:t xml:space="preserve"> не более чем в </w:t>
      </w:r>
      <w:r>
        <w:rPr>
          <w:rFonts w:ascii="Arial" w:cs="Arial" w:eastAsia="Arial" w:hAnsi="Arial"/>
          <w:sz w:val="27"/>
          <w:szCs w:val="27"/>
          <w:color w:val="auto"/>
        </w:rPr>
        <w:t>10%</w:t>
      </w:r>
      <w:r>
        <w:rPr>
          <w:rFonts w:ascii="Arial" w:cs="Arial" w:eastAsia="Arial" w:hAnsi="Arial"/>
          <w:sz w:val="27"/>
          <w:szCs w:val="27"/>
          <w:color w:val="auto"/>
        </w:rPr>
        <w:t xml:space="preserve"> случаев среди всей популяции пациентов АГ</w:t>
      </w:r>
      <w:r>
        <w:rPr>
          <w:rFonts w:ascii="Arial" w:cs="Arial" w:eastAsia="Arial" w:hAnsi="Arial"/>
          <w:sz w:val="27"/>
          <w:szCs w:val="27"/>
          <w:color w:val="auto"/>
        </w:rPr>
        <w:t>,</w:t>
      </w:r>
      <w:r>
        <w:rPr>
          <w:rFonts w:ascii="Arial" w:cs="Arial" w:eastAsia="Arial" w:hAnsi="Arial"/>
          <w:sz w:val="27"/>
          <w:szCs w:val="27"/>
          <w:color w:val="auto"/>
        </w:rPr>
        <w:t xml:space="preserve"> однако в отдельных группах пациентов</w:t>
      </w:r>
      <w:r>
        <w:rPr>
          <w:rFonts w:ascii="Arial" w:cs="Arial" w:eastAsia="Arial" w:hAnsi="Arial"/>
          <w:sz w:val="27"/>
          <w:szCs w:val="27"/>
          <w:color w:val="auto"/>
        </w:rPr>
        <w:t>,</w:t>
      </w:r>
      <w:r>
        <w:rPr>
          <w:rFonts w:ascii="Arial" w:cs="Arial" w:eastAsia="Arial" w:hAnsi="Arial"/>
          <w:sz w:val="27"/>
          <w:szCs w:val="27"/>
          <w:color w:val="auto"/>
        </w:rPr>
        <w:t xml:space="preserve"> например</w:t>
      </w:r>
      <w:r>
        <w:rPr>
          <w:rFonts w:ascii="Arial" w:cs="Arial" w:eastAsia="Arial" w:hAnsi="Arial"/>
          <w:sz w:val="27"/>
          <w:szCs w:val="27"/>
          <w:color w:val="auto"/>
        </w:rPr>
        <w:t>,</w:t>
      </w:r>
      <w:r>
        <w:rPr>
          <w:rFonts w:ascii="Arial" w:cs="Arial" w:eastAsia="Arial" w:hAnsi="Arial"/>
          <w:sz w:val="27"/>
          <w:szCs w:val="27"/>
          <w:color w:val="auto"/>
        </w:rPr>
        <w:t xml:space="preserve"> с ХБП</w:t>
      </w:r>
      <w:r>
        <w:rPr>
          <w:rFonts w:ascii="Arial" w:cs="Arial" w:eastAsia="Arial" w:hAnsi="Arial"/>
          <w:sz w:val="27"/>
          <w:szCs w:val="27"/>
          <w:color w:val="auto"/>
        </w:rPr>
        <w:t>,</w:t>
      </w:r>
      <w:r>
        <w:rPr>
          <w:rFonts w:ascii="Arial" w:cs="Arial" w:eastAsia="Arial" w:hAnsi="Arial"/>
          <w:sz w:val="27"/>
          <w:szCs w:val="27"/>
          <w:color w:val="auto"/>
        </w:rPr>
        <w:t xml:space="preserve"> ее распространенность может доходить до </w:t>
      </w:r>
      <w:r>
        <w:rPr>
          <w:rFonts w:ascii="Arial" w:cs="Arial" w:eastAsia="Arial" w:hAnsi="Arial"/>
          <w:sz w:val="27"/>
          <w:szCs w:val="27"/>
          <w:color w:val="auto"/>
        </w:rPr>
        <w:t>30% [21,220].</w:t>
      </w:r>
      <w:r>
        <w:rPr>
          <w:rFonts w:ascii="Arial" w:cs="Arial" w:eastAsia="Arial" w:hAnsi="Arial"/>
          <w:sz w:val="27"/>
          <w:szCs w:val="27"/>
          <w:color w:val="auto"/>
        </w:rPr>
        <w:t xml:space="preserve"> Истинная резистентная АГ часто наблюдается у пациентов с ожирением</w:t>
      </w:r>
      <w:r>
        <w:rPr>
          <w:rFonts w:ascii="Arial" w:cs="Arial" w:eastAsia="Arial" w:hAnsi="Arial"/>
          <w:sz w:val="27"/>
          <w:szCs w:val="27"/>
          <w:color w:val="auto"/>
        </w:rPr>
        <w:t>,</w:t>
      </w:r>
      <w:r>
        <w:rPr>
          <w:rFonts w:ascii="Arial" w:cs="Arial" w:eastAsia="Arial" w:hAnsi="Arial"/>
          <w:sz w:val="27"/>
          <w:szCs w:val="27"/>
          <w:color w:val="auto"/>
        </w:rPr>
        <w:t xml:space="preserve"> метаболическим синлромом</w:t>
      </w:r>
      <w:r>
        <w:rPr>
          <w:rFonts w:ascii="Arial" w:cs="Arial" w:eastAsia="Arial" w:hAnsi="Arial"/>
          <w:sz w:val="27"/>
          <w:szCs w:val="27"/>
          <w:color w:val="auto"/>
        </w:rPr>
        <w:t>,</w:t>
      </w:r>
      <w:r>
        <w:rPr>
          <w:rFonts w:ascii="Arial" w:cs="Arial" w:eastAsia="Arial" w:hAnsi="Arial"/>
          <w:sz w:val="27"/>
          <w:szCs w:val="27"/>
          <w:color w:val="auto"/>
        </w:rPr>
        <w:t xml:space="preserve"> СД</w:t>
      </w:r>
      <w:r>
        <w:rPr>
          <w:rFonts w:ascii="Arial" w:cs="Arial" w:eastAsia="Arial" w:hAnsi="Arial"/>
          <w:sz w:val="27"/>
          <w:szCs w:val="27"/>
          <w:color w:val="auto"/>
        </w:rPr>
        <w:t>,</w:t>
      </w:r>
      <w:r>
        <w:rPr>
          <w:rFonts w:ascii="Arial" w:cs="Arial" w:eastAsia="Arial" w:hAnsi="Arial"/>
          <w:sz w:val="27"/>
          <w:szCs w:val="27"/>
          <w:color w:val="auto"/>
        </w:rPr>
        <w:t xml:space="preserve"> СОАС</w:t>
      </w:r>
      <w:r>
        <w:rPr>
          <w:rFonts w:ascii="Arial" w:cs="Arial" w:eastAsia="Arial" w:hAnsi="Arial"/>
          <w:sz w:val="27"/>
          <w:szCs w:val="27"/>
          <w:color w:val="auto"/>
        </w:rPr>
        <w:t>,</w:t>
      </w:r>
      <w:r>
        <w:rPr>
          <w:rFonts w:ascii="Arial" w:cs="Arial" w:eastAsia="Arial" w:hAnsi="Arial"/>
          <w:sz w:val="27"/>
          <w:szCs w:val="27"/>
          <w:color w:val="auto"/>
        </w:rPr>
        <w:t xml:space="preserve"> множественным ПОМ</w:t>
      </w:r>
      <w:r>
        <w:rPr>
          <w:rFonts w:ascii="Arial" w:cs="Arial" w:eastAsia="Arial" w:hAnsi="Arial"/>
          <w:sz w:val="27"/>
          <w:szCs w:val="27"/>
          <w:color w:val="auto"/>
        </w:rPr>
        <w:t>,</w:t>
      </w:r>
    </w:p>
    <w:p>
      <w:pPr>
        <w:sectPr>
          <w:pgSz w:w="11900" w:h="17016" w:orient="portrait"/>
          <w:cols w:equalWidth="0" w:num="1">
            <w:col w:w="9020"/>
          </w:cols>
          <w:pgMar w:left="1440" w:top="19" w:right="1440" w:bottom="0" w:gutter="0" w:footer="0" w:header="0"/>
        </w:sectPr>
      </w:pPr>
    </w:p>
    <w:bookmarkStart w:id="64" w:name="page65"/>
    <w:bookmarkEnd w:id="64"/>
    <w:p>
      <w:pPr>
        <w:spacing w:after="0" w:line="89"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при вторичных формах АГ</w:t>
      </w:r>
      <w:r>
        <w:rPr>
          <w:rFonts w:ascii="Arial" w:cs="Arial" w:eastAsia="Arial" w:hAnsi="Arial"/>
          <w:sz w:val="27"/>
          <w:szCs w:val="27"/>
          <w:color w:val="auto"/>
        </w:rPr>
        <w:t>.</w:t>
      </w:r>
      <w:r>
        <w:rPr>
          <w:rFonts w:ascii="Arial" w:cs="Arial" w:eastAsia="Arial" w:hAnsi="Arial"/>
          <w:sz w:val="27"/>
          <w:szCs w:val="27"/>
          <w:color w:val="auto"/>
        </w:rPr>
        <w:t xml:space="preserve"> Тяжелое ПОМ </w:t>
      </w:r>
      <w:r>
        <w:rPr>
          <w:rFonts w:ascii="Arial" w:cs="Arial" w:eastAsia="Arial" w:hAnsi="Arial"/>
          <w:sz w:val="27"/>
          <w:szCs w:val="27"/>
          <w:color w:val="auto"/>
        </w:rPr>
        <w:t>(</w:t>
      </w:r>
      <w:r>
        <w:rPr>
          <w:rFonts w:ascii="Arial" w:cs="Arial" w:eastAsia="Arial" w:hAnsi="Arial"/>
          <w:sz w:val="27"/>
          <w:szCs w:val="27"/>
          <w:color w:val="auto"/>
        </w:rPr>
        <w:t>выраженная ГЛЖ</w:t>
      </w:r>
      <w:r>
        <w:rPr>
          <w:rFonts w:ascii="Arial" w:cs="Arial" w:eastAsia="Arial" w:hAnsi="Arial"/>
          <w:sz w:val="27"/>
          <w:szCs w:val="27"/>
          <w:color w:val="auto"/>
        </w:rPr>
        <w:t>,</w:t>
      </w:r>
      <w:r>
        <w:rPr>
          <w:rFonts w:ascii="Arial" w:cs="Arial" w:eastAsia="Arial" w:hAnsi="Arial"/>
          <w:sz w:val="27"/>
          <w:szCs w:val="27"/>
          <w:color w:val="auto"/>
        </w:rPr>
        <w:t xml:space="preserve"> снижение функции почек</w:t>
      </w:r>
      <w:r>
        <w:rPr>
          <w:rFonts w:ascii="Arial" w:cs="Arial" w:eastAsia="Arial" w:hAnsi="Arial"/>
          <w:sz w:val="27"/>
          <w:szCs w:val="27"/>
          <w:color w:val="auto"/>
        </w:rPr>
        <w:t>,</w:t>
      </w:r>
      <w:r>
        <w:rPr>
          <w:rFonts w:ascii="Arial" w:cs="Arial" w:eastAsia="Arial" w:hAnsi="Arial"/>
          <w:sz w:val="27"/>
          <w:szCs w:val="27"/>
          <w:color w:val="auto"/>
        </w:rPr>
        <w:t xml:space="preserve"> атеросклеротическое поражение артерий</w:t>
      </w:r>
      <w:r>
        <w:rPr>
          <w:rFonts w:ascii="Arial" w:cs="Arial" w:eastAsia="Arial" w:hAnsi="Arial"/>
          <w:sz w:val="27"/>
          <w:szCs w:val="27"/>
          <w:color w:val="auto"/>
        </w:rPr>
        <w:t>)</w:t>
      </w:r>
      <w:r>
        <w:rPr>
          <w:rFonts w:ascii="Arial" w:cs="Arial" w:eastAsia="Arial" w:hAnsi="Arial"/>
          <w:sz w:val="27"/>
          <w:szCs w:val="27"/>
          <w:color w:val="auto"/>
        </w:rPr>
        <w:t xml:space="preserve"> способствует развитию резистентности к лечению</w:t>
      </w:r>
      <w:r>
        <w:rPr>
          <w:rFonts w:ascii="Arial" w:cs="Arial" w:eastAsia="Arial" w:hAnsi="Arial"/>
          <w:sz w:val="27"/>
          <w:szCs w:val="27"/>
          <w:color w:val="auto"/>
        </w:rPr>
        <w:t>.</w:t>
      </w:r>
    </w:p>
    <w:p>
      <w:pPr>
        <w:spacing w:after="0" w:line="21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Всем пациентам с резистентной АГ рекомендовано усиление мероприятий по изменению образа жизни</w:t>
      </w:r>
      <w:r>
        <w:rPr>
          <w:rFonts w:ascii="Arial" w:cs="Arial" w:eastAsia="Arial" w:hAnsi="Arial"/>
          <w:sz w:val="27"/>
          <w:szCs w:val="27"/>
          <w:color w:val="auto"/>
        </w:rPr>
        <w:t>,</w:t>
      </w:r>
      <w:r>
        <w:rPr>
          <w:rFonts w:ascii="Arial" w:cs="Arial" w:eastAsia="Arial" w:hAnsi="Arial"/>
          <w:sz w:val="27"/>
          <w:szCs w:val="27"/>
          <w:color w:val="auto"/>
        </w:rPr>
        <w:t xml:space="preserve"> особенно ограничение употребления соли с целью достижения целевого уровня АД </w:t>
      </w:r>
      <w:r>
        <w:rPr>
          <w:rFonts w:ascii="Arial" w:cs="Arial" w:eastAsia="Arial" w:hAnsi="Arial"/>
          <w:sz w:val="27"/>
          <w:szCs w:val="27"/>
          <w:color w:val="auto"/>
        </w:rPr>
        <w:t>[221].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8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Всем пациентам с резистентной АГ рекомендовано добавление</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8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right="220" w:hanging="4"/>
        <w:spacing w:after="0" w:line="334" w:lineRule="auto"/>
        <w:tabs>
          <w:tab w:leader="none" w:pos="922" w:val="left"/>
        </w:tabs>
        <w:numPr>
          <w:ilvl w:val="0"/>
          <w:numId w:val="48"/>
        </w:numPr>
        <w:rPr>
          <w:rFonts w:ascii="Arial" w:cs="Arial" w:eastAsia="Arial" w:hAnsi="Arial"/>
          <w:sz w:val="27"/>
          <w:szCs w:val="27"/>
          <w:color w:val="auto"/>
        </w:rPr>
      </w:pPr>
      <w:r>
        <w:rPr>
          <w:rFonts w:ascii="Arial" w:cs="Arial" w:eastAsia="Arial" w:hAnsi="Arial"/>
          <w:sz w:val="27"/>
          <w:szCs w:val="27"/>
          <w:color w:val="auto"/>
        </w:rPr>
        <w:t>проводимой терапии спиронолактона</w:t>
      </w:r>
      <w:r>
        <w:rPr>
          <w:rFonts w:ascii="Arial" w:cs="Arial" w:eastAsia="Arial" w:hAnsi="Arial"/>
          <w:sz w:val="27"/>
          <w:szCs w:val="27"/>
          <w:color w:val="auto"/>
        </w:rPr>
        <w:t>**</w:t>
      </w:r>
      <w:r>
        <w:rPr>
          <w:rFonts w:ascii="Arial" w:cs="Arial" w:eastAsia="Arial" w:hAnsi="Arial"/>
          <w:sz w:val="27"/>
          <w:szCs w:val="27"/>
          <w:color w:val="auto"/>
        </w:rPr>
        <w:t xml:space="preserve"> в дозах </w:t>
      </w:r>
      <w:r>
        <w:rPr>
          <w:rFonts w:ascii="Arial" w:cs="Arial" w:eastAsia="Arial" w:hAnsi="Arial"/>
          <w:sz w:val="27"/>
          <w:szCs w:val="27"/>
          <w:color w:val="auto"/>
        </w:rPr>
        <w:t>25-50</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 xml:space="preserve">сут для достижения целевого уровня АД </w:t>
      </w:r>
      <w:r>
        <w:rPr>
          <w:rFonts w:ascii="Arial" w:cs="Arial" w:eastAsia="Arial" w:hAnsi="Arial"/>
          <w:sz w:val="27"/>
          <w:szCs w:val="27"/>
          <w:color w:val="auto"/>
        </w:rPr>
        <w:t>[137, 222, 223].</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32"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При непереносимости спиронолактона</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рекомендовано добавление других диуретиков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включающих эплеренон</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более высокие дозы тиазидных</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тиазидоподобных диуретиков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или петлевые диуретики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или добавление бисопролола или доксазозина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Применение спиронолактона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эплеренона противопоказано пациентам с СКФ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30</w:t>
      </w:r>
      <w:r>
        <w:rPr>
          <w:rFonts w:ascii="Arial" w:cs="Arial" w:eastAsia="Arial" w:hAnsi="Arial"/>
          <w:sz w:val="25"/>
          <w:szCs w:val="25"/>
          <w:b w:val="1"/>
          <w:bCs w:val="1"/>
          <w:i w:val="1"/>
          <w:iCs w:val="1"/>
          <w:color w:val="auto"/>
        </w:rPr>
        <w:t xml:space="preserve"> мл</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мин и концентрацией калия в плазме </w:t>
      </w:r>
      <w:r>
        <w:rPr>
          <w:rFonts w:ascii="Times New Roman" w:cs="Times New Roman" w:eastAsia="Times New Roman" w:hAnsi="Times New Roman"/>
          <w:sz w:val="25"/>
          <w:szCs w:val="25"/>
          <w:i w:val="1"/>
          <w:iCs w:val="1"/>
          <w:color w:val="auto"/>
        </w:rPr>
        <w:t>≥</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5</w:t>
      </w:r>
      <w:r>
        <w:rPr>
          <w:rFonts w:ascii="Arial" w:cs="Arial" w:eastAsia="Arial" w:hAnsi="Arial"/>
          <w:sz w:val="25"/>
          <w:szCs w:val="25"/>
          <w:b w:val="1"/>
          <w:bCs w:val="1"/>
          <w:i w:val="1"/>
          <w:iCs w:val="1"/>
          <w:color w:val="auto"/>
        </w:rPr>
        <w:t xml:space="preserve"> ммоль</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л из</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за риска гиперкалиемии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Петлевые диуретики следует использовать вместо тиазидных</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тиазидоподобных при СКФ </w:t>
      </w:r>
      <w:r>
        <w:rPr>
          <w:rFonts w:ascii="Arial" w:cs="Arial" w:eastAsia="Arial" w:hAnsi="Arial"/>
          <w:sz w:val="25"/>
          <w:szCs w:val="25"/>
          <w:b w:val="1"/>
          <w:bCs w:val="1"/>
          <w:i w:val="1"/>
          <w:iCs w:val="1"/>
          <w:color w:val="auto"/>
        </w:rPr>
        <w:t>&lt;30</w:t>
      </w:r>
      <w:r>
        <w:rPr>
          <w:rFonts w:ascii="Arial" w:cs="Arial" w:eastAsia="Arial" w:hAnsi="Arial"/>
          <w:sz w:val="25"/>
          <w:szCs w:val="25"/>
          <w:b w:val="1"/>
          <w:bCs w:val="1"/>
          <w:i w:val="1"/>
          <w:iCs w:val="1"/>
          <w:color w:val="auto"/>
        </w:rPr>
        <w:t xml:space="preserve"> мл</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мин</w:t>
      </w:r>
      <w:r>
        <w:rPr>
          <w:rFonts w:ascii="Arial" w:cs="Arial" w:eastAsia="Arial" w:hAnsi="Arial"/>
          <w:sz w:val="25"/>
          <w:szCs w:val="25"/>
          <w:b w:val="1"/>
          <w:bCs w:val="1"/>
          <w:i w:val="1"/>
          <w:iCs w:val="1"/>
          <w:color w:val="auto"/>
        </w:rPr>
        <w:t>.</w:t>
      </w:r>
    </w:p>
    <w:p>
      <w:pPr>
        <w:spacing w:after="0" w:line="199"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3.6.12. </w:t>
      </w:r>
      <w:r>
        <w:rPr>
          <w:rFonts w:ascii="Arial" w:cs="Arial" w:eastAsia="Arial" w:hAnsi="Arial"/>
          <w:sz w:val="27"/>
          <w:szCs w:val="27"/>
          <w:b w:val="1"/>
          <w:bCs w:val="1"/>
          <w:color w:val="auto"/>
        </w:rPr>
        <w:t>Артериальная гипертензия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белого халата</w:t>
      </w:r>
      <w:r>
        <w:rPr>
          <w:rFonts w:ascii="Arial" w:cs="Arial" w:eastAsia="Arial" w:hAnsi="Arial"/>
          <w:sz w:val="27"/>
          <w:szCs w:val="27"/>
          <w:b w:val="1"/>
          <w:bCs w:val="1"/>
          <w:color w:val="auto"/>
        </w:rPr>
        <w:t>»</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с АГ </w:t>
      </w:r>
      <w:r>
        <w:rPr>
          <w:rFonts w:ascii="Arial" w:cs="Arial" w:eastAsia="Arial" w:hAnsi="Arial"/>
          <w:sz w:val="27"/>
          <w:szCs w:val="27"/>
          <w:color w:val="auto"/>
        </w:rPr>
        <w:t>«</w:t>
      </w:r>
      <w:r>
        <w:rPr>
          <w:rFonts w:ascii="Arial" w:cs="Arial" w:eastAsia="Arial" w:hAnsi="Arial"/>
          <w:sz w:val="27"/>
          <w:szCs w:val="27"/>
          <w:color w:val="auto"/>
        </w:rPr>
        <w:t>белого халата</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проводить мероприятия по изменению образа жизни</w:t>
      </w:r>
      <w:r>
        <w:rPr>
          <w:rFonts w:ascii="Arial" w:cs="Arial" w:eastAsia="Arial" w:hAnsi="Arial"/>
          <w:sz w:val="27"/>
          <w:szCs w:val="27"/>
          <w:color w:val="auto"/>
        </w:rPr>
        <w:t>,</w:t>
      </w:r>
      <w:r>
        <w:rPr>
          <w:rFonts w:ascii="Arial" w:cs="Arial" w:eastAsia="Arial" w:hAnsi="Arial"/>
          <w:sz w:val="27"/>
          <w:szCs w:val="27"/>
          <w:color w:val="auto"/>
        </w:rPr>
        <w:t xml:space="preserve"> направленные на уменьшение СС риска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8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w:t>
      </w:r>
      <w:r>
        <w:rPr>
          <w:rFonts w:ascii="Arial" w:cs="Arial" w:eastAsia="Arial" w:hAnsi="Arial"/>
          <w:sz w:val="27"/>
          <w:szCs w:val="27"/>
          <w:b w:val="1"/>
          <w:bCs w:val="1"/>
          <w:color w:val="auto"/>
        </w:rPr>
        <w:t>3)</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АГ </w:t>
      </w:r>
      <w:r>
        <w:rPr>
          <w:rFonts w:ascii="Arial" w:cs="Arial" w:eastAsia="Arial" w:hAnsi="Arial"/>
          <w:sz w:val="27"/>
          <w:szCs w:val="27"/>
          <w:color w:val="auto"/>
        </w:rPr>
        <w:t>«</w:t>
      </w:r>
      <w:r>
        <w:rPr>
          <w:rFonts w:ascii="Arial" w:cs="Arial" w:eastAsia="Arial" w:hAnsi="Arial"/>
          <w:sz w:val="27"/>
          <w:szCs w:val="27"/>
          <w:color w:val="auto"/>
        </w:rPr>
        <w:t>белого халата</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проводить регулярные обследования </w:t>
      </w:r>
      <w:r>
        <w:rPr>
          <w:rFonts w:ascii="Arial" w:cs="Arial" w:eastAsia="Arial" w:hAnsi="Arial"/>
          <w:sz w:val="27"/>
          <w:szCs w:val="27"/>
          <w:color w:val="auto"/>
        </w:rPr>
        <w:t>(</w:t>
      </w:r>
      <w:r>
        <w:rPr>
          <w:rFonts w:ascii="Arial" w:cs="Arial" w:eastAsia="Arial" w:hAnsi="Arial"/>
          <w:sz w:val="27"/>
          <w:szCs w:val="27"/>
          <w:color w:val="auto"/>
        </w:rPr>
        <w:t xml:space="preserve">не менее </w:t>
      </w:r>
      <w:r>
        <w:rPr>
          <w:rFonts w:ascii="Arial" w:cs="Arial" w:eastAsia="Arial" w:hAnsi="Arial"/>
          <w:sz w:val="27"/>
          <w:szCs w:val="27"/>
          <w:color w:val="auto"/>
        </w:rPr>
        <w:t>1</w:t>
      </w:r>
      <w:r>
        <w:rPr>
          <w:rFonts w:ascii="Arial" w:cs="Arial" w:eastAsia="Arial" w:hAnsi="Arial"/>
          <w:sz w:val="27"/>
          <w:szCs w:val="27"/>
          <w:color w:val="auto"/>
        </w:rPr>
        <w:t xml:space="preserve"> раза в </w:t>
      </w:r>
      <w:r>
        <w:rPr>
          <w:rFonts w:ascii="Arial" w:cs="Arial" w:eastAsia="Arial" w:hAnsi="Arial"/>
          <w:sz w:val="27"/>
          <w:szCs w:val="27"/>
          <w:color w:val="auto"/>
        </w:rPr>
        <w:t>2</w:t>
      </w:r>
      <w:r>
        <w:rPr>
          <w:rFonts w:ascii="Arial" w:cs="Arial" w:eastAsia="Arial" w:hAnsi="Arial"/>
          <w:sz w:val="27"/>
          <w:szCs w:val="27"/>
          <w:color w:val="auto"/>
        </w:rPr>
        <w:t xml:space="preserve"> года</w:t>
      </w:r>
      <w:r>
        <w:rPr>
          <w:rFonts w:ascii="Arial" w:cs="Arial" w:eastAsia="Arial" w:hAnsi="Arial"/>
          <w:sz w:val="27"/>
          <w:szCs w:val="27"/>
          <w:color w:val="auto"/>
        </w:rPr>
        <w:t>)</w:t>
      </w:r>
      <w:r>
        <w:rPr>
          <w:rFonts w:ascii="Arial" w:cs="Arial" w:eastAsia="Arial" w:hAnsi="Arial"/>
          <w:sz w:val="27"/>
          <w:szCs w:val="27"/>
          <w:color w:val="auto"/>
        </w:rPr>
        <w:t xml:space="preserve"> с периодическим мониторированием АД</w:t>
      </w:r>
      <w:r>
        <w:rPr>
          <w:rFonts w:ascii="Arial" w:cs="Arial" w:eastAsia="Arial" w:hAnsi="Arial"/>
          <w:sz w:val="27"/>
          <w:szCs w:val="27"/>
          <w:color w:val="auto"/>
        </w:rPr>
        <w:t>,</w:t>
      </w:r>
      <w:r>
        <w:rPr>
          <w:rFonts w:ascii="Arial" w:cs="Arial" w:eastAsia="Arial" w:hAnsi="Arial"/>
          <w:sz w:val="27"/>
          <w:szCs w:val="27"/>
          <w:color w:val="auto"/>
        </w:rPr>
        <w:t xml:space="preserve"> вне медицинского учреждения </w:t>
      </w:r>
      <w:r>
        <w:rPr>
          <w:rFonts w:ascii="Arial" w:cs="Arial" w:eastAsia="Arial" w:hAnsi="Arial"/>
          <w:sz w:val="27"/>
          <w:szCs w:val="27"/>
          <w:color w:val="auto"/>
        </w:rPr>
        <w:t>[21, 22, 224–230].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8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43"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АГ</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белого халата</w:t>
      </w:r>
      <w:r>
        <w:rPr>
          <w:rFonts w:ascii="Arial" w:cs="Arial" w:eastAsia="Arial" w:hAnsi="Arial"/>
          <w:sz w:val="25"/>
          <w:szCs w:val="25"/>
          <w:b w:val="1"/>
          <w:bCs w:val="1"/>
          <w:i w:val="1"/>
          <w:i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диагностируется при</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выявлении повышенного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измеренного в медицинском учреждении и нормальных показателей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измеренного вне медицинского учреждения</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АГ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белого халата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может иметь</w:t>
      </w:r>
    </w:p>
    <w:p>
      <w:pPr>
        <w:sectPr>
          <w:pgSz w:w="11900" w:h="16929" w:orient="portrait"/>
          <w:cols w:equalWidth="0" w:num="1">
            <w:col w:w="9020"/>
          </w:cols>
          <w:pgMar w:left="1440" w:top="19" w:right="1440" w:bottom="0" w:gutter="0" w:footer="0" w:header="0"/>
        </w:sectPr>
      </w:pPr>
    </w:p>
    <w:bookmarkStart w:id="65" w:name="page66"/>
    <w:bookmarkEnd w:id="65"/>
    <w:p>
      <w:pPr>
        <w:jc w:val="both"/>
        <w:ind w:left="680" w:right="220"/>
        <w:spacing w:after="0" w:line="330" w:lineRule="auto"/>
        <w:rPr>
          <w:sz w:val="20"/>
          <w:szCs w:val="20"/>
          <w:color w:val="auto"/>
        </w:rPr>
      </w:pPr>
      <w:r>
        <w:rPr>
          <w:rFonts w:ascii="Arial" w:cs="Arial" w:eastAsia="Arial" w:hAnsi="Arial"/>
          <w:sz w:val="25"/>
          <w:szCs w:val="25"/>
          <w:b w:val="1"/>
          <w:bCs w:val="1"/>
          <w:i w:val="1"/>
          <w:iCs w:val="1"/>
          <w:color w:val="auto"/>
        </w:rPr>
        <w:t>место у многих людей с повышением клинического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особенно с АГ </w:t>
      </w:r>
      <w:r>
        <w:rPr>
          <w:rFonts w:ascii="Arial" w:cs="Arial" w:eastAsia="Arial" w:hAnsi="Arial"/>
          <w:sz w:val="25"/>
          <w:szCs w:val="25"/>
          <w:b w:val="1"/>
          <w:bCs w:val="1"/>
          <w:i w:val="1"/>
          <w:iCs w:val="1"/>
          <w:color w:val="auto"/>
        </w:rPr>
        <w:t>1-</w:t>
      </w:r>
      <w:r>
        <w:rPr>
          <w:rFonts w:ascii="Arial" w:cs="Arial" w:eastAsia="Arial" w:hAnsi="Arial"/>
          <w:sz w:val="25"/>
          <w:szCs w:val="25"/>
          <w:b w:val="1"/>
          <w:bCs w:val="1"/>
          <w:i w:val="1"/>
          <w:iCs w:val="1"/>
          <w:color w:val="auto"/>
        </w:rPr>
        <w:t>й степени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 также у очень пожилых пациентов </w:t>
      </w:r>
      <w:r>
        <w:rPr>
          <w:rFonts w:ascii="Arial" w:cs="Arial" w:eastAsia="Arial" w:hAnsi="Arial"/>
          <w:sz w:val="25"/>
          <w:szCs w:val="25"/>
          <w:b w:val="1"/>
          <w:bCs w:val="1"/>
          <w:i w:val="1"/>
          <w:iCs w:val="1"/>
          <w:color w:val="auto"/>
        </w:rPr>
        <w:t>(&gt;50%) [21,</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 xml:space="preserve">22]. </w:t>
      </w:r>
      <w:r>
        <w:rPr>
          <w:rFonts w:ascii="Arial" w:cs="Arial" w:eastAsia="Arial" w:hAnsi="Arial"/>
          <w:sz w:val="25"/>
          <w:szCs w:val="25"/>
          <w:b w:val="1"/>
          <w:bCs w:val="1"/>
          <w:i w:val="1"/>
          <w:iCs w:val="1"/>
          <w:color w:val="auto"/>
        </w:rPr>
        <w:t>По сравнению со здоровыми лицами АГ</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белого халата</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ассоциируется с более высокой распространенностью метаболических факторов риска и ПОМ</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Она также ассоциирована с более высоким риском развития сахарного диабета типа </w:t>
      </w:r>
      <w:r>
        <w:rPr>
          <w:rFonts w:ascii="Arial" w:cs="Arial" w:eastAsia="Arial" w:hAnsi="Arial"/>
          <w:sz w:val="25"/>
          <w:szCs w:val="25"/>
          <w:b w:val="1"/>
          <w:bCs w:val="1"/>
          <w:i w:val="1"/>
          <w:iCs w:val="1"/>
          <w:color w:val="auto"/>
        </w:rPr>
        <w:t>2</w:t>
      </w:r>
      <w:r>
        <w:rPr>
          <w:rFonts w:ascii="Arial" w:cs="Arial" w:eastAsia="Arial" w:hAnsi="Arial"/>
          <w:sz w:val="25"/>
          <w:szCs w:val="25"/>
          <w:b w:val="1"/>
          <w:bCs w:val="1"/>
          <w:i w:val="1"/>
          <w:iCs w:val="1"/>
          <w:color w:val="auto"/>
        </w:rPr>
        <w:t xml:space="preserve"> и устойчивой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а также с повышенным сердечно</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сосудистым риском </w:t>
      </w:r>
      <w:r>
        <w:rPr>
          <w:rFonts w:ascii="Arial" w:cs="Arial" w:eastAsia="Arial" w:hAnsi="Arial"/>
          <w:sz w:val="25"/>
          <w:szCs w:val="25"/>
          <w:b w:val="1"/>
          <w:bCs w:val="1"/>
          <w:i w:val="1"/>
          <w:iCs w:val="1"/>
          <w:color w:val="auto"/>
        </w:rPr>
        <w:t>[227–230].</w:t>
      </w:r>
      <w:r>
        <w:rPr>
          <w:rFonts w:ascii="Arial" w:cs="Arial" w:eastAsia="Arial" w:hAnsi="Arial"/>
          <w:sz w:val="25"/>
          <w:szCs w:val="25"/>
          <w:b w:val="1"/>
          <w:bCs w:val="1"/>
          <w:i w:val="1"/>
          <w:iCs w:val="1"/>
          <w:color w:val="auto"/>
        </w:rPr>
        <w:t xml:space="preserve"> Различают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эффект белого халата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являющийся дополнительным прессорным ответом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реакцией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у пациента с АГ на измерение АД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реакция тревоги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чаще наблюдаемый в условиях медицинской организации</w:t>
      </w:r>
      <w:r>
        <w:rPr>
          <w:rFonts w:ascii="Arial" w:cs="Arial" w:eastAsia="Arial" w:hAnsi="Arial"/>
          <w:sz w:val="25"/>
          <w:szCs w:val="25"/>
          <w:b w:val="1"/>
          <w:bCs w:val="1"/>
          <w:i w:val="1"/>
          <w:iCs w:val="1"/>
          <w:color w:val="auto"/>
        </w:rPr>
        <w:t>.</w:t>
      </w:r>
    </w:p>
    <w:p>
      <w:pPr>
        <w:spacing w:after="0" w:line="209" w:lineRule="exact"/>
        <w:rPr>
          <w:sz w:val="20"/>
          <w:szCs w:val="20"/>
          <w:color w:val="auto"/>
        </w:rPr>
      </w:pPr>
    </w:p>
    <w:p>
      <w:pPr>
        <w:ind w:left="680"/>
        <w:spacing w:after="0"/>
        <w:tabs>
          <w:tab w:leader="none" w:pos="1460" w:val="left"/>
          <w:tab w:leader="none" w:pos="3160" w:val="left"/>
          <w:tab w:leader="none" w:pos="3620" w:val="left"/>
          <w:tab w:leader="none" w:pos="4280" w:val="left"/>
          <w:tab w:leader="none" w:pos="5580" w:val="left"/>
          <w:tab w:leader="none" w:pos="6880" w:val="left"/>
        </w:tabs>
        <w:rPr>
          <w:sz w:val="20"/>
          <w:szCs w:val="20"/>
          <w:color w:val="auto"/>
        </w:rPr>
      </w:pPr>
      <w:r>
        <w:rPr>
          <w:rFonts w:ascii="Arial" w:cs="Arial" w:eastAsia="Arial" w:hAnsi="Arial"/>
          <w:sz w:val="27"/>
          <w:szCs w:val="27"/>
          <w:color w:val="auto"/>
        </w:rPr>
        <w:t>Для</w:t>
        <w:tab/>
        <w:t>пациентов</w:t>
        <w:tab/>
        <w:t>с</w:t>
        <w:tab/>
        <w:t>АГ</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белого</w:t>
      </w:r>
      <w:r>
        <w:rPr>
          <w:sz w:val="20"/>
          <w:szCs w:val="20"/>
          <w:color w:val="auto"/>
        </w:rPr>
        <w:tab/>
      </w:r>
      <w:r>
        <w:rPr>
          <w:rFonts w:ascii="Arial" w:cs="Arial" w:eastAsia="Arial" w:hAnsi="Arial"/>
          <w:sz w:val="27"/>
          <w:szCs w:val="27"/>
          <w:color w:val="auto"/>
        </w:rPr>
        <w:t>халата</w:t>
      </w:r>
      <w:r>
        <w:rPr>
          <w:rFonts w:ascii="Arial" w:cs="Arial" w:eastAsia="Arial" w:hAnsi="Arial"/>
          <w:sz w:val="27"/>
          <w:szCs w:val="27"/>
          <w:color w:val="auto"/>
        </w:rPr>
        <w:t>»</w:t>
      </w:r>
      <w:r>
        <w:rPr>
          <w:sz w:val="20"/>
          <w:szCs w:val="20"/>
          <w:color w:val="auto"/>
        </w:rPr>
        <w:tab/>
      </w:r>
      <w:r>
        <w:rPr>
          <w:rFonts w:ascii="Arial" w:cs="Arial" w:eastAsia="Arial" w:hAnsi="Arial"/>
          <w:sz w:val="26"/>
          <w:szCs w:val="26"/>
          <w:color w:val="auto"/>
        </w:rPr>
        <w:t>рекомендуется</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8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рассмотреть возможность медикаментозной антигипертензивной терапии при наличии признаков ПОМ или высоком</w:t>
      </w:r>
      <w:r>
        <w:rPr>
          <w:rFonts w:ascii="Arial" w:cs="Arial" w:eastAsia="Arial" w:hAnsi="Arial"/>
          <w:sz w:val="27"/>
          <w:szCs w:val="27"/>
          <w:color w:val="auto"/>
        </w:rPr>
        <w:t>/</w:t>
      </w:r>
      <w:r>
        <w:rPr>
          <w:rFonts w:ascii="Arial" w:cs="Arial" w:eastAsia="Arial" w:hAnsi="Arial"/>
          <w:sz w:val="27"/>
          <w:szCs w:val="27"/>
          <w:color w:val="auto"/>
        </w:rPr>
        <w:t xml:space="preserve">очень высоком СС риске </w:t>
      </w:r>
      <w:r>
        <w:rPr>
          <w:rFonts w:ascii="Arial" w:cs="Arial" w:eastAsia="Arial" w:hAnsi="Arial"/>
          <w:sz w:val="27"/>
          <w:szCs w:val="27"/>
          <w:color w:val="auto"/>
        </w:rPr>
        <w:t>(</w:t>
      </w:r>
      <w:r>
        <w:rPr>
          <w:rFonts w:ascii="Arial" w:cs="Arial" w:eastAsia="Arial" w:hAnsi="Arial"/>
          <w:sz w:val="27"/>
          <w:szCs w:val="27"/>
          <w:color w:val="auto"/>
        </w:rPr>
        <w:t xml:space="preserve">раздел </w:t>
      </w:r>
      <w:r>
        <w:rPr>
          <w:rFonts w:ascii="Arial" w:cs="Arial" w:eastAsia="Arial" w:hAnsi="Arial"/>
          <w:sz w:val="27"/>
          <w:szCs w:val="27"/>
          <w:color w:val="auto"/>
        </w:rPr>
        <w:t>2.3,</w:t>
      </w:r>
      <w:r>
        <w:rPr>
          <w:rFonts w:ascii="Arial" w:cs="Arial" w:eastAsia="Arial" w:hAnsi="Arial"/>
          <w:sz w:val="27"/>
          <w:szCs w:val="27"/>
          <w:color w:val="auto"/>
        </w:rPr>
        <w:t xml:space="preserve"> Таблица П</w:t>
      </w:r>
      <w:r>
        <w:rPr>
          <w:rFonts w:ascii="Arial" w:cs="Arial" w:eastAsia="Arial" w:hAnsi="Arial"/>
          <w:sz w:val="27"/>
          <w:szCs w:val="27"/>
          <w:color w:val="auto"/>
        </w:rPr>
        <w:t>11,</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и Таблица П</w:t>
      </w:r>
      <w:r>
        <w:rPr>
          <w:rFonts w:ascii="Arial" w:cs="Arial" w:eastAsia="Arial" w:hAnsi="Arial"/>
          <w:sz w:val="27"/>
          <w:szCs w:val="27"/>
          <w:color w:val="auto"/>
        </w:rPr>
        <w:t>12,</w:t>
      </w:r>
      <w:r>
        <w:rPr>
          <w:rFonts w:ascii="Arial" w:cs="Arial" w:eastAsia="Arial" w:hAnsi="Arial"/>
          <w:sz w:val="27"/>
          <w:szCs w:val="27"/>
          <w:color w:val="auto"/>
        </w:rPr>
        <w:t xml:space="preserve"> Приложение Г</w:t>
      </w:r>
      <w:r>
        <w:rPr>
          <w:rFonts w:ascii="Arial" w:cs="Arial" w:eastAsia="Arial" w:hAnsi="Arial"/>
          <w:sz w:val="27"/>
          <w:szCs w:val="27"/>
          <w:color w:val="auto"/>
        </w:rPr>
        <w:t>2) [21, 22].</w:t>
      </w:r>
    </w:p>
    <w:p>
      <w:pPr>
        <w:spacing w:after="0" w:line="21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IIbC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40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Для остальных пациентов с АГ</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белого халата</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 xml:space="preserve">рутинная медикаментозная терапия не рекомендована </w:t>
      </w:r>
      <w:r>
        <w:rPr>
          <w:rFonts w:ascii="Arial" w:cs="Arial" w:eastAsia="Arial" w:hAnsi="Arial"/>
          <w:sz w:val="24"/>
          <w:szCs w:val="24"/>
          <w:b w:val="1"/>
          <w:bCs w:val="1"/>
          <w:i w:val="1"/>
          <w:iCs w:val="1"/>
          <w:color w:val="auto"/>
        </w:rPr>
        <w:t>[21, 22].</w:t>
      </w:r>
    </w:p>
    <w:p>
      <w:pPr>
        <w:spacing w:after="0" w:line="119"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3.6.13. «</w:t>
      </w:r>
      <w:r>
        <w:rPr>
          <w:rFonts w:ascii="Arial" w:cs="Arial" w:eastAsia="Arial" w:hAnsi="Arial"/>
          <w:sz w:val="27"/>
          <w:szCs w:val="27"/>
          <w:b w:val="1"/>
          <w:bCs w:val="1"/>
          <w:color w:val="auto"/>
        </w:rPr>
        <w:t>Маскированная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артериальная гипертензия</w:t>
      </w:r>
    </w:p>
    <w:p>
      <w:pPr>
        <w:spacing w:after="0" w:line="350" w:lineRule="exact"/>
        <w:rPr>
          <w:sz w:val="20"/>
          <w:szCs w:val="20"/>
          <w:color w:val="auto"/>
        </w:rPr>
      </w:pPr>
    </w:p>
    <w:p>
      <w:pPr>
        <w:jc w:val="both"/>
        <w:ind w:left="680" w:right="220"/>
        <w:spacing w:after="0" w:line="303" w:lineRule="auto"/>
        <w:rPr>
          <w:sz w:val="20"/>
          <w:szCs w:val="20"/>
          <w:color w:val="auto"/>
        </w:rPr>
      </w:pPr>
      <w:r>
        <w:rPr>
          <w:rFonts w:ascii="Arial" w:cs="Arial" w:eastAsia="Arial" w:hAnsi="Arial"/>
          <w:sz w:val="27"/>
          <w:szCs w:val="27"/>
          <w:color w:val="auto"/>
        </w:rPr>
        <w:t>«</w:t>
      </w:r>
      <w:r>
        <w:rPr>
          <w:rFonts w:ascii="Arial" w:cs="Arial" w:eastAsia="Arial" w:hAnsi="Arial"/>
          <w:sz w:val="27"/>
          <w:szCs w:val="27"/>
          <w:color w:val="auto"/>
        </w:rPr>
        <w:t>Маскированная</w:t>
      </w:r>
      <w:r>
        <w:rPr>
          <w:rFonts w:ascii="Arial" w:cs="Arial" w:eastAsia="Arial" w:hAnsi="Arial"/>
          <w:sz w:val="27"/>
          <w:szCs w:val="27"/>
          <w:color w:val="auto"/>
        </w:rPr>
        <w:t xml:space="preserve">» </w:t>
      </w:r>
      <w:r>
        <w:rPr>
          <w:rFonts w:ascii="Arial" w:cs="Arial" w:eastAsia="Arial" w:hAnsi="Arial"/>
          <w:sz w:val="27"/>
          <w:szCs w:val="27"/>
          <w:color w:val="auto"/>
        </w:rPr>
        <w:t>гипертензия</w:t>
      </w:r>
      <w:r>
        <w:rPr>
          <w:rFonts w:ascii="Arial" w:cs="Arial" w:eastAsia="Arial" w:hAnsi="Arial"/>
          <w:sz w:val="27"/>
          <w:szCs w:val="27"/>
          <w:color w:val="auto"/>
        </w:rPr>
        <w:t xml:space="preserve"> (</w:t>
      </w:r>
      <w:r>
        <w:rPr>
          <w:rFonts w:ascii="Arial" w:cs="Arial" w:eastAsia="Arial" w:hAnsi="Arial"/>
          <w:sz w:val="27"/>
          <w:szCs w:val="27"/>
          <w:color w:val="auto"/>
        </w:rPr>
        <w:t>МГ</w:t>
      </w:r>
      <w:r>
        <w:rPr>
          <w:rFonts w:ascii="Arial" w:cs="Arial" w:eastAsia="Arial" w:hAnsi="Arial"/>
          <w:sz w:val="27"/>
          <w:szCs w:val="27"/>
          <w:color w:val="auto"/>
        </w:rPr>
        <w:t>) (</w:t>
      </w:r>
      <w:r>
        <w:rPr>
          <w:rFonts w:ascii="Arial" w:cs="Arial" w:eastAsia="Arial" w:hAnsi="Arial"/>
          <w:sz w:val="27"/>
          <w:szCs w:val="27"/>
          <w:color w:val="auto"/>
        </w:rPr>
        <w:t>скрытая гипертензия</w:t>
      </w:r>
      <w:r>
        <w:rPr>
          <w:rFonts w:ascii="Arial" w:cs="Arial" w:eastAsia="Arial" w:hAnsi="Arial"/>
          <w:sz w:val="27"/>
          <w:szCs w:val="27"/>
          <w:color w:val="auto"/>
        </w:rPr>
        <w:t xml:space="preserve">) </w:t>
      </w:r>
      <w:r>
        <w:rPr>
          <w:rFonts w:ascii="Arial" w:cs="Arial" w:eastAsia="Arial" w:hAnsi="Arial"/>
          <w:sz w:val="27"/>
          <w:szCs w:val="27"/>
          <w:color w:val="auto"/>
        </w:rPr>
        <w:t>диагностируется у пациентов с нормальными показателями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 медицинском учреждении</w:t>
      </w:r>
      <w:r>
        <w:rPr>
          <w:rFonts w:ascii="Arial" w:cs="Arial" w:eastAsia="Arial" w:hAnsi="Arial"/>
          <w:sz w:val="27"/>
          <w:szCs w:val="27"/>
          <w:color w:val="auto"/>
        </w:rPr>
        <w:t>,</w:t>
      </w:r>
      <w:r>
        <w:rPr>
          <w:rFonts w:ascii="Arial" w:cs="Arial" w:eastAsia="Arial" w:hAnsi="Arial"/>
          <w:sz w:val="27"/>
          <w:szCs w:val="27"/>
          <w:color w:val="auto"/>
        </w:rPr>
        <w:t xml:space="preserve"> но с повышенными значениями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вне медицинского учреждения</w:t>
      </w:r>
      <w:r>
        <w:rPr>
          <w:rFonts w:ascii="Arial" w:cs="Arial" w:eastAsia="Arial" w:hAnsi="Arial"/>
          <w:sz w:val="27"/>
          <w:szCs w:val="27"/>
          <w:color w:val="auto"/>
        </w:rPr>
        <w:t>.</w:t>
      </w:r>
      <w:r>
        <w:rPr>
          <w:rFonts w:ascii="Arial" w:cs="Arial" w:eastAsia="Arial" w:hAnsi="Arial"/>
          <w:sz w:val="27"/>
          <w:szCs w:val="27"/>
          <w:color w:val="auto"/>
        </w:rPr>
        <w:t xml:space="preserve"> У таких пациентов метаболические факторы риска и ПОМ</w:t>
      </w:r>
      <w:r>
        <w:rPr>
          <w:rFonts w:ascii="Arial" w:cs="Arial" w:eastAsia="Arial" w:hAnsi="Arial"/>
          <w:sz w:val="27"/>
          <w:szCs w:val="27"/>
          <w:color w:val="auto"/>
        </w:rPr>
        <w:t>,</w:t>
      </w:r>
      <w:r>
        <w:rPr>
          <w:rFonts w:ascii="Arial" w:cs="Arial" w:eastAsia="Arial" w:hAnsi="Arial"/>
          <w:sz w:val="27"/>
          <w:szCs w:val="27"/>
          <w:color w:val="auto"/>
        </w:rPr>
        <w:t xml:space="preserve"> встречается чаще</w:t>
      </w:r>
      <w:r>
        <w:rPr>
          <w:rFonts w:ascii="Arial" w:cs="Arial" w:eastAsia="Arial" w:hAnsi="Arial"/>
          <w:sz w:val="27"/>
          <w:szCs w:val="27"/>
          <w:color w:val="auto"/>
        </w:rPr>
        <w:t>,</w:t>
      </w:r>
      <w:r>
        <w:rPr>
          <w:rFonts w:ascii="Arial" w:cs="Arial" w:eastAsia="Arial" w:hAnsi="Arial"/>
          <w:sz w:val="27"/>
          <w:szCs w:val="27"/>
          <w:color w:val="auto"/>
        </w:rPr>
        <w:t xml:space="preserve"> чем у пациентов с истинной нормотензией </w:t>
      </w:r>
      <w:r>
        <w:rPr>
          <w:rFonts w:ascii="Arial" w:cs="Arial" w:eastAsia="Arial" w:hAnsi="Arial"/>
          <w:sz w:val="27"/>
          <w:szCs w:val="27"/>
          <w:color w:val="auto"/>
        </w:rPr>
        <w:t>[37, 228–231].</w:t>
      </w:r>
      <w:r>
        <w:rPr>
          <w:rFonts w:ascii="Arial" w:cs="Arial" w:eastAsia="Arial" w:hAnsi="Arial"/>
          <w:sz w:val="27"/>
          <w:szCs w:val="27"/>
          <w:color w:val="auto"/>
        </w:rPr>
        <w:t xml:space="preserve"> Проблему представляет диагностика </w:t>
      </w:r>
      <w:r>
        <w:rPr>
          <w:rFonts w:ascii="Arial" w:cs="Arial" w:eastAsia="Arial" w:hAnsi="Arial"/>
          <w:sz w:val="27"/>
          <w:szCs w:val="27"/>
          <w:color w:val="auto"/>
        </w:rPr>
        <w:t>«</w:t>
      </w:r>
      <w:r>
        <w:rPr>
          <w:rFonts w:ascii="Arial" w:cs="Arial" w:eastAsia="Arial" w:hAnsi="Arial"/>
          <w:sz w:val="27"/>
          <w:szCs w:val="27"/>
          <w:color w:val="auto"/>
        </w:rPr>
        <w:t>маскированной</w:t>
      </w:r>
      <w:r>
        <w:rPr>
          <w:rFonts w:ascii="Arial" w:cs="Arial" w:eastAsia="Arial" w:hAnsi="Arial"/>
          <w:sz w:val="27"/>
          <w:szCs w:val="27"/>
          <w:color w:val="auto"/>
        </w:rPr>
        <w:t>»</w:t>
      </w:r>
      <w:r>
        <w:rPr>
          <w:rFonts w:ascii="Arial" w:cs="Arial" w:eastAsia="Arial" w:hAnsi="Arial"/>
          <w:sz w:val="27"/>
          <w:szCs w:val="27"/>
          <w:color w:val="auto"/>
        </w:rPr>
        <w:t xml:space="preserve"> АГ</w:t>
      </w:r>
      <w:r>
        <w:rPr>
          <w:rFonts w:ascii="Arial" w:cs="Arial" w:eastAsia="Arial" w:hAnsi="Arial"/>
          <w:sz w:val="27"/>
          <w:szCs w:val="27"/>
          <w:color w:val="auto"/>
        </w:rPr>
        <w:t>,</w:t>
      </w:r>
      <w:r>
        <w:rPr>
          <w:rFonts w:ascii="Arial" w:cs="Arial" w:eastAsia="Arial" w:hAnsi="Arial"/>
          <w:sz w:val="27"/>
          <w:szCs w:val="27"/>
          <w:color w:val="auto"/>
        </w:rPr>
        <w:t xml:space="preserve"> поскольку большинство скрининговых программ основано на использовании показателей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 медицинском учреждении</w:t>
      </w:r>
      <w:r>
        <w:rPr>
          <w:rFonts w:ascii="Arial" w:cs="Arial" w:eastAsia="Arial" w:hAnsi="Arial"/>
          <w:sz w:val="27"/>
          <w:szCs w:val="27"/>
          <w:color w:val="auto"/>
        </w:rPr>
        <w:t>,</w:t>
      </w:r>
      <w:r>
        <w:rPr>
          <w:rFonts w:ascii="Arial" w:cs="Arial" w:eastAsia="Arial" w:hAnsi="Arial"/>
          <w:sz w:val="27"/>
          <w:szCs w:val="27"/>
          <w:color w:val="auto"/>
        </w:rPr>
        <w:t xml:space="preserve"> которое является нормальным</w:t>
      </w:r>
      <w:r>
        <w:rPr>
          <w:rFonts w:ascii="Arial" w:cs="Arial" w:eastAsia="Arial" w:hAnsi="Arial"/>
          <w:sz w:val="27"/>
          <w:szCs w:val="27"/>
          <w:color w:val="auto"/>
        </w:rPr>
        <w:t>. «</w:t>
      </w:r>
      <w:r>
        <w:rPr>
          <w:rFonts w:ascii="Arial" w:cs="Arial" w:eastAsia="Arial" w:hAnsi="Arial"/>
          <w:sz w:val="27"/>
          <w:szCs w:val="27"/>
          <w:color w:val="auto"/>
        </w:rPr>
        <w:t>Маскированная</w:t>
      </w:r>
      <w:r>
        <w:rPr>
          <w:rFonts w:ascii="Arial" w:cs="Arial" w:eastAsia="Arial" w:hAnsi="Arial"/>
          <w:sz w:val="27"/>
          <w:szCs w:val="27"/>
          <w:color w:val="auto"/>
        </w:rPr>
        <w:t>»</w:t>
      </w:r>
      <w:r>
        <w:rPr>
          <w:rFonts w:ascii="Arial" w:cs="Arial" w:eastAsia="Arial" w:hAnsi="Arial"/>
          <w:sz w:val="27"/>
          <w:szCs w:val="27"/>
          <w:color w:val="auto"/>
        </w:rPr>
        <w:t xml:space="preserve"> АГ чаще встречается у молодых пациентов</w:t>
      </w:r>
      <w:r>
        <w:rPr>
          <w:rFonts w:ascii="Arial" w:cs="Arial" w:eastAsia="Arial" w:hAnsi="Arial"/>
          <w:sz w:val="27"/>
          <w:szCs w:val="27"/>
          <w:color w:val="auto"/>
        </w:rPr>
        <w:t>,</w:t>
      </w:r>
      <w:r>
        <w:rPr>
          <w:rFonts w:ascii="Arial" w:cs="Arial" w:eastAsia="Arial" w:hAnsi="Arial"/>
          <w:sz w:val="27"/>
          <w:szCs w:val="27"/>
          <w:color w:val="auto"/>
        </w:rPr>
        <w:t xml:space="preserve"> чем у пожилых</w:t>
      </w:r>
      <w:r>
        <w:rPr>
          <w:rFonts w:ascii="Arial" w:cs="Arial" w:eastAsia="Arial" w:hAnsi="Arial"/>
          <w:sz w:val="27"/>
          <w:szCs w:val="27"/>
          <w:color w:val="auto"/>
        </w:rPr>
        <w:t>,</w:t>
      </w:r>
      <w:r>
        <w:rPr>
          <w:rFonts w:ascii="Arial" w:cs="Arial" w:eastAsia="Arial" w:hAnsi="Arial"/>
          <w:sz w:val="27"/>
          <w:szCs w:val="27"/>
          <w:color w:val="auto"/>
        </w:rPr>
        <w:t xml:space="preserve"> а также у тех</w:t>
      </w:r>
      <w:r>
        <w:rPr>
          <w:rFonts w:ascii="Arial" w:cs="Arial" w:eastAsia="Arial" w:hAnsi="Arial"/>
          <w:sz w:val="27"/>
          <w:szCs w:val="27"/>
          <w:color w:val="auto"/>
        </w:rPr>
        <w:t>,</w:t>
      </w:r>
      <w:r>
        <w:rPr>
          <w:rFonts w:ascii="Arial" w:cs="Arial" w:eastAsia="Arial" w:hAnsi="Arial"/>
          <w:sz w:val="27"/>
          <w:szCs w:val="27"/>
          <w:color w:val="auto"/>
        </w:rPr>
        <w:t xml:space="preserve"> чьи показатели клинического АД находятся в пределах значений высокого нормального АД </w:t>
      </w:r>
      <w:r>
        <w:rPr>
          <w:rFonts w:ascii="Arial" w:cs="Arial" w:eastAsia="Arial" w:hAnsi="Arial"/>
          <w:sz w:val="27"/>
          <w:szCs w:val="27"/>
          <w:color w:val="auto"/>
        </w:rPr>
        <w:t>(130–139/80–89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Она редко встречается у лиц с показателями клинического АД </w:t>
      </w:r>
      <w:r>
        <w:rPr>
          <w:rFonts w:ascii="Arial" w:cs="Arial" w:eastAsia="Arial" w:hAnsi="Arial"/>
          <w:sz w:val="27"/>
          <w:szCs w:val="27"/>
          <w:color w:val="auto"/>
        </w:rPr>
        <w:t xml:space="preserve">&lt;130/80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w:t>
      </w:r>
      <w:r>
        <w:rPr>
          <w:rFonts w:ascii="Arial" w:cs="Arial" w:eastAsia="Arial" w:hAnsi="Arial"/>
          <w:sz w:val="27"/>
          <w:szCs w:val="27"/>
          <w:color w:val="auto"/>
        </w:rPr>
        <w:t>Маскированная</w:t>
      </w:r>
      <w:r>
        <w:rPr>
          <w:rFonts w:ascii="Arial" w:cs="Arial" w:eastAsia="Arial" w:hAnsi="Arial"/>
          <w:sz w:val="27"/>
          <w:szCs w:val="27"/>
          <w:color w:val="auto"/>
        </w:rPr>
        <w:t xml:space="preserve">» </w:t>
      </w:r>
      <w:r>
        <w:rPr>
          <w:rFonts w:ascii="Arial" w:cs="Arial" w:eastAsia="Arial" w:hAnsi="Arial"/>
          <w:sz w:val="27"/>
          <w:szCs w:val="27"/>
          <w:color w:val="auto"/>
        </w:rPr>
        <w:t>АГ ассоциируется с</w:t>
      </w:r>
      <w:r>
        <w:rPr>
          <w:rFonts w:ascii="Arial" w:cs="Arial" w:eastAsia="Arial" w:hAnsi="Arial"/>
          <w:sz w:val="27"/>
          <w:szCs w:val="27"/>
          <w:color w:val="auto"/>
        </w:rPr>
        <w:t xml:space="preserve"> </w:t>
      </w:r>
      <w:r>
        <w:rPr>
          <w:rFonts w:ascii="Arial" w:cs="Arial" w:eastAsia="Arial" w:hAnsi="Arial"/>
          <w:sz w:val="27"/>
          <w:szCs w:val="27"/>
          <w:color w:val="auto"/>
        </w:rPr>
        <w:t>повышением риска прогрессирования заболевания до стойкой АГ</w:t>
      </w:r>
      <w:r>
        <w:rPr>
          <w:rFonts w:ascii="Arial" w:cs="Arial" w:eastAsia="Arial" w:hAnsi="Arial"/>
          <w:sz w:val="27"/>
          <w:szCs w:val="27"/>
          <w:color w:val="auto"/>
        </w:rPr>
        <w:t>,</w:t>
      </w:r>
      <w:r>
        <w:rPr>
          <w:rFonts w:ascii="Arial" w:cs="Arial" w:eastAsia="Arial" w:hAnsi="Arial"/>
          <w:sz w:val="27"/>
          <w:szCs w:val="27"/>
          <w:color w:val="auto"/>
        </w:rPr>
        <w:t xml:space="preserve"> повышенной частотой развития СД типа </w:t>
      </w:r>
      <w:r>
        <w:rPr>
          <w:rFonts w:ascii="Arial" w:cs="Arial" w:eastAsia="Arial" w:hAnsi="Arial"/>
          <w:sz w:val="27"/>
          <w:szCs w:val="27"/>
          <w:color w:val="auto"/>
        </w:rPr>
        <w:t>2</w:t>
      </w:r>
      <w:r>
        <w:rPr>
          <w:rFonts w:ascii="Arial" w:cs="Arial" w:eastAsia="Arial" w:hAnsi="Arial"/>
          <w:sz w:val="27"/>
          <w:szCs w:val="27"/>
          <w:color w:val="auto"/>
        </w:rPr>
        <w:t xml:space="preserve"> и наличием ПОМ</w:t>
      </w:r>
    </w:p>
    <w:p>
      <w:pPr>
        <w:sectPr>
          <w:pgSz w:w="11900" w:h="16840" w:orient="portrait"/>
          <w:cols w:equalWidth="0" w:num="1">
            <w:col w:w="9020"/>
          </w:cols>
          <w:pgMar w:left="1440" w:top="19" w:right="1440" w:bottom="0" w:gutter="0" w:footer="0" w:header="0"/>
        </w:sectPr>
      </w:pPr>
    </w:p>
    <w:bookmarkStart w:id="66" w:name="page67"/>
    <w:bookmarkEnd w:id="66"/>
    <w:p>
      <w:pPr>
        <w:spacing w:after="0" w:line="75"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[21, 22]. </w:t>
      </w:r>
      <w:r>
        <w:rPr>
          <w:rFonts w:ascii="Arial" w:cs="Arial" w:eastAsia="Arial" w:hAnsi="Arial"/>
          <w:sz w:val="27"/>
          <w:szCs w:val="27"/>
          <w:color w:val="auto"/>
        </w:rPr>
        <w:t>Уровень отдаленного риска развития фатальных и</w:t>
      </w:r>
      <w:r>
        <w:rPr>
          <w:rFonts w:ascii="Arial" w:cs="Arial" w:eastAsia="Arial" w:hAnsi="Arial"/>
          <w:sz w:val="27"/>
          <w:szCs w:val="27"/>
          <w:color w:val="auto"/>
        </w:rPr>
        <w:t xml:space="preserve"> </w:t>
      </w:r>
      <w:r>
        <w:rPr>
          <w:rFonts w:ascii="Arial" w:cs="Arial" w:eastAsia="Arial" w:hAnsi="Arial"/>
          <w:sz w:val="27"/>
          <w:szCs w:val="27"/>
          <w:color w:val="auto"/>
        </w:rPr>
        <w:t xml:space="preserve">нефатальных СС событий приближается к значению этого показателя у пациентов с устойчивой АГ </w:t>
      </w:r>
      <w:r>
        <w:rPr>
          <w:rFonts w:ascii="Arial" w:cs="Arial" w:eastAsia="Arial" w:hAnsi="Arial"/>
          <w:sz w:val="27"/>
          <w:szCs w:val="27"/>
          <w:color w:val="auto"/>
        </w:rPr>
        <w:t>[37, 38, 98, 232–233].</w:t>
      </w:r>
    </w:p>
    <w:p>
      <w:pPr>
        <w:spacing w:after="0" w:line="21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Всем пациентам с </w:t>
      </w:r>
      <w:r>
        <w:rPr>
          <w:rFonts w:ascii="Arial" w:cs="Arial" w:eastAsia="Arial" w:hAnsi="Arial"/>
          <w:sz w:val="27"/>
          <w:szCs w:val="27"/>
          <w:color w:val="auto"/>
        </w:rPr>
        <w:t>«</w:t>
      </w:r>
      <w:r>
        <w:rPr>
          <w:rFonts w:ascii="Arial" w:cs="Arial" w:eastAsia="Arial" w:hAnsi="Arial"/>
          <w:sz w:val="27"/>
          <w:szCs w:val="27"/>
          <w:color w:val="auto"/>
        </w:rPr>
        <w:t>маскированной</w:t>
      </w:r>
      <w:r>
        <w:rPr>
          <w:rFonts w:ascii="Arial" w:cs="Arial" w:eastAsia="Arial" w:hAnsi="Arial"/>
          <w:sz w:val="27"/>
          <w:szCs w:val="27"/>
          <w:color w:val="auto"/>
        </w:rPr>
        <w:t>»</w:t>
      </w:r>
      <w:r>
        <w:rPr>
          <w:rFonts w:ascii="Arial" w:cs="Arial" w:eastAsia="Arial" w:hAnsi="Arial"/>
          <w:sz w:val="27"/>
          <w:szCs w:val="27"/>
          <w:color w:val="auto"/>
        </w:rPr>
        <w:t xml:space="preserve"> АГ рекомендуются мероприятия по изменению образа жизни с целью уменьшения СС риска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w:t>
      </w:r>
      <w:r>
        <w:rPr>
          <w:rFonts w:ascii="Arial" w:cs="Arial" w:eastAsia="Arial" w:hAnsi="Arial"/>
          <w:sz w:val="27"/>
          <w:szCs w:val="27"/>
          <w:color w:val="auto"/>
        </w:rPr>
        <w:t>«</w:t>
      </w:r>
      <w:r>
        <w:rPr>
          <w:rFonts w:ascii="Arial" w:cs="Arial" w:eastAsia="Arial" w:hAnsi="Arial"/>
          <w:sz w:val="27"/>
          <w:szCs w:val="27"/>
          <w:color w:val="auto"/>
        </w:rPr>
        <w:t>маскированной</w:t>
      </w:r>
      <w:r>
        <w:rPr>
          <w:rFonts w:ascii="Arial" w:cs="Arial" w:eastAsia="Arial" w:hAnsi="Arial"/>
          <w:sz w:val="27"/>
          <w:szCs w:val="27"/>
          <w:color w:val="auto"/>
        </w:rPr>
        <w:t>»</w:t>
      </w:r>
      <w:r>
        <w:rPr>
          <w:rFonts w:ascii="Arial" w:cs="Arial" w:eastAsia="Arial" w:hAnsi="Arial"/>
          <w:sz w:val="27"/>
          <w:szCs w:val="27"/>
          <w:color w:val="auto"/>
        </w:rPr>
        <w:t xml:space="preserve"> АГ рекомендуется регулярное наблюдение</w:t>
      </w:r>
      <w:r>
        <w:rPr>
          <w:rFonts w:ascii="Arial" w:cs="Arial" w:eastAsia="Arial" w:hAnsi="Arial"/>
          <w:sz w:val="27"/>
          <w:szCs w:val="27"/>
          <w:color w:val="auto"/>
        </w:rPr>
        <w:t>,</w:t>
      </w:r>
      <w:r>
        <w:rPr>
          <w:rFonts w:ascii="Arial" w:cs="Arial" w:eastAsia="Arial" w:hAnsi="Arial"/>
          <w:sz w:val="27"/>
          <w:szCs w:val="27"/>
          <w:color w:val="auto"/>
        </w:rPr>
        <w:t xml:space="preserve"> включающее периодическое мониторирование показателей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вне медицинского учреждения </w:t>
      </w:r>
      <w:r>
        <w:rPr>
          <w:rFonts w:ascii="Arial" w:cs="Arial" w:eastAsia="Arial" w:hAnsi="Arial"/>
          <w:sz w:val="27"/>
          <w:szCs w:val="27"/>
          <w:color w:val="auto"/>
        </w:rPr>
        <w:t>[21, 22, 230, 232].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9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Всем пациентам с </w:t>
      </w:r>
      <w:r>
        <w:rPr>
          <w:rFonts w:ascii="Arial" w:cs="Arial" w:eastAsia="Arial" w:hAnsi="Arial"/>
          <w:sz w:val="27"/>
          <w:szCs w:val="27"/>
          <w:color w:val="auto"/>
        </w:rPr>
        <w:t>«</w:t>
      </w:r>
      <w:r>
        <w:rPr>
          <w:rFonts w:ascii="Arial" w:cs="Arial" w:eastAsia="Arial" w:hAnsi="Arial"/>
          <w:sz w:val="27"/>
          <w:szCs w:val="27"/>
          <w:color w:val="auto"/>
        </w:rPr>
        <w:t>маскированной</w:t>
      </w:r>
      <w:r>
        <w:rPr>
          <w:rFonts w:ascii="Arial" w:cs="Arial" w:eastAsia="Arial" w:hAnsi="Arial"/>
          <w:sz w:val="27"/>
          <w:szCs w:val="27"/>
          <w:color w:val="auto"/>
        </w:rPr>
        <w:t>»</w:t>
      </w:r>
      <w:r>
        <w:rPr>
          <w:rFonts w:ascii="Arial" w:cs="Arial" w:eastAsia="Arial" w:hAnsi="Arial"/>
          <w:sz w:val="27"/>
          <w:szCs w:val="27"/>
          <w:color w:val="auto"/>
        </w:rPr>
        <w:t xml:space="preserve"> АГ рекомендуется проведение антигипертензивной медикаментозной терапии</w:t>
      </w:r>
      <w:r>
        <w:rPr>
          <w:rFonts w:ascii="Arial" w:cs="Arial" w:eastAsia="Arial" w:hAnsi="Arial"/>
          <w:sz w:val="27"/>
          <w:szCs w:val="27"/>
          <w:color w:val="auto"/>
        </w:rPr>
        <w:t>,</w:t>
      </w:r>
      <w:r>
        <w:rPr>
          <w:rFonts w:ascii="Arial" w:cs="Arial" w:eastAsia="Arial" w:hAnsi="Arial"/>
          <w:sz w:val="27"/>
          <w:szCs w:val="27"/>
          <w:color w:val="auto"/>
        </w:rPr>
        <w:t xml:space="preserve"> учитывая прогностическое значение высоких значений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вне медицинского учреждения </w:t>
      </w:r>
      <w:r>
        <w:rPr>
          <w:rFonts w:ascii="Arial" w:cs="Arial" w:eastAsia="Arial" w:hAnsi="Arial"/>
          <w:sz w:val="27"/>
          <w:szCs w:val="27"/>
          <w:color w:val="auto"/>
        </w:rPr>
        <w:t>[38, 228, 232].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9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IIaC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09" w:lineRule="auto"/>
        <w:rPr>
          <w:sz w:val="20"/>
          <w:szCs w:val="20"/>
          <w:color w:val="auto"/>
        </w:rPr>
      </w:pPr>
      <w:r>
        <w:rPr>
          <w:rFonts w:ascii="Arial" w:cs="Arial" w:eastAsia="Arial" w:hAnsi="Arial"/>
          <w:sz w:val="27"/>
          <w:szCs w:val="27"/>
          <w:color w:val="auto"/>
        </w:rPr>
        <w:t xml:space="preserve">Пациентам с неконтролируемой </w:t>
      </w:r>
      <w:r>
        <w:rPr>
          <w:rFonts w:ascii="Arial" w:cs="Arial" w:eastAsia="Arial" w:hAnsi="Arial"/>
          <w:sz w:val="27"/>
          <w:szCs w:val="27"/>
          <w:color w:val="auto"/>
        </w:rPr>
        <w:t>«</w:t>
      </w:r>
      <w:r>
        <w:rPr>
          <w:rFonts w:ascii="Arial" w:cs="Arial" w:eastAsia="Arial" w:hAnsi="Arial"/>
          <w:sz w:val="27"/>
          <w:szCs w:val="27"/>
          <w:color w:val="auto"/>
        </w:rPr>
        <w:t>маскированной</w:t>
      </w:r>
      <w:r>
        <w:rPr>
          <w:rFonts w:ascii="Arial" w:cs="Arial" w:eastAsia="Arial" w:hAnsi="Arial"/>
          <w:sz w:val="27"/>
          <w:szCs w:val="27"/>
          <w:color w:val="auto"/>
        </w:rPr>
        <w:t>»</w:t>
      </w:r>
      <w:r>
        <w:rPr>
          <w:rFonts w:ascii="Arial" w:cs="Arial" w:eastAsia="Arial" w:hAnsi="Arial"/>
          <w:sz w:val="27"/>
          <w:szCs w:val="27"/>
          <w:color w:val="auto"/>
        </w:rPr>
        <w:t xml:space="preserve"> АГ </w:t>
      </w:r>
      <w:r>
        <w:rPr>
          <w:rFonts w:ascii="Arial" w:cs="Arial" w:eastAsia="Arial" w:hAnsi="Arial"/>
          <w:sz w:val="27"/>
          <w:szCs w:val="27"/>
          <w:color w:val="auto"/>
        </w:rPr>
        <w:t>(</w:t>
      </w:r>
      <w:r>
        <w:rPr>
          <w:rFonts w:ascii="Arial" w:cs="Arial" w:eastAsia="Arial" w:hAnsi="Arial"/>
          <w:sz w:val="27"/>
          <w:szCs w:val="27"/>
          <w:color w:val="auto"/>
        </w:rPr>
        <w:t>не достигнут контроль АД</w:t>
      </w:r>
      <w:r>
        <w:rPr>
          <w:rFonts w:ascii="Arial" w:cs="Arial" w:eastAsia="Arial" w:hAnsi="Arial"/>
          <w:sz w:val="27"/>
          <w:szCs w:val="27"/>
          <w:color w:val="auto"/>
        </w:rPr>
        <w:t>,</w:t>
      </w:r>
      <w:r>
        <w:rPr>
          <w:rFonts w:ascii="Arial" w:cs="Arial" w:eastAsia="Arial" w:hAnsi="Arial"/>
          <w:sz w:val="27"/>
          <w:szCs w:val="27"/>
          <w:color w:val="auto"/>
        </w:rPr>
        <w:t xml:space="preserve"> измеренного вне медицинского учреждения</w:t>
      </w:r>
      <w:r>
        <w:rPr>
          <w:rFonts w:ascii="Arial" w:cs="Arial" w:eastAsia="Arial" w:hAnsi="Arial"/>
          <w:sz w:val="27"/>
          <w:szCs w:val="27"/>
          <w:color w:val="auto"/>
        </w:rPr>
        <w:t>),</w:t>
      </w:r>
      <w:r>
        <w:rPr>
          <w:rFonts w:ascii="Arial" w:cs="Arial" w:eastAsia="Arial" w:hAnsi="Arial"/>
          <w:sz w:val="27"/>
          <w:szCs w:val="27"/>
          <w:color w:val="auto"/>
        </w:rPr>
        <w:t xml:space="preserve"> получающим медикаментозное лечение</w:t>
      </w:r>
      <w:r>
        <w:rPr>
          <w:rFonts w:ascii="Arial" w:cs="Arial" w:eastAsia="Arial" w:hAnsi="Arial"/>
          <w:sz w:val="27"/>
          <w:szCs w:val="27"/>
          <w:color w:val="auto"/>
        </w:rPr>
        <w:t>,</w:t>
      </w:r>
      <w:r>
        <w:rPr>
          <w:rFonts w:ascii="Arial" w:cs="Arial" w:eastAsia="Arial" w:hAnsi="Arial"/>
          <w:sz w:val="27"/>
          <w:szCs w:val="27"/>
          <w:color w:val="auto"/>
        </w:rPr>
        <w:t xml:space="preserve"> рекомендуется усиление АГТ с целью снижения СС риска </w:t>
      </w:r>
      <w:r>
        <w:rPr>
          <w:rFonts w:ascii="Arial" w:cs="Arial" w:eastAsia="Arial" w:hAnsi="Arial"/>
          <w:sz w:val="27"/>
          <w:szCs w:val="27"/>
          <w:color w:val="auto"/>
        </w:rPr>
        <w:t>[230,</w:t>
      </w:r>
      <w:r>
        <w:rPr>
          <w:rFonts w:ascii="Arial" w:cs="Arial" w:eastAsia="Arial" w:hAnsi="Arial"/>
          <w:sz w:val="27"/>
          <w:szCs w:val="27"/>
          <w:color w:val="auto"/>
        </w:rPr>
        <w:t xml:space="preserve"> </w:t>
      </w:r>
      <w:r>
        <w:rPr>
          <w:rFonts w:ascii="Arial" w:cs="Arial" w:eastAsia="Arial" w:hAnsi="Arial"/>
          <w:sz w:val="27"/>
          <w:szCs w:val="27"/>
          <w:color w:val="auto"/>
        </w:rPr>
        <w:t>232].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9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IIaC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3.6.14. </w:t>
      </w:r>
      <w:r>
        <w:rPr>
          <w:rFonts w:ascii="Arial" w:cs="Arial" w:eastAsia="Arial" w:hAnsi="Arial"/>
          <w:sz w:val="27"/>
          <w:szCs w:val="27"/>
          <w:b w:val="1"/>
          <w:bCs w:val="1"/>
          <w:color w:val="auto"/>
        </w:rPr>
        <w:t>Артериальная гипертензия у молодых пациентов</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(&lt;50 </w:t>
      </w:r>
      <w:r>
        <w:rPr>
          <w:rFonts w:ascii="Arial" w:cs="Arial" w:eastAsia="Arial" w:hAnsi="Arial"/>
          <w:sz w:val="27"/>
          <w:szCs w:val="27"/>
          <w:b w:val="1"/>
          <w:bCs w:val="1"/>
          <w:i w:val="1"/>
          <w:iCs w:val="1"/>
          <w:color w:val="auto"/>
        </w:rPr>
        <w:t>лет</w:t>
      </w:r>
      <w:r>
        <w:rPr>
          <w:rFonts w:ascii="Arial" w:cs="Arial" w:eastAsia="Arial" w:hAnsi="Arial"/>
          <w:sz w:val="27"/>
          <w:szCs w:val="27"/>
          <w:b w:val="1"/>
          <w:bCs w:val="1"/>
          <w:i w:val="1"/>
          <w:iCs w:val="1"/>
          <w:color w:val="auto"/>
        </w:rPr>
        <w:t>)</w:t>
      </w:r>
    </w:p>
    <w:p>
      <w:pPr>
        <w:spacing w:after="0" w:line="179"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АГ у молодых пациентов характеризуется более высокой частотой повышения ДАД и изолированной диастолической АГ</w:t>
      </w:r>
    </w:p>
    <w:p>
      <w:pPr>
        <w:spacing w:after="0" w:line="2" w:lineRule="exact"/>
        <w:rPr>
          <w:sz w:val="20"/>
          <w:szCs w:val="20"/>
          <w:color w:val="auto"/>
        </w:rPr>
      </w:pPr>
    </w:p>
    <w:p>
      <w:pPr>
        <w:jc w:val="both"/>
        <w:ind w:left="680" w:right="220" w:hanging="4"/>
        <w:spacing w:after="0" w:line="312" w:lineRule="auto"/>
        <w:tabs>
          <w:tab w:leader="none" w:pos="1362" w:val="left"/>
        </w:tabs>
        <w:numPr>
          <w:ilvl w:val="0"/>
          <w:numId w:val="49"/>
        </w:numPr>
        <w:rPr>
          <w:rFonts w:ascii="Arial" w:cs="Arial" w:eastAsia="Arial" w:hAnsi="Arial"/>
          <w:sz w:val="27"/>
          <w:szCs w:val="27"/>
          <w:color w:val="auto"/>
        </w:rPr>
      </w:pPr>
      <w:r>
        <w:rPr>
          <w:rFonts w:ascii="Arial" w:cs="Arial" w:eastAsia="Arial" w:hAnsi="Arial"/>
          <w:sz w:val="27"/>
          <w:szCs w:val="27"/>
          <w:color w:val="auto"/>
        </w:rPr>
        <w:t>При обследовании пациентов этой возрастной группы</w:t>
      </w:r>
      <w:r>
        <w:rPr>
          <w:rFonts w:ascii="Arial" w:cs="Arial" w:eastAsia="Arial" w:hAnsi="Arial"/>
          <w:sz w:val="27"/>
          <w:szCs w:val="27"/>
          <w:color w:val="auto"/>
        </w:rPr>
        <w:t>,</w:t>
      </w:r>
      <w:r>
        <w:rPr>
          <w:rFonts w:ascii="Arial" w:cs="Arial" w:eastAsia="Arial" w:hAnsi="Arial"/>
          <w:sz w:val="27"/>
          <w:szCs w:val="27"/>
          <w:color w:val="auto"/>
        </w:rPr>
        <w:t xml:space="preserve"> особено при наличии тяжелой АГ</w:t>
      </w:r>
      <w:r>
        <w:rPr>
          <w:rFonts w:ascii="Arial" w:cs="Arial" w:eastAsia="Arial" w:hAnsi="Arial"/>
          <w:sz w:val="27"/>
          <w:szCs w:val="27"/>
          <w:color w:val="auto"/>
        </w:rPr>
        <w:t>,</w:t>
      </w:r>
      <w:r>
        <w:rPr>
          <w:rFonts w:ascii="Arial" w:cs="Arial" w:eastAsia="Arial" w:hAnsi="Arial"/>
          <w:sz w:val="27"/>
          <w:szCs w:val="27"/>
          <w:color w:val="auto"/>
        </w:rPr>
        <w:t xml:space="preserve"> следует учитывать</w:t>
      </w:r>
      <w:r>
        <w:rPr>
          <w:rFonts w:ascii="Arial" w:cs="Arial" w:eastAsia="Arial" w:hAnsi="Arial"/>
          <w:sz w:val="27"/>
          <w:szCs w:val="27"/>
          <w:color w:val="auto"/>
        </w:rPr>
        <w:t>,</w:t>
      </w:r>
      <w:r>
        <w:rPr>
          <w:rFonts w:ascii="Arial" w:cs="Arial" w:eastAsia="Arial" w:hAnsi="Arial"/>
          <w:sz w:val="27"/>
          <w:szCs w:val="27"/>
          <w:color w:val="auto"/>
        </w:rPr>
        <w:t xml:space="preserve"> что вероятность обнаружения вторичной гипертензии</w:t>
      </w:r>
      <w:r>
        <w:rPr>
          <w:rFonts w:ascii="Arial" w:cs="Arial" w:eastAsia="Arial" w:hAnsi="Arial"/>
          <w:sz w:val="27"/>
          <w:szCs w:val="27"/>
          <w:color w:val="auto"/>
        </w:rPr>
        <w:t>,</w:t>
      </w:r>
      <w:r>
        <w:rPr>
          <w:rFonts w:ascii="Arial" w:cs="Arial" w:eastAsia="Arial" w:hAnsi="Arial"/>
          <w:sz w:val="27"/>
          <w:szCs w:val="27"/>
          <w:color w:val="auto"/>
        </w:rPr>
        <w:t xml:space="preserve"> может достигать </w:t>
      </w:r>
      <w:r>
        <w:rPr>
          <w:rFonts w:ascii="Arial" w:cs="Arial" w:eastAsia="Arial" w:hAnsi="Arial"/>
          <w:sz w:val="27"/>
          <w:szCs w:val="27"/>
          <w:color w:val="auto"/>
        </w:rPr>
        <w:t>10% [21].</w:t>
      </w:r>
    </w:p>
    <w:p>
      <w:pPr>
        <w:spacing w:after="0" w:line="216" w:lineRule="exact"/>
        <w:rPr>
          <w:sz w:val="20"/>
          <w:szCs w:val="20"/>
          <w:color w:val="auto"/>
        </w:rPr>
      </w:pPr>
    </w:p>
    <w:p>
      <w:pPr>
        <w:jc w:val="both"/>
        <w:ind w:left="680" w:right="220"/>
        <w:spacing w:after="0" w:line="327" w:lineRule="auto"/>
        <w:rPr>
          <w:sz w:val="20"/>
          <w:szCs w:val="20"/>
          <w:color w:val="auto"/>
        </w:rPr>
      </w:pPr>
      <w:r>
        <w:rPr>
          <w:rFonts w:ascii="Arial" w:cs="Arial" w:eastAsia="Arial" w:hAnsi="Arial"/>
          <w:sz w:val="26"/>
          <w:szCs w:val="26"/>
          <w:color w:val="auto"/>
        </w:rPr>
        <w:t xml:space="preserve">Всем пациентам моложе </w:t>
      </w:r>
      <w:r>
        <w:rPr>
          <w:rFonts w:ascii="Arial" w:cs="Arial" w:eastAsia="Arial" w:hAnsi="Arial"/>
          <w:sz w:val="26"/>
          <w:szCs w:val="26"/>
          <w:color w:val="auto"/>
        </w:rPr>
        <w:t>50</w:t>
      </w:r>
      <w:r>
        <w:rPr>
          <w:rFonts w:ascii="Arial" w:cs="Arial" w:eastAsia="Arial" w:hAnsi="Arial"/>
          <w:sz w:val="26"/>
          <w:szCs w:val="26"/>
          <w:color w:val="auto"/>
        </w:rPr>
        <w:t xml:space="preserve"> лет при наличии АГ </w:t>
      </w:r>
      <w:r>
        <w:rPr>
          <w:rFonts w:ascii="Arial" w:cs="Arial" w:eastAsia="Arial" w:hAnsi="Arial"/>
          <w:sz w:val="26"/>
          <w:szCs w:val="26"/>
          <w:color w:val="auto"/>
        </w:rPr>
        <w:t>2</w:t>
      </w:r>
      <w:r>
        <w:rPr>
          <w:rFonts w:ascii="Arial" w:cs="Arial" w:eastAsia="Arial" w:hAnsi="Arial"/>
          <w:sz w:val="26"/>
          <w:szCs w:val="26"/>
          <w:color w:val="auto"/>
        </w:rPr>
        <w:t xml:space="preserve"> и </w:t>
      </w:r>
      <w:r>
        <w:rPr>
          <w:rFonts w:ascii="Arial" w:cs="Arial" w:eastAsia="Arial" w:hAnsi="Arial"/>
          <w:sz w:val="26"/>
          <w:szCs w:val="26"/>
          <w:color w:val="auto"/>
        </w:rPr>
        <w:t>3</w:t>
      </w:r>
      <w:r>
        <w:rPr>
          <w:rFonts w:ascii="Arial" w:cs="Arial" w:eastAsia="Arial" w:hAnsi="Arial"/>
          <w:sz w:val="26"/>
          <w:szCs w:val="26"/>
          <w:color w:val="auto"/>
        </w:rPr>
        <w:t xml:space="preserve"> степени</w:t>
      </w:r>
      <w:r>
        <w:rPr>
          <w:rFonts w:ascii="Arial" w:cs="Arial" w:eastAsia="Arial" w:hAnsi="Arial"/>
          <w:sz w:val="26"/>
          <w:szCs w:val="26"/>
          <w:color w:val="auto"/>
        </w:rPr>
        <w:t>,</w:t>
      </w:r>
      <w:r>
        <w:rPr>
          <w:rFonts w:ascii="Arial" w:cs="Arial" w:eastAsia="Arial" w:hAnsi="Arial"/>
          <w:sz w:val="26"/>
          <w:szCs w:val="26"/>
          <w:color w:val="auto"/>
        </w:rPr>
        <w:t xml:space="preserve"> а также АГ </w:t>
      </w:r>
      <w:r>
        <w:rPr>
          <w:rFonts w:ascii="Arial" w:cs="Arial" w:eastAsia="Arial" w:hAnsi="Arial"/>
          <w:sz w:val="26"/>
          <w:szCs w:val="26"/>
          <w:color w:val="auto"/>
        </w:rPr>
        <w:t>1</w:t>
      </w:r>
      <w:r>
        <w:rPr>
          <w:rFonts w:ascii="Arial" w:cs="Arial" w:eastAsia="Arial" w:hAnsi="Arial"/>
          <w:sz w:val="26"/>
          <w:szCs w:val="26"/>
          <w:color w:val="auto"/>
        </w:rPr>
        <w:t xml:space="preserve"> степени в сочетании с множественными ФР</w:t>
      </w:r>
      <w:r>
        <w:rPr>
          <w:rFonts w:ascii="Arial" w:cs="Arial" w:eastAsia="Arial" w:hAnsi="Arial"/>
          <w:sz w:val="26"/>
          <w:szCs w:val="26"/>
          <w:color w:val="auto"/>
        </w:rPr>
        <w:t>,</w:t>
      </w:r>
      <w:r>
        <w:rPr>
          <w:rFonts w:ascii="Arial" w:cs="Arial" w:eastAsia="Arial" w:hAnsi="Arial"/>
          <w:sz w:val="26"/>
          <w:szCs w:val="26"/>
          <w:color w:val="auto"/>
        </w:rPr>
        <w:t xml:space="preserve"> ПОМ</w:t>
      </w:r>
      <w:r>
        <w:rPr>
          <w:rFonts w:ascii="Arial" w:cs="Arial" w:eastAsia="Arial" w:hAnsi="Arial"/>
          <w:sz w:val="26"/>
          <w:szCs w:val="26"/>
          <w:color w:val="auto"/>
        </w:rPr>
        <w:t>,</w:t>
      </w:r>
      <w:r>
        <w:rPr>
          <w:rFonts w:ascii="Arial" w:cs="Arial" w:eastAsia="Arial" w:hAnsi="Arial"/>
          <w:sz w:val="26"/>
          <w:szCs w:val="26"/>
          <w:color w:val="auto"/>
        </w:rPr>
        <w:t xml:space="preserve"> СД</w:t>
      </w:r>
      <w:r>
        <w:rPr>
          <w:rFonts w:ascii="Arial" w:cs="Arial" w:eastAsia="Arial" w:hAnsi="Arial"/>
          <w:sz w:val="26"/>
          <w:szCs w:val="26"/>
          <w:color w:val="auto"/>
        </w:rPr>
        <w:t>,</w:t>
      </w:r>
      <w:r>
        <w:rPr>
          <w:rFonts w:ascii="Arial" w:cs="Arial" w:eastAsia="Arial" w:hAnsi="Arial"/>
          <w:sz w:val="26"/>
          <w:szCs w:val="26"/>
          <w:color w:val="auto"/>
        </w:rPr>
        <w:t xml:space="preserve"> сердечно</w:t>
      </w:r>
      <w:r>
        <w:rPr>
          <w:rFonts w:ascii="Arial" w:cs="Arial" w:eastAsia="Arial" w:hAnsi="Arial"/>
          <w:sz w:val="26"/>
          <w:szCs w:val="26"/>
          <w:color w:val="auto"/>
        </w:rPr>
        <w:t>-</w:t>
      </w:r>
      <w:r>
        <w:rPr>
          <w:rFonts w:ascii="Arial" w:cs="Arial" w:eastAsia="Arial" w:hAnsi="Arial"/>
          <w:sz w:val="26"/>
          <w:szCs w:val="26"/>
          <w:color w:val="auto"/>
        </w:rPr>
        <w:t>сосудистыми</w:t>
      </w:r>
      <w:r>
        <w:rPr>
          <w:rFonts w:ascii="Arial" w:cs="Arial" w:eastAsia="Arial" w:hAnsi="Arial"/>
          <w:sz w:val="26"/>
          <w:szCs w:val="26"/>
          <w:color w:val="auto"/>
        </w:rPr>
        <w:t>,</w:t>
      </w:r>
      <w:r>
        <w:rPr>
          <w:rFonts w:ascii="Arial" w:cs="Arial" w:eastAsia="Arial" w:hAnsi="Arial"/>
          <w:sz w:val="26"/>
          <w:szCs w:val="26"/>
          <w:color w:val="auto"/>
        </w:rPr>
        <w:t xml:space="preserve"> цереброваскулярными или почечные заболеваниями следует назначать АГТ одновременно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-954405</wp:posOffset>
            </wp:positionV>
            <wp:extent cx="82550" cy="8255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9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915" w:orient="portrait"/>
          <w:cols w:equalWidth="0" w:num="1">
            <w:col w:w="9020"/>
          </w:cols>
          <w:pgMar w:left="1440" w:top="19" w:right="1440" w:bottom="0" w:gutter="0" w:footer="0" w:header="0"/>
        </w:sectPr>
      </w:pPr>
    </w:p>
    <w:bookmarkStart w:id="67" w:name="page68"/>
    <w:bookmarkEnd w:id="67"/>
    <w:p>
      <w:pPr>
        <w:ind w:left="880" w:hanging="204"/>
        <w:spacing w:after="0"/>
        <w:tabs>
          <w:tab w:leader="none" w:pos="880" w:val="left"/>
        </w:tabs>
        <w:numPr>
          <w:ilvl w:val="0"/>
          <w:numId w:val="50"/>
        </w:numPr>
        <w:rPr>
          <w:rFonts w:ascii="Arial" w:cs="Arial" w:eastAsia="Arial" w:hAnsi="Arial"/>
          <w:sz w:val="27"/>
          <w:szCs w:val="27"/>
          <w:color w:val="auto"/>
        </w:rPr>
      </w:pPr>
      <w:r>
        <w:rPr>
          <w:rFonts w:ascii="Arial" w:cs="Arial" w:eastAsia="Arial" w:hAnsi="Arial"/>
          <w:sz w:val="27"/>
          <w:szCs w:val="27"/>
          <w:color w:val="auto"/>
        </w:rPr>
        <w:t>рекомендациями по изменению образа жизни в соответствии</w:t>
      </w:r>
    </w:p>
    <w:p>
      <w:pPr>
        <w:spacing w:after="0" w:line="79" w:lineRule="exact"/>
        <w:rPr>
          <w:rFonts w:ascii="Arial" w:cs="Arial" w:eastAsia="Arial" w:hAnsi="Arial"/>
          <w:sz w:val="27"/>
          <w:szCs w:val="27"/>
          <w:color w:val="auto"/>
        </w:rPr>
      </w:pPr>
    </w:p>
    <w:p>
      <w:pPr>
        <w:ind w:left="860" w:hanging="184"/>
        <w:spacing w:after="0"/>
        <w:tabs>
          <w:tab w:leader="none" w:pos="860" w:val="left"/>
        </w:tabs>
        <w:numPr>
          <w:ilvl w:val="0"/>
          <w:numId w:val="50"/>
        </w:numPr>
        <w:rPr>
          <w:rFonts w:ascii="Arial" w:cs="Arial" w:eastAsia="Arial" w:hAnsi="Arial"/>
          <w:sz w:val="27"/>
          <w:szCs w:val="27"/>
          <w:color w:val="auto"/>
        </w:rPr>
      </w:pPr>
      <w:r>
        <w:rPr>
          <w:rFonts w:ascii="Arial" w:cs="Arial" w:eastAsia="Arial" w:hAnsi="Arial"/>
          <w:sz w:val="27"/>
          <w:szCs w:val="27"/>
          <w:color w:val="auto"/>
        </w:rPr>
        <w:t>общими принципами</w:t>
      </w:r>
      <w:r>
        <w:rPr>
          <w:rFonts w:ascii="Arial" w:cs="Arial" w:eastAsia="Arial" w:hAnsi="Arial"/>
          <w:sz w:val="27"/>
          <w:szCs w:val="27"/>
          <w:color w:val="auto"/>
        </w:rPr>
        <w:t>[21].</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ЕОК</w:t>
      </w:r>
      <w:r>
        <w:rPr>
          <w:rFonts w:ascii="Arial" w:cs="Arial" w:eastAsia="Arial" w:hAnsi="Arial"/>
          <w:sz w:val="27"/>
          <w:szCs w:val="27"/>
          <w:color w:val="auto"/>
        </w:rPr>
        <w:t>/</w:t>
      </w:r>
      <w:r>
        <w:rPr>
          <w:rFonts w:ascii="Arial" w:cs="Arial" w:eastAsia="Arial" w:hAnsi="Arial"/>
          <w:sz w:val="27"/>
          <w:szCs w:val="27"/>
          <w:color w:val="auto"/>
        </w:rPr>
        <w:t xml:space="preserve">ЕОАГ нет </w:t>
      </w:r>
      <w:r>
        <w:rPr>
          <w:rFonts w:ascii="Arial" w:cs="Arial" w:eastAsia="Arial" w:hAnsi="Arial"/>
          <w:sz w:val="27"/>
          <w:szCs w:val="27"/>
          <w:color w:val="auto"/>
        </w:rPr>
        <w:t>(</w:t>
      </w:r>
      <w:r>
        <w:rPr>
          <w:rFonts w:ascii="Arial" w:cs="Arial" w:eastAsia="Arial" w:hAnsi="Arial"/>
          <w:sz w:val="27"/>
          <w:szCs w:val="27"/>
          <w:color w:val="auto"/>
        </w:rPr>
        <w:t>УУР С</w:t>
      </w:r>
      <w:r>
        <w:rPr>
          <w:rFonts w:ascii="Arial" w:cs="Arial" w:eastAsia="Arial" w:hAnsi="Arial"/>
          <w:sz w:val="27"/>
          <w:szCs w:val="27"/>
          <w:color w:val="auto"/>
        </w:rPr>
        <w:t>,</w:t>
      </w:r>
      <w:r>
        <w:rPr>
          <w:rFonts w:ascii="Arial" w:cs="Arial" w:eastAsia="Arial" w:hAnsi="Arial"/>
          <w:sz w:val="27"/>
          <w:szCs w:val="27"/>
          <w:color w:val="auto"/>
        </w:rPr>
        <w:t xml:space="preserve"> УДД </w:t>
      </w:r>
      <w:r>
        <w:rPr>
          <w:rFonts w:ascii="Arial" w:cs="Arial" w:eastAsia="Arial" w:hAnsi="Arial"/>
          <w:sz w:val="27"/>
          <w:szCs w:val="27"/>
          <w:color w:val="auto"/>
        </w:rPr>
        <w:t>5)</w:t>
      </w:r>
    </w:p>
    <w:p>
      <w:pPr>
        <w:spacing w:after="0" w:line="350" w:lineRule="exact"/>
        <w:rPr>
          <w:sz w:val="20"/>
          <w:szCs w:val="20"/>
          <w:color w:val="auto"/>
        </w:rPr>
      </w:pPr>
    </w:p>
    <w:p>
      <w:pPr>
        <w:jc w:val="both"/>
        <w:ind w:left="680" w:right="220"/>
        <w:spacing w:after="0" w:line="345"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 связи с тем</w:t>
      </w:r>
      <w:r>
        <w:rPr>
          <w:rFonts w:ascii="Arial" w:cs="Arial" w:eastAsia="Arial" w:hAnsi="Arial"/>
          <w:sz w:val="24"/>
          <w:szCs w:val="24"/>
          <w:b w:val="1"/>
          <w:bCs w:val="1"/>
          <w:i w:val="1"/>
          <w:i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что ранее назначение АГТ может</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предотвратить более тяжелую АГ и развитие ПОМ в будущем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молодым пациентам с АГ </w:t>
      </w:r>
      <w:r>
        <w:rPr>
          <w:rFonts w:ascii="Arial" w:cs="Arial" w:eastAsia="Arial" w:hAnsi="Arial"/>
          <w:sz w:val="24"/>
          <w:szCs w:val="24"/>
          <w:b w:val="1"/>
          <w:bCs w:val="1"/>
          <w:i w:val="1"/>
          <w:iCs w:val="1"/>
          <w:color w:val="auto"/>
        </w:rPr>
        <w:t>1</w:t>
      </w:r>
      <w:r>
        <w:rPr>
          <w:rFonts w:ascii="Arial" w:cs="Arial" w:eastAsia="Arial" w:hAnsi="Arial"/>
          <w:sz w:val="24"/>
          <w:szCs w:val="24"/>
          <w:b w:val="1"/>
          <w:bCs w:val="1"/>
          <w:i w:val="1"/>
          <w:iCs w:val="1"/>
          <w:color w:val="auto"/>
        </w:rPr>
        <w:t xml:space="preserve"> степени при отсутствии ФР</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ПОМ и ССЗ можно обсуждать назначение АГТ наравне с изменениями образа жизни </w:t>
      </w:r>
      <w:r>
        <w:rPr>
          <w:rFonts w:ascii="Arial" w:cs="Arial" w:eastAsia="Arial" w:hAnsi="Arial"/>
          <w:sz w:val="24"/>
          <w:szCs w:val="24"/>
          <w:b w:val="1"/>
          <w:bCs w:val="1"/>
          <w:i w:val="1"/>
          <w:iCs w:val="1"/>
          <w:color w:val="auto"/>
        </w:rPr>
        <w:t>[21].</w:t>
      </w:r>
      <w:r>
        <w:rPr>
          <w:rFonts w:ascii="Arial" w:cs="Arial" w:eastAsia="Arial" w:hAnsi="Arial"/>
          <w:sz w:val="24"/>
          <w:szCs w:val="24"/>
          <w:b w:val="1"/>
          <w:bCs w:val="1"/>
          <w:i w:val="1"/>
          <w:iCs w:val="1"/>
          <w:color w:val="auto"/>
        </w:rPr>
        <w:t xml:space="preserve"> При этом целевой уровень АД составляет </w:t>
      </w:r>
      <w:r>
        <w:rPr>
          <w:rFonts w:ascii="Arial" w:cs="Arial" w:eastAsia="Arial" w:hAnsi="Arial"/>
          <w:sz w:val="24"/>
          <w:szCs w:val="24"/>
          <w:b w:val="1"/>
          <w:bCs w:val="1"/>
          <w:i w:val="1"/>
          <w:iCs w:val="1"/>
          <w:color w:val="auto"/>
        </w:rPr>
        <w:t xml:space="preserve">120-130/70-79 </w:t>
      </w:r>
      <w:r>
        <w:rPr>
          <w:rFonts w:ascii="Arial" w:cs="Arial" w:eastAsia="Arial" w:hAnsi="Arial"/>
          <w:sz w:val="24"/>
          <w:szCs w:val="24"/>
          <w:b w:val="1"/>
          <w:bCs w:val="1"/>
          <w:i w:val="1"/>
          <w:iCs w:val="1"/>
          <w:color w:val="auto"/>
        </w:rPr>
        <w:t>мм рт</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ст</w:t>
      </w:r>
      <w:r>
        <w:rPr>
          <w:rFonts w:ascii="Arial" w:cs="Arial" w:eastAsia="Arial" w:hAnsi="Arial"/>
          <w:sz w:val="24"/>
          <w:szCs w:val="24"/>
          <w:b w:val="1"/>
          <w:bCs w:val="1"/>
          <w:i w:val="1"/>
          <w:iCs w:val="1"/>
          <w:color w:val="auto"/>
        </w:rPr>
        <w:t>. (</w:t>
      </w:r>
      <w:r>
        <w:rPr>
          <w:rFonts w:ascii="Arial" w:cs="Arial" w:eastAsia="Arial" w:hAnsi="Arial"/>
          <w:sz w:val="24"/>
          <w:szCs w:val="24"/>
          <w:b w:val="1"/>
          <w:bCs w:val="1"/>
          <w:i w:val="1"/>
          <w:iCs w:val="1"/>
          <w:color w:val="auto"/>
        </w:rPr>
        <w:t>см</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раздел</w:t>
      </w:r>
      <w:r>
        <w:rPr>
          <w:rFonts w:ascii="Arial" w:cs="Arial" w:eastAsia="Arial" w:hAnsi="Arial"/>
          <w:sz w:val="24"/>
          <w:szCs w:val="24"/>
          <w:b w:val="1"/>
          <w:bCs w:val="1"/>
          <w:i w:val="1"/>
          <w:iCs w:val="1"/>
          <w:color w:val="auto"/>
        </w:rPr>
        <w:t xml:space="preserve"> 3.2). </w:t>
      </w:r>
      <w:r>
        <w:rPr>
          <w:rFonts w:ascii="Arial" w:cs="Arial" w:eastAsia="Arial" w:hAnsi="Arial"/>
          <w:sz w:val="24"/>
          <w:szCs w:val="24"/>
          <w:b w:val="1"/>
          <w:bCs w:val="1"/>
          <w:i w:val="1"/>
          <w:iCs w:val="1"/>
          <w:color w:val="auto"/>
        </w:rPr>
        <w:t>В случае</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если принимается</w:t>
      </w:r>
      <w:r>
        <w:rPr>
          <w:rFonts w:ascii="Arial" w:cs="Arial" w:eastAsia="Arial" w:hAnsi="Arial"/>
          <w:sz w:val="24"/>
          <w:szCs w:val="24"/>
          <w:b w:val="1"/>
          <w:bCs w:val="1"/>
          <w:i w:val="1"/>
          <w:iCs w:val="1"/>
          <w:color w:val="auto"/>
        </w:rPr>
        <w:t xml:space="preserve"> </w:t>
      </w:r>
      <w:r>
        <w:rPr>
          <w:rFonts w:ascii="Arial" w:cs="Arial" w:eastAsia="Arial" w:hAnsi="Arial"/>
          <w:sz w:val="24"/>
          <w:szCs w:val="24"/>
          <w:b w:val="1"/>
          <w:bCs w:val="1"/>
          <w:i w:val="1"/>
          <w:iCs w:val="1"/>
          <w:color w:val="auto"/>
        </w:rPr>
        <w:t>решение о немедикаментозной коррекции АД или пациент отказывается принимать АГТ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необходимо дать подробные рекомендации по изменению образа жизни и длительно наблюдать пациента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так как со временем АД неизбежно будет расти </w:t>
      </w:r>
      <w:r>
        <w:rPr>
          <w:rFonts w:ascii="Arial" w:cs="Arial" w:eastAsia="Arial" w:hAnsi="Arial"/>
          <w:sz w:val="24"/>
          <w:szCs w:val="24"/>
          <w:b w:val="1"/>
          <w:bCs w:val="1"/>
          <w:i w:val="1"/>
          <w:iCs w:val="1"/>
          <w:color w:val="auto"/>
        </w:rPr>
        <w:t>[21].</w:t>
      </w:r>
    </w:p>
    <w:p>
      <w:pPr>
        <w:spacing w:after="0" w:line="198" w:lineRule="exact"/>
        <w:rPr>
          <w:sz w:val="20"/>
          <w:szCs w:val="20"/>
          <w:color w:val="auto"/>
        </w:rPr>
      </w:pPr>
    </w:p>
    <w:p>
      <w:pPr>
        <w:jc w:val="both"/>
        <w:ind w:left="680" w:right="220"/>
        <w:spacing w:after="0" w:line="345" w:lineRule="auto"/>
        <w:rPr>
          <w:sz w:val="20"/>
          <w:szCs w:val="20"/>
          <w:color w:val="auto"/>
        </w:rPr>
      </w:pPr>
      <w:r>
        <w:rPr>
          <w:rFonts w:ascii="Arial" w:cs="Arial" w:eastAsia="Arial" w:hAnsi="Arial"/>
          <w:sz w:val="27"/>
          <w:szCs w:val="27"/>
          <w:b w:val="1"/>
          <w:bCs w:val="1"/>
          <w:color w:val="auto"/>
        </w:rPr>
        <w:t xml:space="preserve">3.6.15. </w:t>
      </w:r>
      <w:r>
        <w:rPr>
          <w:rFonts w:ascii="Arial" w:cs="Arial" w:eastAsia="Arial" w:hAnsi="Arial"/>
          <w:sz w:val="27"/>
          <w:szCs w:val="27"/>
          <w:b w:val="1"/>
          <w:bCs w:val="1"/>
          <w:color w:val="auto"/>
        </w:rPr>
        <w:t>Артериальная гипертензия у пожилых пациентов</w:t>
      </w:r>
      <w:r>
        <w:rPr>
          <w:rFonts w:ascii="Arial" w:cs="Arial" w:eastAsia="Arial" w:hAnsi="Arial"/>
          <w:sz w:val="27"/>
          <w:szCs w:val="27"/>
          <w:b w:val="1"/>
          <w:bCs w:val="1"/>
          <w:color w:val="auto"/>
        </w:rPr>
        <w:t xml:space="preserve"> (</w:t>
      </w:r>
      <w:r>
        <w:rPr>
          <w:rFonts w:ascii="Times New Roman" w:cs="Times New Roman" w:eastAsia="Times New Roman" w:hAnsi="Times New Roman"/>
          <w:sz w:val="27"/>
          <w:szCs w:val="27"/>
          <w:b w:val="1"/>
          <w:bCs w:val="1"/>
          <w:color w:val="auto"/>
        </w:rPr>
        <w:t>≥</w:t>
      </w:r>
      <w:r>
        <w:rPr>
          <w:rFonts w:ascii="Arial" w:cs="Arial" w:eastAsia="Arial" w:hAnsi="Arial"/>
          <w:sz w:val="27"/>
          <w:szCs w:val="27"/>
          <w:b w:val="1"/>
          <w:bCs w:val="1"/>
          <w:color w:val="auto"/>
        </w:rPr>
        <w:t xml:space="preserve">65 </w:t>
      </w:r>
      <w:r>
        <w:rPr>
          <w:rFonts w:ascii="Arial" w:cs="Arial" w:eastAsia="Arial" w:hAnsi="Arial"/>
          <w:sz w:val="27"/>
          <w:szCs w:val="27"/>
          <w:b w:val="1"/>
          <w:bCs w:val="1"/>
          <w:color w:val="auto"/>
        </w:rPr>
        <w:t>лет</w:t>
      </w:r>
      <w:r>
        <w:rPr>
          <w:rFonts w:ascii="Arial" w:cs="Arial" w:eastAsia="Arial" w:hAnsi="Arial"/>
          <w:sz w:val="27"/>
          <w:szCs w:val="27"/>
          <w:b w:val="1"/>
          <w:bCs w:val="1"/>
          <w:color w:val="auto"/>
        </w:rPr>
        <w:t>)</w:t>
      </w:r>
    </w:p>
    <w:p>
      <w:pPr>
        <w:spacing w:after="0" w:line="156"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У пациентов </w:t>
      </w:r>
      <w:r>
        <w:rPr>
          <w:rFonts w:ascii="Arial" w:cs="Arial" w:eastAsia="Arial" w:hAnsi="Arial"/>
          <w:sz w:val="27"/>
          <w:szCs w:val="27"/>
          <w:color w:val="auto"/>
        </w:rPr>
        <w:t>65</w:t>
      </w:r>
      <w:r>
        <w:rPr>
          <w:rFonts w:ascii="Arial" w:cs="Arial" w:eastAsia="Arial" w:hAnsi="Arial"/>
          <w:sz w:val="27"/>
          <w:szCs w:val="27"/>
          <w:color w:val="auto"/>
        </w:rPr>
        <w:t xml:space="preserve"> лет и старше с АГ</w:t>
      </w:r>
      <w:r>
        <w:rPr>
          <w:rFonts w:ascii="Arial" w:cs="Arial" w:eastAsia="Arial" w:hAnsi="Arial"/>
          <w:sz w:val="27"/>
          <w:szCs w:val="27"/>
          <w:color w:val="auto"/>
        </w:rPr>
        <w:t>,</w:t>
      </w:r>
      <w:r>
        <w:rPr>
          <w:rFonts w:ascii="Arial" w:cs="Arial" w:eastAsia="Arial" w:hAnsi="Arial"/>
          <w:sz w:val="27"/>
          <w:szCs w:val="27"/>
          <w:color w:val="auto"/>
        </w:rPr>
        <w:t xml:space="preserve"> обратившихся за медицинской помощью в учреждения амбулаторного или стационарного типа</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проводить скрининг синдрома старческой астении с использованием опросника </w:t>
      </w:r>
      <w:r>
        <w:rPr>
          <w:rFonts w:ascii="Arial" w:cs="Arial" w:eastAsia="Arial" w:hAnsi="Arial"/>
          <w:sz w:val="27"/>
          <w:szCs w:val="27"/>
          <w:color w:val="auto"/>
        </w:rPr>
        <w:t>«</w:t>
      </w:r>
      <w:r>
        <w:rPr>
          <w:rFonts w:ascii="Arial" w:cs="Arial" w:eastAsia="Arial" w:hAnsi="Arial"/>
          <w:sz w:val="27"/>
          <w:szCs w:val="27"/>
          <w:color w:val="auto"/>
        </w:rPr>
        <w:t>Возраст не помеха</w:t>
      </w:r>
      <w:r>
        <w:rPr>
          <w:rFonts w:ascii="Arial" w:cs="Arial" w:eastAsia="Arial" w:hAnsi="Arial"/>
          <w:sz w:val="27"/>
          <w:szCs w:val="27"/>
          <w:color w:val="auto"/>
        </w:rPr>
        <w:t>» (</w:t>
      </w:r>
      <w:r>
        <w:rPr>
          <w:rFonts w:ascii="Arial" w:cs="Arial" w:eastAsia="Arial" w:hAnsi="Arial"/>
          <w:sz w:val="27"/>
          <w:szCs w:val="27"/>
          <w:color w:val="auto"/>
        </w:rPr>
        <w:t>Приложение Г</w:t>
      </w:r>
      <w:r>
        <w:rPr>
          <w:rFonts w:ascii="Arial" w:cs="Arial" w:eastAsia="Arial" w:hAnsi="Arial"/>
          <w:sz w:val="27"/>
          <w:szCs w:val="27"/>
          <w:color w:val="auto"/>
        </w:rPr>
        <w:t xml:space="preserve">3, </w:t>
      </w:r>
      <w:r>
        <w:rPr>
          <w:rFonts w:ascii="Arial" w:cs="Arial" w:eastAsia="Arial" w:hAnsi="Arial"/>
          <w:sz w:val="27"/>
          <w:szCs w:val="27"/>
          <w:color w:val="auto"/>
        </w:rPr>
        <w:t>таблица П</w:t>
      </w:r>
      <w:r>
        <w:rPr>
          <w:rFonts w:ascii="Arial" w:cs="Arial" w:eastAsia="Arial" w:hAnsi="Arial"/>
          <w:sz w:val="27"/>
          <w:szCs w:val="27"/>
          <w:color w:val="auto"/>
        </w:rPr>
        <w:t xml:space="preserve">6), </w:t>
      </w:r>
      <w:r>
        <w:rPr>
          <w:rFonts w:ascii="Arial" w:cs="Arial" w:eastAsia="Arial" w:hAnsi="Arial"/>
          <w:sz w:val="27"/>
          <w:szCs w:val="27"/>
          <w:color w:val="auto"/>
        </w:rPr>
        <w:t>поскольку</w:t>
      </w:r>
      <w:r>
        <w:rPr>
          <w:rFonts w:ascii="Arial" w:cs="Arial" w:eastAsia="Arial" w:hAnsi="Arial"/>
          <w:sz w:val="27"/>
          <w:szCs w:val="27"/>
          <w:color w:val="auto"/>
        </w:rPr>
        <w:t xml:space="preserve"> </w:t>
      </w:r>
      <w:r>
        <w:rPr>
          <w:rFonts w:ascii="Arial" w:cs="Arial" w:eastAsia="Arial" w:hAnsi="Arial"/>
          <w:sz w:val="27"/>
          <w:szCs w:val="27"/>
          <w:color w:val="auto"/>
        </w:rPr>
        <w:t xml:space="preserve">выявление старческой астении может влиять на тактику АГТ и уровень целевого АД </w:t>
      </w:r>
      <w:r>
        <w:rPr>
          <w:rFonts w:ascii="Arial" w:cs="Arial" w:eastAsia="Arial" w:hAnsi="Arial"/>
          <w:sz w:val="27"/>
          <w:szCs w:val="27"/>
          <w:color w:val="auto"/>
        </w:rPr>
        <w:t>[9].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9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w:t>
      </w:r>
      <w:r>
        <w:rPr>
          <w:rFonts w:ascii="Arial" w:cs="Arial" w:eastAsia="Arial" w:hAnsi="Arial"/>
          <w:sz w:val="27"/>
          <w:szCs w:val="27"/>
          <w:color w:val="auto"/>
        </w:rPr>
        <w:t>&gt;65</w:t>
      </w:r>
      <w:r>
        <w:rPr>
          <w:rFonts w:ascii="Arial" w:cs="Arial" w:eastAsia="Arial" w:hAnsi="Arial"/>
          <w:sz w:val="27"/>
          <w:szCs w:val="27"/>
          <w:color w:val="auto"/>
        </w:rPr>
        <w:t xml:space="preserve"> лет с АГ рекомендуется назначение антигипертензивной терапии с использованием любого из основных классов АГП </w:t>
      </w:r>
      <w:r>
        <w:rPr>
          <w:rFonts w:ascii="Arial" w:cs="Arial" w:eastAsia="Arial" w:hAnsi="Arial"/>
          <w:sz w:val="27"/>
          <w:szCs w:val="27"/>
          <w:color w:val="auto"/>
        </w:rPr>
        <w:t>[238, 239].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48"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Пациенты старше</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65</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лет должны получать АГТ</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 соответствии с общим алгоритмом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приведенном в Приложении Б</w:t>
      </w:r>
      <w:r>
        <w:rPr>
          <w:rFonts w:ascii="Arial" w:cs="Arial" w:eastAsia="Arial" w:hAnsi="Arial"/>
          <w:sz w:val="24"/>
          <w:szCs w:val="24"/>
          <w:b w:val="1"/>
          <w:bCs w:val="1"/>
          <w:i w:val="1"/>
          <w:iCs w:val="1"/>
          <w:color w:val="auto"/>
        </w:rPr>
        <w:t>2.</w:t>
      </w:r>
      <w:r>
        <w:rPr>
          <w:rFonts w:ascii="Arial" w:cs="Arial" w:eastAsia="Arial" w:hAnsi="Arial"/>
          <w:sz w:val="24"/>
          <w:szCs w:val="24"/>
          <w:b w:val="1"/>
          <w:bCs w:val="1"/>
          <w:i w:val="1"/>
          <w:iCs w:val="1"/>
          <w:color w:val="auto"/>
        </w:rPr>
        <w:t xml:space="preserve"> У пациентов очень пожилого возраста </w:t>
      </w:r>
      <w:r>
        <w:rPr>
          <w:rFonts w:ascii="Arial" w:cs="Arial" w:eastAsia="Arial" w:hAnsi="Arial"/>
          <w:sz w:val="24"/>
          <w:szCs w:val="24"/>
          <w:b w:val="1"/>
          <w:bCs w:val="1"/>
          <w:i w:val="1"/>
          <w:iCs w:val="1"/>
          <w:color w:val="auto"/>
        </w:rPr>
        <w:t>(&gt;80</w:t>
      </w:r>
      <w:r>
        <w:rPr>
          <w:rFonts w:ascii="Arial" w:cs="Arial" w:eastAsia="Arial" w:hAnsi="Arial"/>
          <w:sz w:val="24"/>
          <w:szCs w:val="24"/>
          <w:b w:val="1"/>
          <w:bCs w:val="1"/>
          <w:i w:val="1"/>
          <w:iCs w:val="1"/>
          <w:color w:val="auto"/>
        </w:rPr>
        <w:t xml:space="preserve"> лет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может быть целесообразно начинать лечение с монотерапии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У всех пожилых пациентов комбинированную терапию следует начинать с минимальных доз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отсутствии дополнительных показаний следует избегать назначения петлевых диуретиков и альфа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адреноблокаторов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так как они</w:t>
      </w:r>
    </w:p>
    <w:p>
      <w:pPr>
        <w:sectPr>
          <w:pgSz w:w="11900" w:h="16840" w:orient="portrait"/>
          <w:cols w:equalWidth="0" w:num="1">
            <w:col w:w="9020"/>
          </w:cols>
          <w:pgMar w:left="1440" w:top="19" w:right="1440" w:bottom="0" w:gutter="0" w:footer="0" w:header="0"/>
        </w:sectPr>
      </w:pPr>
    </w:p>
    <w:bookmarkStart w:id="68" w:name="page69"/>
    <w:bookmarkEnd w:id="68"/>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 xml:space="preserve">увеличивают риск падений </w:t>
      </w:r>
      <w:r>
        <w:rPr>
          <w:rFonts w:ascii="Arial" w:cs="Arial" w:eastAsia="Arial" w:hAnsi="Arial"/>
          <w:sz w:val="27"/>
          <w:szCs w:val="27"/>
          <w:b w:val="1"/>
          <w:bCs w:val="1"/>
          <w:i w:val="1"/>
          <w:iCs w:val="1"/>
          <w:color w:val="auto"/>
        </w:rPr>
        <w:t>[240, 241].</w:t>
      </w:r>
      <w:r>
        <w:rPr>
          <w:rFonts w:ascii="Arial" w:cs="Arial" w:eastAsia="Arial" w:hAnsi="Arial"/>
          <w:sz w:val="27"/>
          <w:szCs w:val="27"/>
          <w:b w:val="1"/>
          <w:bCs w:val="1"/>
          <w:i w:val="1"/>
          <w:iCs w:val="1"/>
          <w:color w:val="auto"/>
        </w:rPr>
        <w:t xml:space="preserve"> При лечении пожилых пациентов целевое АД составляет </w:t>
      </w:r>
      <w:r>
        <w:rPr>
          <w:rFonts w:ascii="Arial" w:cs="Arial" w:eastAsia="Arial" w:hAnsi="Arial"/>
          <w:sz w:val="27"/>
          <w:szCs w:val="27"/>
          <w:b w:val="1"/>
          <w:bCs w:val="1"/>
          <w:i w:val="1"/>
          <w:iCs w:val="1"/>
          <w:color w:val="auto"/>
        </w:rPr>
        <w:t>130-139/70-79</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при переносимости </w:t>
      </w:r>
      <w:r>
        <w:rPr>
          <w:rFonts w:ascii="Arial" w:cs="Arial" w:eastAsia="Arial" w:hAnsi="Arial"/>
          <w:sz w:val="27"/>
          <w:szCs w:val="27"/>
          <w:b w:val="1"/>
          <w:bCs w:val="1"/>
          <w:i w:val="1"/>
          <w:iCs w:val="1"/>
          <w:color w:val="auto"/>
        </w:rPr>
        <w:t>[21].</w:t>
      </w:r>
    </w:p>
    <w:p>
      <w:pPr>
        <w:spacing w:after="0" w:line="210" w:lineRule="exact"/>
        <w:rPr>
          <w:sz w:val="20"/>
          <w:szCs w:val="20"/>
          <w:color w:val="auto"/>
        </w:rPr>
      </w:pPr>
    </w:p>
    <w:p>
      <w:pPr>
        <w:jc w:val="both"/>
        <w:ind w:left="680" w:right="220"/>
        <w:spacing w:after="0" w:line="330" w:lineRule="auto"/>
        <w:rPr>
          <w:sz w:val="20"/>
          <w:szCs w:val="20"/>
          <w:color w:val="auto"/>
        </w:rPr>
      </w:pPr>
      <w:r>
        <w:rPr>
          <w:rFonts w:ascii="Arial" w:cs="Arial" w:eastAsia="Arial" w:hAnsi="Arial"/>
          <w:sz w:val="25"/>
          <w:szCs w:val="25"/>
          <w:b w:val="1"/>
          <w:bCs w:val="1"/>
          <w:i w:val="1"/>
          <w:iCs w:val="1"/>
          <w:color w:val="auto"/>
        </w:rPr>
        <w:t>До назначения и в процессе приема АГТ необходим тщательный мониторинг функции почек для выявления ее возможного ухудшения вследствие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обусловленного снижения почечной перфузии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Всех пациентов </w:t>
      </w:r>
      <w:r>
        <w:rPr>
          <w:rFonts w:ascii="Arial" w:cs="Arial" w:eastAsia="Arial" w:hAnsi="Arial"/>
          <w:sz w:val="25"/>
          <w:szCs w:val="25"/>
          <w:b w:val="1"/>
          <w:bCs w:val="1"/>
          <w:i w:val="1"/>
          <w:iCs w:val="1"/>
          <w:color w:val="auto"/>
        </w:rPr>
        <w:t>65</w:t>
      </w:r>
      <w:r>
        <w:rPr>
          <w:rFonts w:ascii="Arial" w:cs="Arial" w:eastAsia="Arial" w:hAnsi="Arial"/>
          <w:sz w:val="25"/>
          <w:szCs w:val="25"/>
          <w:b w:val="1"/>
          <w:bCs w:val="1"/>
          <w:i w:val="1"/>
          <w:iCs w:val="1"/>
          <w:color w:val="auto"/>
        </w:rPr>
        <w:t xml:space="preserve"> лет и старше</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особенно старше </w:t>
      </w:r>
      <w:r>
        <w:rPr>
          <w:rFonts w:ascii="Arial" w:cs="Arial" w:eastAsia="Arial" w:hAnsi="Arial"/>
          <w:sz w:val="25"/>
          <w:szCs w:val="25"/>
          <w:b w:val="1"/>
          <w:bCs w:val="1"/>
          <w:i w:val="1"/>
          <w:iCs w:val="1"/>
          <w:color w:val="auto"/>
        </w:rPr>
        <w:t>80</w:t>
      </w:r>
      <w:r>
        <w:rPr>
          <w:rFonts w:ascii="Arial" w:cs="Arial" w:eastAsia="Arial" w:hAnsi="Arial"/>
          <w:sz w:val="25"/>
          <w:szCs w:val="25"/>
          <w:b w:val="1"/>
          <w:bCs w:val="1"/>
          <w:i w:val="1"/>
          <w:iCs w:val="1"/>
          <w:color w:val="auto"/>
        </w:rPr>
        <w:t xml:space="preserve"> лет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 пациентов со старческой астенией необходимо тщательно наблюдать на предмет возможного развития ортостатической гипотензии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при необходимости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использовать СМАД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 мониторировать переносимость и развитие возможных побочных эффектов </w:t>
      </w:r>
      <w:r>
        <w:rPr>
          <w:rFonts w:ascii="Arial" w:cs="Arial" w:eastAsia="Arial" w:hAnsi="Arial"/>
          <w:sz w:val="25"/>
          <w:szCs w:val="25"/>
          <w:b w:val="1"/>
          <w:bCs w:val="1"/>
          <w:i w:val="1"/>
          <w:iCs w:val="1"/>
          <w:color w:val="auto"/>
        </w:rPr>
        <w:t>[21].</w:t>
      </w:r>
      <w:r>
        <w:rPr>
          <w:rFonts w:ascii="Arial" w:cs="Arial" w:eastAsia="Arial" w:hAnsi="Arial"/>
          <w:sz w:val="25"/>
          <w:szCs w:val="25"/>
          <w:b w:val="1"/>
          <w:bCs w:val="1"/>
          <w:i w:val="1"/>
          <w:iCs w:val="1"/>
          <w:color w:val="auto"/>
        </w:rPr>
        <w:t xml:space="preserve"> Не рекомендуется отмена медикаментозной АГТ на основании возраста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даже при достижении </w:t>
      </w:r>
      <w:r>
        <w:rPr>
          <w:rFonts w:ascii="Arial" w:cs="Arial" w:eastAsia="Arial" w:hAnsi="Arial"/>
          <w:sz w:val="25"/>
          <w:szCs w:val="25"/>
          <w:b w:val="1"/>
          <w:bCs w:val="1"/>
          <w:i w:val="1"/>
          <w:iCs w:val="1"/>
          <w:color w:val="auto"/>
        </w:rPr>
        <w:t>80</w:t>
      </w:r>
      <w:r>
        <w:rPr>
          <w:rFonts w:ascii="Arial" w:cs="Arial" w:eastAsia="Arial" w:hAnsi="Arial"/>
          <w:sz w:val="25"/>
          <w:szCs w:val="25"/>
          <w:b w:val="1"/>
          <w:bCs w:val="1"/>
          <w:i w:val="1"/>
          <w:iCs w:val="1"/>
          <w:color w:val="auto"/>
        </w:rPr>
        <w:t xml:space="preserve"> лет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 условии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 лечение хорошо переносится</w:t>
      </w:r>
      <w:r>
        <w:rPr>
          <w:rFonts w:ascii="Arial" w:cs="Arial" w:eastAsia="Arial" w:hAnsi="Arial"/>
          <w:sz w:val="25"/>
          <w:szCs w:val="25"/>
          <w:b w:val="1"/>
          <w:bCs w:val="1"/>
          <w:i w:val="1"/>
          <w:iCs w:val="1"/>
          <w:color w:val="auto"/>
        </w:rPr>
        <w:t>.</w:t>
      </w:r>
    </w:p>
    <w:p>
      <w:pPr>
        <w:spacing w:after="0" w:line="209" w:lineRule="exact"/>
        <w:rPr>
          <w:sz w:val="20"/>
          <w:szCs w:val="20"/>
          <w:color w:val="auto"/>
        </w:rPr>
      </w:pPr>
    </w:p>
    <w:p>
      <w:pPr>
        <w:jc w:val="both"/>
        <w:ind w:left="680" w:right="220"/>
        <w:spacing w:after="0" w:line="394" w:lineRule="auto"/>
        <w:rPr>
          <w:sz w:val="20"/>
          <w:szCs w:val="20"/>
          <w:color w:val="auto"/>
        </w:rPr>
      </w:pPr>
      <w:r>
        <w:rPr>
          <w:rFonts w:ascii="Arial" w:cs="Arial" w:eastAsia="Arial" w:hAnsi="Arial"/>
          <w:sz w:val="23"/>
          <w:szCs w:val="23"/>
          <w:b w:val="1"/>
          <w:bCs w:val="1"/>
          <w:i w:val="1"/>
          <w:iCs w:val="1"/>
          <w:color w:val="auto"/>
        </w:rPr>
        <w:t xml:space="preserve">При лечении пациентов </w:t>
      </w:r>
      <w:r>
        <w:rPr>
          <w:rFonts w:ascii="Arial" w:cs="Arial" w:eastAsia="Arial" w:hAnsi="Arial"/>
          <w:sz w:val="23"/>
          <w:szCs w:val="23"/>
          <w:b w:val="1"/>
          <w:bCs w:val="1"/>
          <w:i w:val="1"/>
          <w:iCs w:val="1"/>
          <w:color w:val="auto"/>
        </w:rPr>
        <w:t>65</w:t>
      </w:r>
      <w:r>
        <w:rPr>
          <w:rFonts w:ascii="Arial" w:cs="Arial" w:eastAsia="Arial" w:hAnsi="Arial"/>
          <w:sz w:val="23"/>
          <w:szCs w:val="23"/>
          <w:b w:val="1"/>
          <w:bCs w:val="1"/>
          <w:i w:val="1"/>
          <w:iCs w:val="1"/>
          <w:color w:val="auto"/>
        </w:rPr>
        <w:t xml:space="preserve"> лет и старше необходимо учитывать методические рекомендации МР </w:t>
      </w:r>
      <w:r>
        <w:rPr>
          <w:rFonts w:ascii="Arial" w:cs="Arial" w:eastAsia="Arial" w:hAnsi="Arial"/>
          <w:sz w:val="23"/>
          <w:szCs w:val="23"/>
          <w:b w:val="1"/>
          <w:bCs w:val="1"/>
          <w:i w:val="1"/>
          <w:iCs w:val="1"/>
          <w:color w:val="auto"/>
        </w:rPr>
        <w:t>103 «</w:t>
      </w:r>
      <w:r>
        <w:rPr>
          <w:rFonts w:ascii="Arial" w:cs="Arial" w:eastAsia="Arial" w:hAnsi="Arial"/>
          <w:sz w:val="23"/>
          <w:szCs w:val="23"/>
          <w:b w:val="1"/>
          <w:bCs w:val="1"/>
          <w:i w:val="1"/>
          <w:iCs w:val="1"/>
          <w:color w:val="auto"/>
        </w:rPr>
        <w:t>Фармакотерапия у пациентов пожилого и старческого возраста</w:t>
      </w:r>
      <w:r>
        <w:rPr>
          <w:rFonts w:ascii="Arial" w:cs="Arial" w:eastAsia="Arial" w:hAnsi="Arial"/>
          <w:sz w:val="23"/>
          <w:szCs w:val="23"/>
          <w:b w:val="1"/>
          <w:bCs w:val="1"/>
          <w:i w:val="1"/>
          <w:iCs w:val="1"/>
          <w:color w:val="auto"/>
        </w:rPr>
        <w:t>».</w:t>
      </w:r>
    </w:p>
    <w:p>
      <w:pPr>
        <w:spacing w:after="0" w:line="138"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3.6.16. </w:t>
      </w:r>
      <w:r>
        <w:rPr>
          <w:rFonts w:ascii="Arial" w:cs="Arial" w:eastAsia="Arial" w:hAnsi="Arial"/>
          <w:sz w:val="27"/>
          <w:szCs w:val="27"/>
          <w:b w:val="1"/>
          <w:bCs w:val="1"/>
          <w:color w:val="auto"/>
        </w:rPr>
        <w:t>Изолированная систолическая артериальная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гипертензия</w:t>
      </w:r>
    </w:p>
    <w:p>
      <w:pPr>
        <w:spacing w:after="0" w:line="178"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Изолированная систолическая АГ</w:t>
      </w:r>
      <w:r>
        <w:rPr>
          <w:rFonts w:ascii="Arial" w:cs="Arial" w:eastAsia="Arial" w:hAnsi="Arial"/>
          <w:sz w:val="27"/>
          <w:szCs w:val="27"/>
          <w:color w:val="auto"/>
        </w:rPr>
        <w:t>:</w:t>
      </w:r>
      <w:r>
        <w:rPr>
          <w:rFonts w:ascii="Arial" w:cs="Arial" w:eastAsia="Arial" w:hAnsi="Arial"/>
          <w:sz w:val="27"/>
          <w:szCs w:val="27"/>
          <w:color w:val="auto"/>
        </w:rPr>
        <w:t xml:space="preserve"> повышение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140</w:t>
      </w:r>
      <w:r>
        <w:rPr>
          <w:rFonts w:ascii="Arial" w:cs="Arial" w:eastAsia="Arial" w:hAnsi="Arial"/>
          <w:sz w:val="27"/>
          <w:szCs w:val="27"/>
          <w:color w:val="auto"/>
        </w:rPr>
        <w:t xml:space="preserve"> мм рт</w:t>
      </w:r>
      <w:r>
        <w:rPr>
          <w:rFonts w:ascii="Arial" w:cs="Arial" w:eastAsia="Arial" w:hAnsi="Arial"/>
          <w:sz w:val="27"/>
          <w:szCs w:val="27"/>
          <w:color w:val="auto"/>
        </w:rPr>
        <w:t>.</w:t>
      </w:r>
    </w:p>
    <w:p>
      <w:pPr>
        <w:spacing w:after="0" w:line="79"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ст</w:t>
      </w:r>
      <w:r>
        <w:rPr>
          <w:rFonts w:ascii="Arial" w:cs="Arial" w:eastAsia="Arial" w:hAnsi="Arial"/>
          <w:sz w:val="27"/>
          <w:szCs w:val="27"/>
          <w:color w:val="auto"/>
        </w:rPr>
        <w:t>.</w:t>
      </w:r>
      <w:r>
        <w:rPr>
          <w:rFonts w:ascii="Arial" w:cs="Arial" w:eastAsia="Arial" w:hAnsi="Arial"/>
          <w:sz w:val="27"/>
          <w:szCs w:val="27"/>
          <w:color w:val="auto"/>
        </w:rPr>
        <w:t xml:space="preserve"> при ДАД </w:t>
      </w:r>
      <w:r>
        <w:rPr>
          <w:rFonts w:ascii="Arial" w:cs="Arial" w:eastAsia="Arial" w:hAnsi="Arial"/>
          <w:sz w:val="27"/>
          <w:szCs w:val="27"/>
          <w:color w:val="auto"/>
        </w:rPr>
        <w:t>&lt;90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p>
    <w:p>
      <w:pPr>
        <w:spacing w:after="0" w:line="350"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 xml:space="preserve">Наиболее распространена у пожилых пациентов </w:t>
      </w:r>
      <w:r>
        <w:rPr>
          <w:rFonts w:ascii="Arial" w:cs="Arial" w:eastAsia="Arial" w:hAnsi="Arial"/>
          <w:sz w:val="27"/>
          <w:szCs w:val="27"/>
          <w:color w:val="auto"/>
        </w:rPr>
        <w:t>(</w:t>
      </w:r>
      <w:r>
        <w:rPr>
          <w:rFonts w:ascii="Arial" w:cs="Arial" w:eastAsia="Arial" w:hAnsi="Arial"/>
          <w:sz w:val="27"/>
          <w:szCs w:val="27"/>
          <w:color w:val="auto"/>
        </w:rPr>
        <w:t xml:space="preserve">до </w:t>
      </w:r>
      <w:r>
        <w:rPr>
          <w:rFonts w:ascii="Arial" w:cs="Arial" w:eastAsia="Arial" w:hAnsi="Arial"/>
          <w:sz w:val="27"/>
          <w:szCs w:val="27"/>
          <w:color w:val="auto"/>
        </w:rPr>
        <w:t>29,4%),</w:t>
      </w:r>
      <w:r>
        <w:rPr>
          <w:rFonts w:ascii="Arial" w:cs="Arial" w:eastAsia="Arial" w:hAnsi="Arial"/>
          <w:sz w:val="27"/>
          <w:szCs w:val="27"/>
          <w:color w:val="auto"/>
        </w:rPr>
        <w:t xml:space="preserve"> может встречаться и у пациентов молодого </w:t>
      </w:r>
      <w:r>
        <w:rPr>
          <w:rFonts w:ascii="Arial" w:cs="Arial" w:eastAsia="Arial" w:hAnsi="Arial"/>
          <w:sz w:val="27"/>
          <w:szCs w:val="27"/>
          <w:color w:val="auto"/>
        </w:rPr>
        <w:t>(1,8%</w:t>
      </w:r>
      <w:r>
        <w:rPr>
          <w:rFonts w:ascii="Arial" w:cs="Arial" w:eastAsia="Arial" w:hAnsi="Arial"/>
          <w:sz w:val="27"/>
          <w:szCs w:val="27"/>
          <w:color w:val="auto"/>
        </w:rPr>
        <w:t xml:space="preserve"> среди пациентов </w:t>
      </w:r>
      <w:r>
        <w:rPr>
          <w:rFonts w:ascii="Arial" w:cs="Arial" w:eastAsia="Arial" w:hAnsi="Arial"/>
          <w:sz w:val="27"/>
          <w:szCs w:val="27"/>
          <w:color w:val="auto"/>
        </w:rPr>
        <w:t>18–39</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и среднего возраста </w:t>
      </w:r>
      <w:r>
        <w:rPr>
          <w:rFonts w:ascii="Arial" w:cs="Arial" w:eastAsia="Arial" w:hAnsi="Arial"/>
          <w:sz w:val="27"/>
          <w:szCs w:val="27"/>
          <w:color w:val="auto"/>
        </w:rPr>
        <w:t>(6%</w:t>
      </w:r>
      <w:r>
        <w:rPr>
          <w:rFonts w:ascii="Arial" w:cs="Arial" w:eastAsia="Arial" w:hAnsi="Arial"/>
          <w:sz w:val="27"/>
          <w:szCs w:val="27"/>
          <w:color w:val="auto"/>
        </w:rPr>
        <w:t xml:space="preserve"> среди пациентов </w:t>
      </w:r>
      <w:r>
        <w:rPr>
          <w:rFonts w:ascii="Arial" w:cs="Arial" w:eastAsia="Arial" w:hAnsi="Arial"/>
          <w:sz w:val="27"/>
          <w:szCs w:val="27"/>
          <w:color w:val="auto"/>
        </w:rPr>
        <w:t xml:space="preserve">40–60 </w:t>
      </w:r>
      <w:r>
        <w:rPr>
          <w:rFonts w:ascii="Arial" w:cs="Arial" w:eastAsia="Arial" w:hAnsi="Arial"/>
          <w:sz w:val="27"/>
          <w:szCs w:val="27"/>
          <w:color w:val="auto"/>
        </w:rPr>
        <w:t>лет</w:t>
      </w:r>
      <w:r>
        <w:rPr>
          <w:rFonts w:ascii="Arial" w:cs="Arial" w:eastAsia="Arial" w:hAnsi="Arial"/>
          <w:sz w:val="27"/>
          <w:szCs w:val="27"/>
          <w:color w:val="auto"/>
        </w:rPr>
        <w:t xml:space="preserve">) [242, 243]. </w:t>
      </w:r>
      <w:r>
        <w:rPr>
          <w:rFonts w:ascii="Arial" w:cs="Arial" w:eastAsia="Arial" w:hAnsi="Arial"/>
          <w:sz w:val="27"/>
          <w:szCs w:val="27"/>
          <w:color w:val="auto"/>
        </w:rPr>
        <w:t>В основе развития ИСАГ лежат</w:t>
      </w:r>
      <w:r>
        <w:rPr>
          <w:rFonts w:ascii="Arial" w:cs="Arial" w:eastAsia="Arial" w:hAnsi="Arial"/>
          <w:sz w:val="27"/>
          <w:szCs w:val="27"/>
          <w:color w:val="auto"/>
        </w:rPr>
        <w:t xml:space="preserve"> </w:t>
      </w:r>
      <w:r>
        <w:rPr>
          <w:rFonts w:ascii="Arial" w:cs="Arial" w:eastAsia="Arial" w:hAnsi="Arial"/>
          <w:sz w:val="27"/>
          <w:szCs w:val="27"/>
          <w:color w:val="auto"/>
        </w:rPr>
        <w:t>артериолосклероз и повышение артериальной ригидности</w:t>
      </w:r>
      <w:r>
        <w:rPr>
          <w:rFonts w:ascii="Arial" w:cs="Arial" w:eastAsia="Arial" w:hAnsi="Arial"/>
          <w:sz w:val="27"/>
          <w:szCs w:val="27"/>
          <w:color w:val="auto"/>
        </w:rPr>
        <w:t>,</w:t>
      </w:r>
      <w:r>
        <w:rPr>
          <w:rFonts w:ascii="Arial" w:cs="Arial" w:eastAsia="Arial" w:hAnsi="Arial"/>
          <w:sz w:val="27"/>
          <w:szCs w:val="27"/>
          <w:color w:val="auto"/>
        </w:rPr>
        <w:t xml:space="preserve"> эндотелиальная дисфункция</w:t>
      </w:r>
      <w:r>
        <w:rPr>
          <w:rFonts w:ascii="Arial" w:cs="Arial" w:eastAsia="Arial" w:hAnsi="Arial"/>
          <w:sz w:val="27"/>
          <w:szCs w:val="27"/>
          <w:color w:val="auto"/>
        </w:rPr>
        <w:t>,</w:t>
      </w:r>
      <w:r>
        <w:rPr>
          <w:rFonts w:ascii="Arial" w:cs="Arial" w:eastAsia="Arial" w:hAnsi="Arial"/>
          <w:sz w:val="27"/>
          <w:szCs w:val="27"/>
          <w:color w:val="auto"/>
        </w:rPr>
        <w:t xml:space="preserve"> провоспалительная активность</w:t>
      </w:r>
      <w:r>
        <w:rPr>
          <w:rFonts w:ascii="Arial" w:cs="Arial" w:eastAsia="Arial" w:hAnsi="Arial"/>
          <w:sz w:val="27"/>
          <w:szCs w:val="27"/>
          <w:color w:val="auto"/>
        </w:rPr>
        <w:t>,</w:t>
      </w:r>
      <w:r>
        <w:rPr>
          <w:rFonts w:ascii="Arial" w:cs="Arial" w:eastAsia="Arial" w:hAnsi="Arial"/>
          <w:sz w:val="27"/>
          <w:szCs w:val="27"/>
          <w:color w:val="auto"/>
        </w:rPr>
        <w:t xml:space="preserve"> кальцификация эластина</w:t>
      </w:r>
      <w:r>
        <w:rPr>
          <w:rFonts w:ascii="Arial" w:cs="Arial" w:eastAsia="Arial" w:hAnsi="Arial"/>
          <w:sz w:val="27"/>
          <w:szCs w:val="27"/>
          <w:color w:val="auto"/>
        </w:rPr>
        <w:t>.</w:t>
      </w:r>
      <w:r>
        <w:rPr>
          <w:rFonts w:ascii="Arial" w:cs="Arial" w:eastAsia="Arial" w:hAnsi="Arial"/>
          <w:sz w:val="27"/>
          <w:szCs w:val="27"/>
          <w:color w:val="auto"/>
        </w:rPr>
        <w:t xml:space="preserve"> Наблюдается у пожилых</w:t>
      </w:r>
      <w:r>
        <w:rPr>
          <w:rFonts w:ascii="Arial" w:cs="Arial" w:eastAsia="Arial" w:hAnsi="Arial"/>
          <w:sz w:val="27"/>
          <w:szCs w:val="27"/>
          <w:color w:val="auto"/>
        </w:rPr>
        <w:t>,</w:t>
      </w:r>
      <w:r>
        <w:rPr>
          <w:rFonts w:ascii="Arial" w:cs="Arial" w:eastAsia="Arial" w:hAnsi="Arial"/>
          <w:sz w:val="27"/>
          <w:szCs w:val="27"/>
          <w:color w:val="auto"/>
        </w:rPr>
        <w:t xml:space="preserve"> пациентов с СД</w:t>
      </w:r>
      <w:r>
        <w:rPr>
          <w:rFonts w:ascii="Arial" w:cs="Arial" w:eastAsia="Arial" w:hAnsi="Arial"/>
          <w:sz w:val="27"/>
          <w:szCs w:val="27"/>
          <w:color w:val="auto"/>
        </w:rPr>
        <w:t>,</w:t>
      </w:r>
      <w:r>
        <w:rPr>
          <w:rFonts w:ascii="Arial" w:cs="Arial" w:eastAsia="Arial" w:hAnsi="Arial"/>
          <w:sz w:val="27"/>
          <w:szCs w:val="27"/>
          <w:color w:val="auto"/>
        </w:rPr>
        <w:t xml:space="preserve"> ХБП</w:t>
      </w:r>
      <w:r>
        <w:rPr>
          <w:rFonts w:ascii="Arial" w:cs="Arial" w:eastAsia="Arial" w:hAnsi="Arial"/>
          <w:sz w:val="27"/>
          <w:szCs w:val="27"/>
          <w:color w:val="auto"/>
        </w:rPr>
        <w:t>,</w:t>
      </w:r>
      <w:r>
        <w:rPr>
          <w:rFonts w:ascii="Arial" w:cs="Arial" w:eastAsia="Arial" w:hAnsi="Arial"/>
          <w:sz w:val="27"/>
          <w:szCs w:val="27"/>
          <w:color w:val="auto"/>
        </w:rPr>
        <w:t xml:space="preserve"> остеопорозом с кальцификацией сосудов </w:t>
      </w:r>
      <w:r>
        <w:rPr>
          <w:rFonts w:ascii="Arial" w:cs="Arial" w:eastAsia="Arial" w:hAnsi="Arial"/>
          <w:sz w:val="27"/>
          <w:szCs w:val="27"/>
          <w:color w:val="auto"/>
        </w:rPr>
        <w:t>[244].</w:t>
      </w:r>
      <w:r>
        <w:rPr>
          <w:rFonts w:ascii="Arial" w:cs="Arial" w:eastAsia="Arial" w:hAnsi="Arial"/>
          <w:sz w:val="27"/>
          <w:szCs w:val="27"/>
          <w:color w:val="auto"/>
        </w:rPr>
        <w:t xml:space="preserve"> ИСАГ независимо ассоциирована с риском неблагоприятных СС исходов и смертности </w:t>
      </w:r>
      <w:r>
        <w:rPr>
          <w:rFonts w:ascii="Arial" w:cs="Arial" w:eastAsia="Arial" w:hAnsi="Arial"/>
          <w:sz w:val="27"/>
          <w:szCs w:val="27"/>
          <w:color w:val="auto"/>
        </w:rPr>
        <w:t>[245, 246].</w:t>
      </w:r>
    </w:p>
    <w:p>
      <w:pPr>
        <w:spacing w:after="0" w:line="226"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Пороговым значением САД для начала АГТ является </w:t>
      </w:r>
      <w:r>
        <w:rPr>
          <w:rFonts w:ascii="Times New Roman" w:cs="Times New Roman" w:eastAsia="Times New Roman" w:hAnsi="Times New Roman"/>
          <w:sz w:val="27"/>
          <w:szCs w:val="27"/>
          <w:color w:val="auto"/>
        </w:rPr>
        <w:t>≥</w:t>
      </w:r>
      <w:r>
        <w:rPr>
          <w:rFonts w:ascii="Arial" w:cs="Arial" w:eastAsia="Arial" w:hAnsi="Arial"/>
          <w:sz w:val="27"/>
          <w:szCs w:val="27"/>
          <w:color w:val="auto"/>
        </w:rPr>
        <w:t>140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Лечение пациентов с ИСАГ проводят в соответствии с алгоритмом антигипертензивной терапии</w:t>
      </w:r>
      <w:r>
        <w:rPr>
          <w:rFonts w:ascii="Arial" w:cs="Arial" w:eastAsia="Arial" w:hAnsi="Arial"/>
          <w:sz w:val="27"/>
          <w:szCs w:val="27"/>
          <w:color w:val="auto"/>
        </w:rPr>
        <w:t>,</w:t>
      </w:r>
      <w:r>
        <w:rPr>
          <w:rFonts w:ascii="Arial" w:cs="Arial" w:eastAsia="Arial" w:hAnsi="Arial"/>
          <w:sz w:val="27"/>
          <w:szCs w:val="27"/>
          <w:color w:val="auto"/>
        </w:rPr>
        <w:t xml:space="preserve"> при этом необходимо ориентироваться на уровень САД</w:t>
      </w:r>
      <w:r>
        <w:rPr>
          <w:rFonts w:ascii="Arial" w:cs="Arial" w:eastAsia="Arial" w:hAnsi="Arial"/>
          <w:sz w:val="27"/>
          <w:szCs w:val="27"/>
          <w:color w:val="auto"/>
        </w:rPr>
        <w:t>,</w:t>
      </w:r>
      <w:r>
        <w:rPr>
          <w:rFonts w:ascii="Arial" w:cs="Arial" w:eastAsia="Arial" w:hAnsi="Arial"/>
          <w:sz w:val="27"/>
          <w:szCs w:val="27"/>
          <w:color w:val="auto"/>
        </w:rPr>
        <w:t xml:space="preserve"> а нормальное значение ДАД не должно препятствовать назначению оптимального лечения для достижения целевого САД </w:t>
      </w:r>
      <w:r>
        <w:rPr>
          <w:rFonts w:ascii="Arial" w:cs="Arial" w:eastAsia="Arial" w:hAnsi="Arial"/>
          <w:sz w:val="27"/>
          <w:szCs w:val="27"/>
          <w:color w:val="auto"/>
        </w:rPr>
        <w:t>[21, 31].</w:t>
      </w:r>
    </w:p>
    <w:p>
      <w:pPr>
        <w:sectPr>
          <w:pgSz w:w="11900" w:h="16840" w:orient="portrait"/>
          <w:cols w:equalWidth="0" w:num="1">
            <w:col w:w="9020"/>
          </w:cols>
          <w:pgMar w:left="1440" w:top="19" w:right="1440" w:bottom="0" w:gutter="0" w:footer="0" w:header="0"/>
        </w:sectPr>
      </w:pPr>
    </w:p>
    <w:bookmarkStart w:id="69" w:name="page70"/>
    <w:bookmarkEnd w:id="69"/>
    <w:p>
      <w:pPr>
        <w:jc w:val="both"/>
        <w:ind w:left="680" w:right="220"/>
        <w:spacing w:after="0" w:line="306" w:lineRule="auto"/>
        <w:rPr>
          <w:sz w:val="20"/>
          <w:szCs w:val="20"/>
          <w:color w:val="auto"/>
        </w:rPr>
      </w:pPr>
      <w:r>
        <w:rPr>
          <w:rFonts w:ascii="Arial" w:cs="Arial" w:eastAsia="Arial" w:hAnsi="Arial"/>
          <w:sz w:val="27"/>
          <w:szCs w:val="27"/>
          <w:color w:val="auto"/>
        </w:rPr>
        <w:t>Помимо истинной ИСАГ</w:t>
      </w:r>
      <w:r>
        <w:rPr>
          <w:rFonts w:ascii="Arial" w:cs="Arial" w:eastAsia="Arial" w:hAnsi="Arial"/>
          <w:sz w:val="27"/>
          <w:szCs w:val="27"/>
          <w:color w:val="auto"/>
        </w:rPr>
        <w:t>,</w:t>
      </w:r>
      <w:r>
        <w:rPr>
          <w:rFonts w:ascii="Arial" w:cs="Arial" w:eastAsia="Arial" w:hAnsi="Arial"/>
          <w:sz w:val="27"/>
          <w:szCs w:val="27"/>
          <w:color w:val="auto"/>
        </w:rPr>
        <w:t xml:space="preserve"> у некоторых молодых здоровых людей</w:t>
      </w:r>
      <w:r>
        <w:rPr>
          <w:rFonts w:ascii="Arial" w:cs="Arial" w:eastAsia="Arial" w:hAnsi="Arial"/>
          <w:sz w:val="27"/>
          <w:szCs w:val="27"/>
          <w:color w:val="auto"/>
        </w:rPr>
        <w:t>,</w:t>
      </w:r>
      <w:r>
        <w:rPr>
          <w:rFonts w:ascii="Arial" w:cs="Arial" w:eastAsia="Arial" w:hAnsi="Arial"/>
          <w:sz w:val="27"/>
          <w:szCs w:val="27"/>
          <w:color w:val="auto"/>
        </w:rPr>
        <w:t xml:space="preserve"> чаще у мужчин</w:t>
      </w:r>
      <w:r>
        <w:rPr>
          <w:rFonts w:ascii="Arial" w:cs="Arial" w:eastAsia="Arial" w:hAnsi="Arial"/>
          <w:sz w:val="27"/>
          <w:szCs w:val="27"/>
          <w:color w:val="auto"/>
        </w:rPr>
        <w:t>,</w:t>
      </w:r>
      <w:r>
        <w:rPr>
          <w:rFonts w:ascii="Arial" w:cs="Arial" w:eastAsia="Arial" w:hAnsi="Arial"/>
          <w:sz w:val="27"/>
          <w:szCs w:val="27"/>
          <w:color w:val="auto"/>
        </w:rPr>
        <w:t xml:space="preserve"> может выявляться ложная ИСАГ </w:t>
      </w:r>
      <w:r>
        <w:rPr>
          <w:rFonts w:ascii="Arial" w:cs="Arial" w:eastAsia="Arial" w:hAnsi="Arial"/>
          <w:sz w:val="27"/>
          <w:szCs w:val="27"/>
          <w:color w:val="auto"/>
        </w:rPr>
        <w:t>1-</w:t>
      </w:r>
      <w:r>
        <w:rPr>
          <w:rFonts w:ascii="Arial" w:cs="Arial" w:eastAsia="Arial" w:hAnsi="Arial"/>
          <w:sz w:val="27"/>
          <w:szCs w:val="27"/>
          <w:color w:val="auto"/>
        </w:rPr>
        <w:t>й степени</w:t>
      </w:r>
      <w:r>
        <w:rPr>
          <w:rFonts w:ascii="Arial" w:cs="Arial" w:eastAsia="Arial" w:hAnsi="Arial"/>
          <w:sz w:val="27"/>
          <w:szCs w:val="27"/>
          <w:color w:val="auto"/>
        </w:rPr>
        <w:t>,</w:t>
      </w:r>
      <w:r>
        <w:rPr>
          <w:rFonts w:ascii="Arial" w:cs="Arial" w:eastAsia="Arial" w:hAnsi="Arial"/>
          <w:sz w:val="27"/>
          <w:szCs w:val="27"/>
          <w:color w:val="auto"/>
        </w:rPr>
        <w:t xml:space="preserve"> сопровождающаяся нормальными показателями центрального САД за счет чрезмерной амплификации периферического САД </w:t>
      </w:r>
      <w:r>
        <w:rPr>
          <w:rFonts w:ascii="Arial" w:cs="Arial" w:eastAsia="Arial" w:hAnsi="Arial"/>
          <w:sz w:val="27"/>
          <w:szCs w:val="27"/>
          <w:color w:val="auto"/>
        </w:rPr>
        <w:t>[247].</w:t>
      </w:r>
      <w:r>
        <w:rPr>
          <w:rFonts w:ascii="Arial" w:cs="Arial" w:eastAsia="Arial" w:hAnsi="Arial"/>
          <w:sz w:val="27"/>
          <w:szCs w:val="27"/>
          <w:color w:val="auto"/>
        </w:rPr>
        <w:t xml:space="preserve"> Показано</w:t>
      </w:r>
      <w:r>
        <w:rPr>
          <w:rFonts w:ascii="Arial" w:cs="Arial" w:eastAsia="Arial" w:hAnsi="Arial"/>
          <w:sz w:val="27"/>
          <w:szCs w:val="27"/>
          <w:color w:val="auto"/>
        </w:rPr>
        <w:t>,</w:t>
      </w:r>
      <w:r>
        <w:rPr>
          <w:rFonts w:ascii="Arial" w:cs="Arial" w:eastAsia="Arial" w:hAnsi="Arial"/>
          <w:sz w:val="27"/>
          <w:szCs w:val="27"/>
          <w:color w:val="auto"/>
        </w:rPr>
        <w:t xml:space="preserve"> что у молодых пациентов с ИСАГ сердечно</w:t>
      </w:r>
      <w:r>
        <w:rPr>
          <w:rFonts w:ascii="Arial" w:cs="Arial" w:eastAsia="Arial" w:hAnsi="Arial"/>
          <w:sz w:val="27"/>
          <w:szCs w:val="27"/>
          <w:color w:val="auto"/>
        </w:rPr>
        <w:t>-</w:t>
      </w:r>
      <w:r>
        <w:rPr>
          <w:rFonts w:ascii="Arial" w:cs="Arial" w:eastAsia="Arial" w:hAnsi="Arial"/>
          <w:sz w:val="27"/>
          <w:szCs w:val="27"/>
          <w:color w:val="auto"/>
        </w:rPr>
        <w:t>сосудистый риск аналогичен риску пациентов с высоким нормальным АД</w:t>
      </w:r>
      <w:r>
        <w:rPr>
          <w:rFonts w:ascii="Arial" w:cs="Arial" w:eastAsia="Arial" w:hAnsi="Arial"/>
          <w:sz w:val="27"/>
          <w:szCs w:val="27"/>
          <w:color w:val="auto"/>
        </w:rPr>
        <w:t>,</w:t>
      </w:r>
      <w:r>
        <w:rPr>
          <w:rFonts w:ascii="Arial" w:cs="Arial" w:eastAsia="Arial" w:hAnsi="Arial"/>
          <w:sz w:val="27"/>
          <w:szCs w:val="27"/>
          <w:color w:val="auto"/>
        </w:rPr>
        <w:t xml:space="preserve"> причем</w:t>
      </w:r>
      <w:r>
        <w:rPr>
          <w:rFonts w:ascii="Arial" w:cs="Arial" w:eastAsia="Arial" w:hAnsi="Arial"/>
          <w:sz w:val="27"/>
          <w:szCs w:val="27"/>
          <w:color w:val="auto"/>
        </w:rPr>
        <w:t>,</w:t>
      </w:r>
      <w:r>
        <w:rPr>
          <w:rFonts w:ascii="Arial" w:cs="Arial" w:eastAsia="Arial" w:hAnsi="Arial"/>
          <w:sz w:val="27"/>
          <w:szCs w:val="27"/>
          <w:color w:val="auto"/>
        </w:rPr>
        <w:t xml:space="preserve"> риск развития ИСАГ ассоциирован с курением </w:t>
      </w:r>
      <w:r>
        <w:rPr>
          <w:rFonts w:ascii="Arial" w:cs="Arial" w:eastAsia="Arial" w:hAnsi="Arial"/>
          <w:sz w:val="27"/>
          <w:szCs w:val="27"/>
          <w:color w:val="auto"/>
        </w:rPr>
        <w:t>[248].</w:t>
      </w:r>
    </w:p>
    <w:p>
      <w:pPr>
        <w:spacing w:after="0" w:line="225"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На основании имеющихся данных молодым пациентам с изолированной систолической АГ </w:t>
      </w:r>
      <w:r>
        <w:rPr>
          <w:rFonts w:ascii="Arial" w:cs="Arial" w:eastAsia="Arial" w:hAnsi="Arial"/>
          <w:sz w:val="27"/>
          <w:szCs w:val="27"/>
          <w:color w:val="auto"/>
        </w:rPr>
        <w:t>1-</w:t>
      </w:r>
      <w:r>
        <w:rPr>
          <w:rFonts w:ascii="Arial" w:cs="Arial" w:eastAsia="Arial" w:hAnsi="Arial"/>
          <w:sz w:val="27"/>
          <w:szCs w:val="27"/>
          <w:color w:val="auto"/>
        </w:rPr>
        <w:t xml:space="preserve">й степени следует рекомендовать мероприятия по изменению образа жизни </w:t>
      </w:r>
      <w:r>
        <w:rPr>
          <w:rFonts w:ascii="Arial" w:cs="Arial" w:eastAsia="Arial" w:hAnsi="Arial"/>
          <w:sz w:val="27"/>
          <w:szCs w:val="27"/>
          <w:color w:val="auto"/>
        </w:rPr>
        <w:t>(</w:t>
      </w:r>
      <w:r>
        <w:rPr>
          <w:rFonts w:ascii="Arial" w:cs="Arial" w:eastAsia="Arial" w:hAnsi="Arial"/>
          <w:sz w:val="27"/>
          <w:szCs w:val="27"/>
          <w:color w:val="auto"/>
        </w:rPr>
        <w:t>особенно прекращение курения</w:t>
      </w:r>
      <w:r>
        <w:rPr>
          <w:rFonts w:ascii="Arial" w:cs="Arial" w:eastAsia="Arial" w:hAnsi="Arial"/>
          <w:sz w:val="27"/>
          <w:szCs w:val="27"/>
          <w:color w:val="auto"/>
        </w:rPr>
        <w:t xml:space="preserve">); </w:t>
      </w:r>
      <w:r>
        <w:rPr>
          <w:rFonts w:ascii="Arial" w:cs="Arial" w:eastAsia="Arial" w:hAnsi="Arial"/>
          <w:sz w:val="27"/>
          <w:szCs w:val="27"/>
          <w:color w:val="auto"/>
        </w:rPr>
        <w:t>необходимость назначения</w:t>
      </w:r>
      <w:r>
        <w:rPr>
          <w:rFonts w:ascii="Arial" w:cs="Arial" w:eastAsia="Arial" w:hAnsi="Arial"/>
          <w:sz w:val="27"/>
          <w:szCs w:val="27"/>
          <w:color w:val="auto"/>
        </w:rPr>
        <w:t xml:space="preserve"> </w:t>
      </w:r>
      <w:r>
        <w:rPr>
          <w:rFonts w:ascii="Arial" w:cs="Arial" w:eastAsia="Arial" w:hAnsi="Arial"/>
          <w:sz w:val="27"/>
          <w:szCs w:val="27"/>
          <w:color w:val="auto"/>
        </w:rPr>
        <w:t>АГТ на настоящий момент не доказана</w:t>
      </w:r>
      <w:r>
        <w:rPr>
          <w:rFonts w:ascii="Arial" w:cs="Arial" w:eastAsia="Arial" w:hAnsi="Arial"/>
          <w:sz w:val="27"/>
          <w:szCs w:val="27"/>
          <w:color w:val="auto"/>
        </w:rPr>
        <w:t>;</w:t>
      </w:r>
      <w:r>
        <w:rPr>
          <w:rFonts w:ascii="Arial" w:cs="Arial" w:eastAsia="Arial" w:hAnsi="Arial"/>
          <w:sz w:val="27"/>
          <w:szCs w:val="27"/>
          <w:color w:val="auto"/>
        </w:rPr>
        <w:t xml:space="preserve"> показано длительное наблюдение</w:t>
      </w:r>
      <w:r>
        <w:rPr>
          <w:rFonts w:ascii="Arial" w:cs="Arial" w:eastAsia="Arial" w:hAnsi="Arial"/>
          <w:sz w:val="27"/>
          <w:szCs w:val="27"/>
          <w:color w:val="auto"/>
        </w:rPr>
        <w:t>,</w:t>
      </w:r>
      <w:r>
        <w:rPr>
          <w:rFonts w:ascii="Arial" w:cs="Arial" w:eastAsia="Arial" w:hAnsi="Arial"/>
          <w:sz w:val="27"/>
          <w:szCs w:val="27"/>
          <w:color w:val="auto"/>
        </w:rPr>
        <w:t xml:space="preserve"> поскольку у многих из них в дальнейшем возможно развитие стойкой АГ </w:t>
      </w:r>
      <w:r>
        <w:rPr>
          <w:rFonts w:ascii="Arial" w:cs="Arial" w:eastAsia="Arial" w:hAnsi="Arial"/>
          <w:sz w:val="27"/>
          <w:szCs w:val="27"/>
          <w:color w:val="auto"/>
        </w:rPr>
        <w:t>[21].</w:t>
      </w:r>
    </w:p>
    <w:p>
      <w:pPr>
        <w:spacing w:after="0" w:line="221"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3.6.17. </w:t>
      </w:r>
      <w:r>
        <w:rPr>
          <w:rFonts w:ascii="Arial" w:cs="Arial" w:eastAsia="Arial" w:hAnsi="Arial"/>
          <w:sz w:val="27"/>
          <w:szCs w:val="27"/>
          <w:b w:val="1"/>
          <w:bCs w:val="1"/>
          <w:color w:val="auto"/>
        </w:rPr>
        <w:t>Артериальная гипертензия при беременности и</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лактации</w:t>
      </w:r>
    </w:p>
    <w:p>
      <w:pPr>
        <w:spacing w:after="0" w:line="179"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Выделяют следующие клинические варианты АГ при беременности </w:t>
      </w:r>
      <w:r>
        <w:rPr>
          <w:rFonts w:ascii="Arial" w:cs="Arial" w:eastAsia="Arial" w:hAnsi="Arial"/>
          <w:sz w:val="27"/>
          <w:szCs w:val="27"/>
          <w:color w:val="auto"/>
        </w:rPr>
        <w:t>[21]:</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АГ</w:t>
      </w:r>
      <w:r>
        <w:rPr>
          <w:rFonts w:ascii="Arial" w:cs="Arial" w:eastAsia="Arial" w:hAnsi="Arial"/>
          <w:sz w:val="27"/>
          <w:szCs w:val="27"/>
          <w:color w:val="auto"/>
        </w:rPr>
        <w:t>,</w:t>
      </w:r>
      <w:r>
        <w:rPr>
          <w:rFonts w:ascii="Arial" w:cs="Arial" w:eastAsia="Arial" w:hAnsi="Arial"/>
          <w:sz w:val="27"/>
          <w:szCs w:val="27"/>
          <w:color w:val="auto"/>
        </w:rPr>
        <w:t xml:space="preserve"> развившаяся до беременности </w:t>
      </w:r>
      <w:r>
        <w:rPr>
          <w:rFonts w:ascii="Arial" w:cs="Arial" w:eastAsia="Arial" w:hAnsi="Arial"/>
          <w:sz w:val="27"/>
          <w:szCs w:val="27"/>
          <w:color w:val="auto"/>
        </w:rPr>
        <w:t>(</w:t>
      </w:r>
      <w:r>
        <w:rPr>
          <w:rFonts w:ascii="Arial" w:cs="Arial" w:eastAsia="Arial" w:hAnsi="Arial"/>
          <w:sz w:val="27"/>
          <w:szCs w:val="27"/>
          <w:color w:val="auto"/>
        </w:rPr>
        <w:t xml:space="preserve">хроническая АГ </w:t>
      </w:r>
      <w:r>
        <w:rPr>
          <w:rFonts w:ascii="Arial" w:cs="Arial" w:eastAsia="Arial" w:hAnsi="Arial"/>
          <w:sz w:val="27"/>
          <w:szCs w:val="27"/>
          <w:color w:val="auto"/>
        </w:rPr>
        <w:t>—</w:t>
      </w:r>
      <w:r>
        <w:rPr>
          <w:rFonts w:ascii="Arial" w:cs="Arial" w:eastAsia="Arial" w:hAnsi="Arial"/>
          <w:sz w:val="27"/>
          <w:szCs w:val="27"/>
          <w:color w:val="auto"/>
        </w:rPr>
        <w:t xml:space="preserve"> ХАГ</w:t>
      </w:r>
      <w:r>
        <w:rPr>
          <w:rFonts w:ascii="Arial" w:cs="Arial" w:eastAsia="Arial" w:hAnsi="Arial"/>
          <w:sz w:val="27"/>
          <w:szCs w:val="27"/>
          <w:color w:val="auto"/>
        </w:rPr>
        <w:t>) —</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АГ</w:t>
      </w:r>
      <w:r>
        <w:rPr>
          <w:rFonts w:ascii="Arial" w:cs="Arial" w:eastAsia="Arial" w:hAnsi="Arial"/>
          <w:sz w:val="27"/>
          <w:szCs w:val="27"/>
          <w:color w:val="auto"/>
        </w:rPr>
        <w:t>,</w:t>
      </w:r>
      <w:r>
        <w:rPr>
          <w:rFonts w:ascii="Arial" w:cs="Arial" w:eastAsia="Arial" w:hAnsi="Arial"/>
          <w:sz w:val="27"/>
          <w:szCs w:val="27"/>
          <w:color w:val="auto"/>
        </w:rPr>
        <w:t xml:space="preserve"> определяемая до беременности или проявившаяся до </w:t>
      </w:r>
      <w:r>
        <w:rPr>
          <w:rFonts w:ascii="Arial" w:cs="Arial" w:eastAsia="Arial" w:hAnsi="Arial"/>
          <w:sz w:val="27"/>
          <w:szCs w:val="27"/>
          <w:color w:val="auto"/>
        </w:rPr>
        <w:t>20</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нед</w:t>
      </w:r>
      <w:r>
        <w:rPr>
          <w:rFonts w:ascii="Arial" w:cs="Arial" w:eastAsia="Arial" w:hAnsi="Arial"/>
          <w:sz w:val="27"/>
          <w:szCs w:val="27"/>
          <w:color w:val="auto"/>
        </w:rPr>
        <w:t>.</w:t>
      </w:r>
      <w:r>
        <w:rPr>
          <w:rFonts w:ascii="Arial" w:cs="Arial" w:eastAsia="Arial" w:hAnsi="Arial"/>
          <w:sz w:val="27"/>
          <w:szCs w:val="27"/>
          <w:color w:val="auto"/>
        </w:rPr>
        <w:t xml:space="preserve"> беременности и персистирующая более </w:t>
      </w:r>
      <w:r>
        <w:rPr>
          <w:rFonts w:ascii="Arial" w:cs="Arial" w:eastAsia="Arial" w:hAnsi="Arial"/>
          <w:sz w:val="27"/>
          <w:szCs w:val="27"/>
          <w:color w:val="auto"/>
        </w:rPr>
        <w:t>6</w:t>
      </w:r>
      <w:r>
        <w:rPr>
          <w:rFonts w:ascii="Arial" w:cs="Arial" w:eastAsia="Arial" w:hAnsi="Arial"/>
          <w:sz w:val="27"/>
          <w:szCs w:val="27"/>
          <w:color w:val="auto"/>
        </w:rPr>
        <w:t xml:space="preserve"> недель после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родов</w:t>
      </w:r>
      <w:r>
        <w:rPr>
          <w:rFonts w:ascii="Arial" w:cs="Arial" w:eastAsia="Arial" w:hAnsi="Arial"/>
          <w:sz w:val="27"/>
          <w:szCs w:val="27"/>
          <w:color w:val="auto"/>
        </w:rPr>
        <w:t>.</w:t>
      </w:r>
      <w:r>
        <w:rPr>
          <w:rFonts w:ascii="Arial" w:cs="Arial" w:eastAsia="Arial" w:hAnsi="Arial"/>
          <w:sz w:val="27"/>
          <w:szCs w:val="27"/>
          <w:color w:val="auto"/>
        </w:rPr>
        <w:t xml:space="preserve"> АГ</w:t>
      </w:r>
      <w:r>
        <w:rPr>
          <w:rFonts w:ascii="Arial" w:cs="Arial" w:eastAsia="Arial" w:hAnsi="Arial"/>
          <w:sz w:val="27"/>
          <w:szCs w:val="27"/>
          <w:color w:val="auto"/>
        </w:rPr>
        <w:t>,</w:t>
      </w:r>
      <w:r>
        <w:rPr>
          <w:rFonts w:ascii="Arial" w:cs="Arial" w:eastAsia="Arial" w:hAnsi="Arial"/>
          <w:sz w:val="27"/>
          <w:szCs w:val="27"/>
          <w:color w:val="auto"/>
        </w:rPr>
        <w:t xml:space="preserve"> диагностированная после </w:t>
      </w:r>
      <w:r>
        <w:rPr>
          <w:rFonts w:ascii="Arial" w:cs="Arial" w:eastAsia="Arial" w:hAnsi="Arial"/>
          <w:sz w:val="27"/>
          <w:szCs w:val="27"/>
          <w:color w:val="auto"/>
        </w:rPr>
        <w:t>20-</w:t>
      </w:r>
      <w:r>
        <w:rPr>
          <w:rFonts w:ascii="Arial" w:cs="Arial" w:eastAsia="Arial" w:hAnsi="Arial"/>
          <w:sz w:val="27"/>
          <w:szCs w:val="27"/>
          <w:color w:val="auto"/>
        </w:rPr>
        <w:t>й недели гестации и не</w:t>
      </w:r>
    </w:p>
    <w:p>
      <w:pPr>
        <w:spacing w:after="0" w:line="80" w:lineRule="exact"/>
        <w:rPr>
          <w:sz w:val="20"/>
          <w:szCs w:val="20"/>
          <w:color w:val="auto"/>
        </w:rPr>
      </w:pPr>
    </w:p>
    <w:p>
      <w:pPr>
        <w:ind w:left="680"/>
        <w:spacing w:after="0"/>
        <w:tabs>
          <w:tab w:leader="none" w:pos="2600" w:val="left"/>
          <w:tab w:leader="none" w:pos="3020" w:val="left"/>
          <w:tab w:leader="none" w:pos="4340" w:val="left"/>
          <w:tab w:leader="none" w:pos="4760" w:val="left"/>
          <w:tab w:leader="none" w:pos="5920" w:val="left"/>
          <w:tab w:leader="none" w:pos="6920" w:val="left"/>
          <w:tab w:leader="none" w:pos="8040" w:val="left"/>
        </w:tabs>
        <w:rPr>
          <w:sz w:val="20"/>
          <w:szCs w:val="20"/>
          <w:color w:val="auto"/>
        </w:rPr>
      </w:pPr>
      <w:r>
        <w:rPr>
          <w:rFonts w:ascii="Arial" w:cs="Arial" w:eastAsia="Arial" w:hAnsi="Arial"/>
          <w:sz w:val="27"/>
          <w:szCs w:val="27"/>
          <w:color w:val="auto"/>
        </w:rPr>
        <w:t>исчезнувшая</w:t>
        <w:tab/>
        <w:t>в</w:t>
        <w:tab/>
        <w:t>течение</w:t>
      </w:r>
      <w:r>
        <w:rPr>
          <w:sz w:val="20"/>
          <w:szCs w:val="20"/>
          <w:color w:val="auto"/>
        </w:rPr>
        <w:tab/>
      </w:r>
      <w:r>
        <w:rPr>
          <w:rFonts w:ascii="Arial" w:cs="Arial" w:eastAsia="Arial" w:hAnsi="Arial"/>
          <w:sz w:val="27"/>
          <w:szCs w:val="27"/>
          <w:color w:val="auto"/>
        </w:rPr>
        <w:t>6</w:t>
      </w:r>
      <w:r>
        <w:rPr>
          <w:sz w:val="20"/>
          <w:szCs w:val="20"/>
          <w:color w:val="auto"/>
        </w:rPr>
        <w:tab/>
      </w:r>
      <w:r>
        <w:rPr>
          <w:rFonts w:ascii="Arial" w:cs="Arial" w:eastAsia="Arial" w:hAnsi="Arial"/>
          <w:sz w:val="27"/>
          <w:szCs w:val="27"/>
          <w:color w:val="auto"/>
        </w:rPr>
        <w:t>недель</w:t>
        <w:tab/>
        <w:t>после</w:t>
        <w:tab/>
        <w:t>родов</w:t>
      </w:r>
      <w:r>
        <w:rPr>
          <w:rFonts w:ascii="Arial" w:cs="Arial" w:eastAsia="Arial" w:hAnsi="Arial"/>
          <w:sz w:val="27"/>
          <w:szCs w:val="27"/>
          <w:color w:val="auto"/>
        </w:rPr>
        <w:t>,</w:t>
      </w:r>
      <w:r>
        <w:rPr>
          <w:rFonts w:ascii="Arial" w:cs="Arial" w:eastAsia="Arial" w:hAnsi="Arial"/>
          <w:sz w:val="27"/>
          <w:szCs w:val="27"/>
          <w:color w:val="auto"/>
        </w:rPr>
        <w:tab/>
        <w:t>также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классифицируется  как  существовавшая  ранее  АГ</w:t>
      </w:r>
      <w:r>
        <w:rPr>
          <w:rFonts w:ascii="Arial" w:cs="Arial" w:eastAsia="Arial" w:hAnsi="Arial"/>
          <w:sz w:val="27"/>
          <w:szCs w:val="27"/>
          <w:color w:val="auto"/>
        </w:rPr>
        <w:t>,</w:t>
      </w:r>
      <w:r>
        <w:rPr>
          <w:rFonts w:ascii="Arial" w:cs="Arial" w:eastAsia="Arial" w:hAnsi="Arial"/>
          <w:sz w:val="27"/>
          <w:szCs w:val="27"/>
          <w:color w:val="auto"/>
        </w:rPr>
        <w:t xml:space="preserve">  но  уже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ретроспективно</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Гестационная артериальная гипертензия </w:t>
      </w:r>
      <w:r>
        <w:rPr>
          <w:rFonts w:ascii="Arial" w:cs="Arial" w:eastAsia="Arial" w:hAnsi="Arial"/>
          <w:sz w:val="27"/>
          <w:szCs w:val="27"/>
          <w:color w:val="auto"/>
        </w:rPr>
        <w:t>(</w:t>
      </w:r>
      <w:r>
        <w:rPr>
          <w:rFonts w:ascii="Arial" w:cs="Arial" w:eastAsia="Arial" w:hAnsi="Arial"/>
          <w:sz w:val="27"/>
          <w:szCs w:val="27"/>
          <w:color w:val="auto"/>
        </w:rPr>
        <w:t>ГАГ</w:t>
      </w:r>
      <w:r>
        <w:rPr>
          <w:rFonts w:ascii="Arial" w:cs="Arial" w:eastAsia="Arial" w:hAnsi="Arial"/>
          <w:sz w:val="27"/>
          <w:szCs w:val="27"/>
          <w:color w:val="auto"/>
        </w:rPr>
        <w:t>) —</w:t>
      </w:r>
      <w:r>
        <w:rPr>
          <w:rFonts w:ascii="Arial" w:cs="Arial" w:eastAsia="Arial" w:hAnsi="Arial"/>
          <w:sz w:val="27"/>
          <w:szCs w:val="27"/>
          <w:color w:val="auto"/>
        </w:rPr>
        <w:t xml:space="preserve"> состояние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9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3400" w:val="left"/>
          <w:tab w:leader="none" w:pos="6000" w:val="left"/>
          <w:tab w:leader="none" w:pos="6760" w:val="left"/>
        </w:tabs>
        <w:rPr>
          <w:sz w:val="20"/>
          <w:szCs w:val="20"/>
          <w:color w:val="auto"/>
        </w:rPr>
      </w:pPr>
      <w:r>
        <w:rPr>
          <w:rFonts w:ascii="Arial" w:cs="Arial" w:eastAsia="Arial" w:hAnsi="Arial"/>
          <w:sz w:val="27"/>
          <w:szCs w:val="27"/>
          <w:color w:val="auto"/>
        </w:rPr>
        <w:t>индуцированное</w:t>
      </w:r>
      <w:r>
        <w:rPr>
          <w:sz w:val="20"/>
          <w:szCs w:val="20"/>
          <w:color w:val="auto"/>
        </w:rPr>
        <w:tab/>
      </w:r>
      <w:r>
        <w:rPr>
          <w:rFonts w:ascii="Arial" w:cs="Arial" w:eastAsia="Arial" w:hAnsi="Arial"/>
          <w:sz w:val="27"/>
          <w:szCs w:val="27"/>
          <w:color w:val="auto"/>
        </w:rPr>
        <w:t>беременностью</w:t>
      </w:r>
      <w:r>
        <w:rPr>
          <w:sz w:val="20"/>
          <w:szCs w:val="20"/>
          <w:color w:val="auto"/>
        </w:rPr>
        <w:tab/>
      </w:r>
      <w:r>
        <w:rPr>
          <w:rFonts w:ascii="Arial" w:cs="Arial" w:eastAsia="Arial" w:hAnsi="Arial"/>
          <w:sz w:val="27"/>
          <w:szCs w:val="27"/>
          <w:color w:val="auto"/>
        </w:rPr>
        <w:t>и</w:t>
      </w:r>
      <w:r>
        <w:rPr>
          <w:sz w:val="20"/>
          <w:szCs w:val="20"/>
          <w:color w:val="auto"/>
        </w:rPr>
        <w:tab/>
      </w:r>
      <w:r>
        <w:rPr>
          <w:rFonts w:ascii="Arial" w:cs="Arial" w:eastAsia="Arial" w:hAnsi="Arial"/>
          <w:sz w:val="26"/>
          <w:szCs w:val="26"/>
          <w:color w:val="auto"/>
        </w:rPr>
        <w:t>проявляющееся</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повышением 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впервые после </w:t>
      </w:r>
      <w:r>
        <w:rPr>
          <w:rFonts w:ascii="Arial" w:cs="Arial" w:eastAsia="Arial" w:hAnsi="Arial"/>
          <w:sz w:val="27"/>
          <w:szCs w:val="27"/>
          <w:color w:val="auto"/>
        </w:rPr>
        <w:t>20</w:t>
      </w:r>
      <w:r>
        <w:rPr>
          <w:rFonts w:ascii="Arial" w:cs="Arial" w:eastAsia="Arial" w:hAnsi="Arial"/>
          <w:sz w:val="27"/>
          <w:szCs w:val="27"/>
          <w:color w:val="auto"/>
        </w:rPr>
        <w:t xml:space="preserve"> нед</w:t>
      </w:r>
      <w:r>
        <w:rPr>
          <w:rFonts w:ascii="Arial" w:cs="Arial" w:eastAsia="Arial" w:hAnsi="Arial"/>
          <w:sz w:val="27"/>
          <w:szCs w:val="27"/>
          <w:color w:val="auto"/>
        </w:rPr>
        <w:t>.,</w:t>
      </w:r>
      <w:r>
        <w:rPr>
          <w:rFonts w:ascii="Arial" w:cs="Arial" w:eastAsia="Arial" w:hAnsi="Arial"/>
          <w:sz w:val="27"/>
          <w:szCs w:val="27"/>
          <w:color w:val="auto"/>
        </w:rPr>
        <w:t xml:space="preserve"> со</w:t>
      </w:r>
    </w:p>
    <w:p>
      <w:pPr>
        <w:spacing w:after="0" w:line="79"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спонтанной нормализацией АД в течение </w:t>
      </w:r>
      <w:r>
        <w:rPr>
          <w:rFonts w:ascii="Arial" w:cs="Arial" w:eastAsia="Arial" w:hAnsi="Arial"/>
          <w:sz w:val="27"/>
          <w:szCs w:val="27"/>
          <w:color w:val="auto"/>
        </w:rPr>
        <w:t>6</w:t>
      </w:r>
      <w:r>
        <w:rPr>
          <w:rFonts w:ascii="Arial" w:cs="Arial" w:eastAsia="Arial" w:hAnsi="Arial"/>
          <w:sz w:val="27"/>
          <w:szCs w:val="27"/>
          <w:color w:val="auto"/>
        </w:rPr>
        <w:t xml:space="preserve"> нед</w:t>
      </w:r>
      <w:r>
        <w:rPr>
          <w:rFonts w:ascii="Arial" w:cs="Arial" w:eastAsia="Arial" w:hAnsi="Arial"/>
          <w:sz w:val="27"/>
          <w:szCs w:val="27"/>
          <w:color w:val="auto"/>
        </w:rPr>
        <w:t>.</w:t>
      </w:r>
      <w:r>
        <w:rPr>
          <w:rFonts w:ascii="Arial" w:cs="Arial" w:eastAsia="Arial" w:hAnsi="Arial"/>
          <w:sz w:val="27"/>
          <w:szCs w:val="27"/>
          <w:color w:val="auto"/>
        </w:rPr>
        <w:t xml:space="preserve"> после родов</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АД</w:t>
      </w:r>
      <w:r>
        <w:rPr>
          <w:rFonts w:ascii="Arial" w:cs="Arial" w:eastAsia="Arial" w:hAnsi="Arial"/>
          <w:sz w:val="27"/>
          <w:szCs w:val="27"/>
          <w:color w:val="auto"/>
        </w:rPr>
        <w:t>;</w:t>
      </w:r>
    </w:p>
    <w:p>
      <w:pPr>
        <w:spacing w:after="0" w:line="8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Преэклампсия </w:t>
      </w:r>
      <w:r>
        <w:rPr>
          <w:rFonts w:ascii="Arial" w:cs="Arial" w:eastAsia="Arial" w:hAnsi="Arial"/>
          <w:sz w:val="27"/>
          <w:szCs w:val="27"/>
          <w:color w:val="auto"/>
        </w:rPr>
        <w:t>(</w:t>
      </w:r>
      <w:r>
        <w:rPr>
          <w:rFonts w:ascii="Arial" w:cs="Arial" w:eastAsia="Arial" w:hAnsi="Arial"/>
          <w:sz w:val="27"/>
          <w:szCs w:val="27"/>
          <w:color w:val="auto"/>
        </w:rPr>
        <w:t>ПЭ</w:t>
      </w:r>
      <w:r>
        <w:rPr>
          <w:rFonts w:ascii="Arial" w:cs="Arial" w:eastAsia="Arial" w:hAnsi="Arial"/>
          <w:sz w:val="27"/>
          <w:szCs w:val="27"/>
          <w:color w:val="auto"/>
        </w:rPr>
        <w:t>) —</w:t>
      </w:r>
      <w:r>
        <w:rPr>
          <w:rFonts w:ascii="Arial" w:cs="Arial" w:eastAsia="Arial" w:hAnsi="Arial"/>
          <w:sz w:val="27"/>
          <w:szCs w:val="27"/>
          <w:color w:val="auto"/>
        </w:rPr>
        <w:t xml:space="preserve"> гестационная АГ с протеинурией </w:t>
      </w:r>
      <w:r>
        <w:rPr>
          <w:rFonts w:ascii="Arial" w:cs="Arial" w:eastAsia="Arial" w:hAnsi="Arial"/>
          <w:sz w:val="27"/>
          <w:szCs w:val="27"/>
          <w:color w:val="auto"/>
        </w:rPr>
        <w:t>&gt;300</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сут или альбумин</w:t>
      </w:r>
      <w:r>
        <w:rPr>
          <w:rFonts w:ascii="Arial" w:cs="Arial" w:eastAsia="Arial" w:hAnsi="Arial"/>
          <w:sz w:val="27"/>
          <w:szCs w:val="27"/>
          <w:color w:val="auto"/>
        </w:rPr>
        <w:t>/</w:t>
      </w:r>
      <w:r>
        <w:rPr>
          <w:rFonts w:ascii="Arial" w:cs="Arial" w:eastAsia="Arial" w:hAnsi="Arial"/>
          <w:sz w:val="27"/>
          <w:szCs w:val="27"/>
          <w:color w:val="auto"/>
        </w:rPr>
        <w:t xml:space="preserve">креатинин в разовой порции мочи </w:t>
      </w:r>
      <w:r>
        <w:rPr>
          <w:rFonts w:ascii="Arial" w:cs="Arial" w:eastAsia="Arial" w:hAnsi="Arial"/>
          <w:sz w:val="27"/>
          <w:szCs w:val="27"/>
          <w:color w:val="auto"/>
        </w:rPr>
        <w:t>&gt;30</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 в ряде случаев с проявлениями полиорганной недостаточности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9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rPr>
          <w:sz w:val="20"/>
          <w:szCs w:val="20"/>
          <w:color w:val="auto"/>
        </w:rPr>
      </w:pPr>
      <w:r>
        <w:rPr>
          <w:rFonts w:ascii="Arial" w:cs="Arial" w:eastAsia="Arial" w:hAnsi="Arial"/>
          <w:sz w:val="27"/>
          <w:szCs w:val="27"/>
          <w:color w:val="auto"/>
        </w:rPr>
        <w:t>ХАГ</w:t>
      </w:r>
      <w:r>
        <w:rPr>
          <w:rFonts w:ascii="Arial" w:cs="Arial" w:eastAsia="Arial" w:hAnsi="Arial"/>
          <w:sz w:val="27"/>
          <w:szCs w:val="27"/>
          <w:color w:val="auto"/>
        </w:rPr>
        <w:t>,</w:t>
      </w:r>
      <w:r>
        <w:rPr>
          <w:rFonts w:ascii="Arial" w:cs="Arial" w:eastAsia="Arial" w:hAnsi="Arial"/>
          <w:sz w:val="27"/>
          <w:szCs w:val="27"/>
          <w:color w:val="auto"/>
        </w:rPr>
        <w:t xml:space="preserve"> осложненная преэклампсией</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9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Беременным женщинам</w:t>
      </w:r>
      <w:r>
        <w:rPr>
          <w:rFonts w:ascii="Arial" w:cs="Arial" w:eastAsia="Arial" w:hAnsi="Arial"/>
          <w:sz w:val="27"/>
          <w:szCs w:val="27"/>
          <w:color w:val="auto"/>
        </w:rPr>
        <w:t>,</w:t>
      </w:r>
      <w:r>
        <w:rPr>
          <w:rFonts w:ascii="Arial" w:cs="Arial" w:eastAsia="Arial" w:hAnsi="Arial"/>
          <w:sz w:val="27"/>
          <w:szCs w:val="27"/>
          <w:color w:val="auto"/>
        </w:rPr>
        <w:t xml:space="preserve"> имеющим ФР</w:t>
      </w:r>
      <w:r>
        <w:rPr>
          <w:rFonts w:ascii="Arial" w:cs="Arial" w:eastAsia="Arial" w:hAnsi="Arial"/>
          <w:sz w:val="27"/>
          <w:szCs w:val="27"/>
          <w:color w:val="auto"/>
        </w:rPr>
        <w:t>,</w:t>
      </w:r>
      <w:r>
        <w:rPr>
          <w:rFonts w:ascii="Arial" w:cs="Arial" w:eastAsia="Arial" w:hAnsi="Arial"/>
          <w:sz w:val="27"/>
          <w:szCs w:val="27"/>
          <w:color w:val="auto"/>
        </w:rPr>
        <w:t xml:space="preserve"> ПОМ</w:t>
      </w:r>
      <w:r>
        <w:rPr>
          <w:rFonts w:ascii="Arial" w:cs="Arial" w:eastAsia="Arial" w:hAnsi="Arial"/>
          <w:sz w:val="27"/>
          <w:szCs w:val="27"/>
          <w:color w:val="auto"/>
        </w:rPr>
        <w:t>,</w:t>
      </w:r>
      <w:r>
        <w:rPr>
          <w:rFonts w:ascii="Arial" w:cs="Arial" w:eastAsia="Arial" w:hAnsi="Arial"/>
          <w:sz w:val="27"/>
          <w:szCs w:val="27"/>
          <w:color w:val="auto"/>
        </w:rPr>
        <w:t xml:space="preserve"> СД или поражение почек</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проведение СМАД для подтверждения АГ </w:t>
      </w:r>
      <w:r>
        <w:rPr>
          <w:rFonts w:ascii="Arial" w:cs="Arial" w:eastAsia="Arial" w:hAnsi="Arial"/>
          <w:sz w:val="27"/>
          <w:szCs w:val="27"/>
          <w:color w:val="auto"/>
        </w:rPr>
        <w:t>[43, 228].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0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70" w:name="page71"/>
    <w:bookmarkEnd w:id="70"/>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Женщинам с гестационной АГ</w:t>
      </w:r>
      <w:r>
        <w:rPr>
          <w:rFonts w:ascii="Arial" w:cs="Arial" w:eastAsia="Arial" w:hAnsi="Arial"/>
          <w:sz w:val="27"/>
          <w:szCs w:val="27"/>
          <w:color w:val="auto"/>
        </w:rPr>
        <w:t>,</w:t>
      </w:r>
      <w:r>
        <w:rPr>
          <w:rFonts w:ascii="Arial" w:cs="Arial" w:eastAsia="Arial" w:hAnsi="Arial"/>
          <w:sz w:val="27"/>
          <w:szCs w:val="27"/>
          <w:color w:val="auto"/>
        </w:rPr>
        <w:t xml:space="preserve"> преэклампсией или хронической АГ</w:t>
      </w:r>
      <w:r>
        <w:rPr>
          <w:rFonts w:ascii="Arial" w:cs="Arial" w:eastAsia="Arial" w:hAnsi="Arial"/>
          <w:sz w:val="27"/>
          <w:szCs w:val="27"/>
          <w:color w:val="auto"/>
        </w:rPr>
        <w:t>,</w:t>
      </w:r>
      <w:r>
        <w:rPr>
          <w:rFonts w:ascii="Arial" w:cs="Arial" w:eastAsia="Arial" w:hAnsi="Arial"/>
          <w:sz w:val="27"/>
          <w:szCs w:val="27"/>
          <w:color w:val="auto"/>
        </w:rPr>
        <w:t xml:space="preserve"> сопровождающейся субклиническим ПОМ</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начинать лекарственную терапию при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140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-662305</wp:posOffset>
            </wp:positionV>
            <wp:extent cx="82550" cy="82550"/>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0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1160" w:hanging="484"/>
        <w:spacing w:after="0"/>
        <w:tabs>
          <w:tab w:leader="none" w:pos="1160" w:val="left"/>
        </w:tabs>
        <w:numPr>
          <w:ilvl w:val="0"/>
          <w:numId w:val="51"/>
        </w:numPr>
        <w:rPr>
          <w:rFonts w:ascii="Arial" w:cs="Arial" w:eastAsia="Arial" w:hAnsi="Arial"/>
          <w:sz w:val="27"/>
          <w:szCs w:val="27"/>
          <w:color w:val="auto"/>
        </w:rPr>
      </w:pPr>
      <w:r>
        <w:rPr>
          <w:rFonts w:ascii="Arial" w:cs="Arial" w:eastAsia="Arial" w:hAnsi="Arial"/>
          <w:sz w:val="27"/>
          <w:szCs w:val="27"/>
          <w:color w:val="auto"/>
        </w:rPr>
        <w:t>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или ДАД </w:t>
      </w:r>
      <w:r>
        <w:rPr>
          <w:rFonts w:ascii="Times New Roman" w:cs="Times New Roman" w:eastAsia="Times New Roman" w:hAnsi="Times New Roman"/>
          <w:sz w:val="27"/>
          <w:szCs w:val="27"/>
          <w:color w:val="auto"/>
        </w:rPr>
        <w:t>≥</w:t>
      </w:r>
      <w:r>
        <w:rPr>
          <w:rFonts w:ascii="Arial" w:cs="Arial" w:eastAsia="Arial" w:hAnsi="Arial"/>
          <w:sz w:val="27"/>
          <w:szCs w:val="27"/>
          <w:color w:val="auto"/>
        </w:rPr>
        <w:t>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с целью снижения СС риска</w:t>
      </w:r>
    </w:p>
    <w:p>
      <w:pPr>
        <w:spacing w:after="0" w:line="78" w:lineRule="exact"/>
        <w:rPr>
          <w:rFonts w:ascii="Arial" w:cs="Arial" w:eastAsia="Arial" w:hAnsi="Arial"/>
          <w:sz w:val="27"/>
          <w:szCs w:val="27"/>
          <w:color w:val="auto"/>
        </w:rPr>
      </w:pPr>
    </w:p>
    <w:p>
      <w:pPr>
        <w:ind w:left="680"/>
        <w:spacing w:after="0"/>
        <w:rPr>
          <w:rFonts w:ascii="Arial" w:cs="Arial" w:eastAsia="Arial" w:hAnsi="Arial"/>
          <w:sz w:val="27"/>
          <w:szCs w:val="27"/>
          <w:color w:val="auto"/>
        </w:rPr>
      </w:pPr>
      <w:r>
        <w:rPr>
          <w:rFonts w:ascii="Arial" w:cs="Arial" w:eastAsia="Arial" w:hAnsi="Arial"/>
          <w:sz w:val="27"/>
          <w:szCs w:val="27"/>
          <w:color w:val="auto"/>
        </w:rPr>
        <w:t>[21, 22].</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4" w:lineRule="auto"/>
        <w:rPr>
          <w:sz w:val="20"/>
          <w:szCs w:val="20"/>
          <w:color w:val="auto"/>
        </w:rPr>
      </w:pPr>
      <w:r>
        <w:rPr>
          <w:rFonts w:ascii="Arial" w:cs="Arial" w:eastAsia="Arial" w:hAnsi="Arial"/>
          <w:sz w:val="27"/>
          <w:szCs w:val="27"/>
          <w:color w:val="auto"/>
        </w:rPr>
        <w:t>Беременным женщинам с повышением АД без наличия признаков ПОМ</w:t>
      </w:r>
      <w:r>
        <w:rPr>
          <w:rFonts w:ascii="Arial" w:cs="Arial" w:eastAsia="Arial" w:hAnsi="Arial"/>
          <w:sz w:val="27"/>
          <w:szCs w:val="27"/>
          <w:color w:val="auto"/>
        </w:rPr>
        <w:t>,</w:t>
      </w:r>
      <w:r>
        <w:rPr>
          <w:rFonts w:ascii="Arial" w:cs="Arial" w:eastAsia="Arial" w:hAnsi="Arial"/>
          <w:sz w:val="27"/>
          <w:szCs w:val="27"/>
          <w:color w:val="auto"/>
        </w:rPr>
        <w:t xml:space="preserve"> преэклампсии и АКС с целью снижения СС риска начало лекарственной терапии рекомендуется при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150</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или ДАД</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95</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мм рт</w:t>
      </w:r>
      <w:r>
        <w:rPr>
          <w:rFonts w:ascii="Arial" w:cs="Arial" w:eastAsia="Arial" w:hAnsi="Arial"/>
          <w:sz w:val="27"/>
          <w:szCs w:val="27"/>
          <w:color w:val="auto"/>
        </w:rPr>
        <w:t>.</w:t>
      </w:r>
      <w:r>
        <w:rPr>
          <w:rFonts w:ascii="Times New Roman" w:cs="Times New Roman" w:eastAsia="Times New Roman" w:hAnsi="Times New Roman"/>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-952500</wp:posOffset>
            </wp:positionV>
            <wp:extent cx="82550" cy="8255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0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84"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6"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Цель лечения беременных с АГ</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предупредить</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развитие осложнений</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обусловленных высоким уровнем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обеспечить сохранение беременности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нормальное развитие плода и успешные роды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Целевой уровень АД для беременных </w:t>
      </w:r>
      <w:r>
        <w:rPr>
          <w:rFonts w:ascii="Arial" w:cs="Arial" w:eastAsia="Arial" w:hAnsi="Arial"/>
          <w:sz w:val="25"/>
          <w:szCs w:val="25"/>
          <w:b w:val="1"/>
          <w:bCs w:val="1"/>
          <w:i w:val="1"/>
          <w:iCs w:val="1"/>
          <w:color w:val="auto"/>
        </w:rPr>
        <w:t xml:space="preserve">&lt;140/90 </w:t>
      </w:r>
      <w:r>
        <w:rPr>
          <w:rFonts w:ascii="Arial" w:cs="Arial" w:eastAsia="Arial" w:hAnsi="Arial"/>
          <w:sz w:val="25"/>
          <w:szCs w:val="25"/>
          <w:b w:val="1"/>
          <w:bCs w:val="1"/>
          <w:i w:val="1"/>
          <w:iCs w:val="1"/>
          <w:color w:val="auto"/>
        </w:rPr>
        <w:t>мм рт</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ст</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Следует не допускать развития эпизодов</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гипотонии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чтобы не ухудшить плацентарный кровоток</w:t>
      </w:r>
      <w:r>
        <w:rPr>
          <w:rFonts w:ascii="Arial" w:cs="Arial" w:eastAsia="Arial" w:hAnsi="Arial"/>
          <w:sz w:val="25"/>
          <w:szCs w:val="25"/>
          <w:b w:val="1"/>
          <w:bCs w:val="1"/>
          <w:i w:val="1"/>
          <w:iCs w:val="1"/>
          <w:color w:val="auto"/>
        </w:rPr>
        <w:t>.</w:t>
      </w:r>
    </w:p>
    <w:p>
      <w:pPr>
        <w:spacing w:after="0" w:line="19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Беременных женщин с САД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170</w:t>
      </w:r>
      <w:r>
        <w:rPr>
          <w:rFonts w:ascii="Arial" w:cs="Arial" w:eastAsia="Arial" w:hAnsi="Arial"/>
          <w:sz w:val="27"/>
          <w:szCs w:val="27"/>
          <w:color w:val="auto"/>
        </w:rPr>
        <w:t xml:space="preserve"> и ДАД </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 </w:t>
      </w:r>
      <w:r>
        <w:rPr>
          <w:rFonts w:ascii="Arial" w:cs="Arial" w:eastAsia="Arial" w:hAnsi="Arial"/>
          <w:sz w:val="27"/>
          <w:szCs w:val="27"/>
          <w:color w:val="auto"/>
        </w:rPr>
        <w:t>110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рекомендуется срочно госпитализировать и расценивать данное состояние как гипертонический криз </w:t>
      </w:r>
      <w:r>
        <w:rPr>
          <w:rFonts w:ascii="Arial" w:cs="Arial" w:eastAsia="Arial" w:hAnsi="Arial"/>
          <w:sz w:val="27"/>
          <w:szCs w:val="27"/>
          <w:color w:val="auto"/>
        </w:rPr>
        <w:t>[21, 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-701675</wp:posOffset>
            </wp:positionV>
            <wp:extent cx="82550" cy="82550"/>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0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89"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С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Главное правило при лечении гипертонического</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 xml:space="preserve">криза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ГК</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у беременных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контролируемое снижение САД до </w:t>
      </w:r>
      <w:r>
        <w:rPr>
          <w:rFonts w:ascii="Arial" w:cs="Arial" w:eastAsia="Arial" w:hAnsi="Arial"/>
          <w:sz w:val="23"/>
          <w:szCs w:val="23"/>
          <w:b w:val="1"/>
          <w:bCs w:val="1"/>
          <w:i w:val="1"/>
          <w:iCs w:val="1"/>
          <w:color w:val="auto"/>
        </w:rPr>
        <w:t>&lt;160</w:t>
      </w:r>
    </w:p>
    <w:p>
      <w:pPr>
        <w:jc w:val="both"/>
        <w:ind w:left="680" w:right="220" w:hanging="4"/>
        <w:spacing w:after="0" w:line="346" w:lineRule="auto"/>
        <w:tabs>
          <w:tab w:leader="none" w:pos="1006" w:val="left"/>
        </w:tabs>
        <w:numPr>
          <w:ilvl w:val="0"/>
          <w:numId w:val="52"/>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 xml:space="preserve">ДАД до </w:t>
      </w:r>
      <w:r>
        <w:rPr>
          <w:rFonts w:ascii="Arial" w:cs="Arial" w:eastAsia="Arial" w:hAnsi="Arial"/>
          <w:sz w:val="24"/>
          <w:szCs w:val="24"/>
          <w:b w:val="1"/>
          <w:bCs w:val="1"/>
          <w:i w:val="1"/>
          <w:iCs w:val="1"/>
          <w:color w:val="auto"/>
        </w:rPr>
        <w:t>&lt;105</w:t>
      </w:r>
      <w:r>
        <w:rPr>
          <w:rFonts w:ascii="Arial" w:cs="Arial" w:eastAsia="Arial" w:hAnsi="Arial"/>
          <w:sz w:val="24"/>
          <w:szCs w:val="24"/>
          <w:b w:val="1"/>
          <w:bCs w:val="1"/>
          <w:i w:val="1"/>
          <w:iCs w:val="1"/>
          <w:color w:val="auto"/>
        </w:rPr>
        <w:t xml:space="preserve"> мм рт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Для пероральной терапии следует использовать метилдопу или нифедипин замедленного высвобождения</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Для лечения преэклампсии с отеком легких препаратом выбора является нитроглицерин</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длительность его применения не должна составлять более </w:t>
      </w:r>
      <w:r>
        <w:rPr>
          <w:rFonts w:ascii="Arial" w:cs="Arial" w:eastAsia="Arial" w:hAnsi="Arial"/>
          <w:sz w:val="24"/>
          <w:szCs w:val="24"/>
          <w:b w:val="1"/>
          <w:bCs w:val="1"/>
          <w:i w:val="1"/>
          <w:iCs w:val="1"/>
          <w:color w:val="auto"/>
        </w:rPr>
        <w:t>4</w:t>
      </w:r>
      <w:r>
        <w:rPr>
          <w:rFonts w:ascii="Arial" w:cs="Arial" w:eastAsia="Arial" w:hAnsi="Arial"/>
          <w:sz w:val="24"/>
          <w:szCs w:val="24"/>
          <w:b w:val="1"/>
          <w:bCs w:val="1"/>
          <w:i w:val="1"/>
          <w:iCs w:val="1"/>
          <w:color w:val="auto"/>
        </w:rPr>
        <w:t xml:space="preserve"> часов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из</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за отрицательного воздействия на плод и риска развития отека мозга у матери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Применение диуретиков не показано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к</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преэклампсии уменьшается объем циркулирующей крови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Для предотвращения эклампсии и лечения судорог рекомендовано 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в введение сульфата магния</w:t>
      </w:r>
      <w:r>
        <w:rPr>
          <w:rFonts w:ascii="Arial" w:cs="Arial" w:eastAsia="Arial" w:hAnsi="Arial"/>
          <w:sz w:val="24"/>
          <w:szCs w:val="24"/>
          <w:b w:val="1"/>
          <w:bCs w:val="1"/>
          <w:i w:val="1"/>
          <w:iCs w:val="1"/>
          <w:color w:val="auto"/>
        </w:rPr>
        <w:t>.</w:t>
      </w:r>
    </w:p>
    <w:p>
      <w:pPr>
        <w:spacing w:after="0" w:line="193"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Женщинам с высоким риском преэклампсии с целью ее профилактики рекомендуется назначать малые дозы </w:t>
      </w:r>
      <w:r>
        <w:rPr>
          <w:rFonts w:ascii="Arial" w:cs="Arial" w:eastAsia="Arial" w:hAnsi="Arial"/>
          <w:sz w:val="27"/>
          <w:szCs w:val="27"/>
          <w:color w:val="auto"/>
        </w:rPr>
        <w:t>(150</w:t>
      </w:r>
      <w:r>
        <w:rPr>
          <w:rFonts w:ascii="Arial" w:cs="Arial" w:eastAsia="Arial" w:hAnsi="Arial"/>
          <w:sz w:val="27"/>
          <w:szCs w:val="27"/>
          <w:color w:val="auto"/>
        </w:rPr>
        <w:t xml:space="preserve"> мг</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0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71" w:name="page72"/>
    <w:bookmarkEnd w:id="71"/>
    <w:p>
      <w:pPr>
        <w:spacing w:after="0" w:line="47"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аспирина с </w:t>
      </w:r>
      <w:r>
        <w:rPr>
          <w:rFonts w:ascii="Arial" w:cs="Arial" w:eastAsia="Arial" w:hAnsi="Arial"/>
          <w:sz w:val="27"/>
          <w:szCs w:val="27"/>
          <w:color w:val="auto"/>
        </w:rPr>
        <w:t>12-</w:t>
      </w:r>
      <w:r>
        <w:rPr>
          <w:rFonts w:ascii="Arial" w:cs="Arial" w:eastAsia="Arial" w:hAnsi="Arial"/>
          <w:sz w:val="27"/>
          <w:szCs w:val="27"/>
          <w:color w:val="auto"/>
        </w:rPr>
        <w:t xml:space="preserve">й недели беременности и до </w:t>
      </w:r>
      <w:r>
        <w:rPr>
          <w:rFonts w:ascii="Arial" w:cs="Arial" w:eastAsia="Arial" w:hAnsi="Arial"/>
          <w:sz w:val="27"/>
          <w:szCs w:val="27"/>
          <w:color w:val="auto"/>
        </w:rPr>
        <w:t>36-</w:t>
      </w:r>
      <w:r>
        <w:rPr>
          <w:rFonts w:ascii="Arial" w:cs="Arial" w:eastAsia="Arial" w:hAnsi="Arial"/>
          <w:sz w:val="27"/>
          <w:szCs w:val="27"/>
          <w:color w:val="auto"/>
        </w:rPr>
        <w:t>й недели</w:t>
      </w:r>
      <w:r>
        <w:rPr>
          <w:rFonts w:ascii="Arial" w:cs="Arial" w:eastAsia="Arial" w:hAnsi="Arial"/>
          <w:sz w:val="27"/>
          <w:szCs w:val="27"/>
          <w:color w:val="auto"/>
        </w:rPr>
        <w:t>,</w:t>
      </w:r>
      <w:r>
        <w:rPr>
          <w:rFonts w:ascii="Arial" w:cs="Arial" w:eastAsia="Arial" w:hAnsi="Arial"/>
          <w:sz w:val="27"/>
          <w:szCs w:val="27"/>
          <w:color w:val="auto"/>
        </w:rPr>
        <w:t xml:space="preserve"> при условии низкого риска желудочно</w:t>
      </w:r>
      <w:r>
        <w:rPr>
          <w:rFonts w:ascii="Arial" w:cs="Arial" w:eastAsia="Arial" w:hAnsi="Arial"/>
          <w:sz w:val="27"/>
          <w:szCs w:val="27"/>
          <w:color w:val="auto"/>
        </w:rPr>
        <w:t>-</w:t>
      </w:r>
      <w:r>
        <w:rPr>
          <w:rFonts w:ascii="Arial" w:cs="Arial" w:eastAsia="Arial" w:hAnsi="Arial"/>
          <w:sz w:val="27"/>
          <w:szCs w:val="27"/>
          <w:color w:val="auto"/>
        </w:rPr>
        <w:t xml:space="preserve">кишечных кровотечений </w:t>
      </w:r>
      <w:r>
        <w:rPr>
          <w:rFonts w:ascii="Arial" w:cs="Arial" w:eastAsia="Arial" w:hAnsi="Arial"/>
          <w:sz w:val="27"/>
          <w:szCs w:val="27"/>
          <w:color w:val="auto"/>
        </w:rPr>
        <w:t>[236].</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 xml:space="preserve">ЕОК </w:t>
      </w:r>
      <w:r>
        <w:rPr>
          <w:rFonts w:ascii="Arial" w:cs="Arial" w:eastAsia="Arial" w:hAnsi="Arial"/>
          <w:sz w:val="27"/>
          <w:szCs w:val="27"/>
          <w:b w:val="1"/>
          <w:bCs w:val="1"/>
          <w:color w:val="auto"/>
        </w:rPr>
        <w:t>IA (</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6"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Высокий риск преэклампсии отмечается у</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женщин с АГ во время предыдущей беременности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ХБП</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аутоиммунными заболеваниями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системной красной волчанкой или антифосфолипидным синдромом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СД </w:t>
      </w:r>
      <w:r>
        <w:rPr>
          <w:rFonts w:ascii="Arial" w:cs="Arial" w:eastAsia="Arial" w:hAnsi="Arial"/>
          <w:sz w:val="24"/>
          <w:szCs w:val="24"/>
          <w:b w:val="1"/>
          <w:bCs w:val="1"/>
          <w:i w:val="1"/>
          <w:iCs w:val="1"/>
          <w:color w:val="auto"/>
        </w:rPr>
        <w:t>1-</w:t>
      </w:r>
      <w:r>
        <w:rPr>
          <w:rFonts w:ascii="Arial" w:cs="Arial" w:eastAsia="Arial" w:hAnsi="Arial"/>
          <w:sz w:val="24"/>
          <w:szCs w:val="24"/>
          <w:b w:val="1"/>
          <w:bCs w:val="1"/>
          <w:i w:val="1"/>
          <w:iCs w:val="1"/>
          <w:color w:val="auto"/>
        </w:rPr>
        <w:t xml:space="preserve">го или </w:t>
      </w:r>
      <w:r>
        <w:rPr>
          <w:rFonts w:ascii="Arial" w:cs="Arial" w:eastAsia="Arial" w:hAnsi="Arial"/>
          <w:sz w:val="24"/>
          <w:szCs w:val="24"/>
          <w:b w:val="1"/>
          <w:bCs w:val="1"/>
          <w:i w:val="1"/>
          <w:iCs w:val="1"/>
          <w:color w:val="auto"/>
        </w:rPr>
        <w:t>2-</w:t>
      </w:r>
      <w:r>
        <w:rPr>
          <w:rFonts w:ascii="Arial" w:cs="Arial" w:eastAsia="Arial" w:hAnsi="Arial"/>
          <w:sz w:val="24"/>
          <w:szCs w:val="24"/>
          <w:b w:val="1"/>
          <w:bCs w:val="1"/>
          <w:i w:val="1"/>
          <w:iCs w:val="1"/>
          <w:color w:val="auto"/>
        </w:rPr>
        <w:t>го типа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хронической АГ</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к умеренному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первая беременность</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возраст </w:t>
      </w:r>
      <w:r>
        <w:rPr>
          <w:rFonts w:ascii="Times New Roman" w:cs="Times New Roman" w:eastAsia="Times New Roman" w:hAnsi="Times New Roman"/>
          <w:sz w:val="24"/>
          <w:szCs w:val="24"/>
          <w:i w:val="1"/>
          <w:iCs w:val="1"/>
          <w:color w:val="auto"/>
        </w:rPr>
        <w:t>≥</w:t>
      </w:r>
      <w:r>
        <w:rPr>
          <w:rFonts w:ascii="Arial" w:cs="Arial" w:eastAsia="Arial" w:hAnsi="Arial"/>
          <w:sz w:val="24"/>
          <w:szCs w:val="24"/>
          <w:b w:val="1"/>
          <w:bCs w:val="1"/>
          <w:i w:val="1"/>
          <w:iCs w:val="1"/>
          <w:color w:val="auto"/>
        </w:rPr>
        <w:t>40</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лет</w:t>
      </w:r>
      <w:r>
        <w:rPr>
          <w:rFonts w:ascii="Arial" w:cs="Arial" w:eastAsia="Arial" w:hAnsi="Arial"/>
          <w:sz w:val="24"/>
          <w:szCs w:val="24"/>
          <w:b w:val="1"/>
          <w:bCs w:val="1"/>
          <w:i w:val="1"/>
          <w:iCs w:val="1"/>
          <w:color w:val="auto"/>
        </w:rPr>
        <w:t>,</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интервал между беременностями более</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10</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лет</w:t>
      </w:r>
      <w:r>
        <w:rPr>
          <w:rFonts w:ascii="Arial" w:cs="Arial" w:eastAsia="Arial" w:hAnsi="Arial"/>
          <w:sz w:val="24"/>
          <w:szCs w:val="24"/>
          <w:b w:val="1"/>
          <w:bCs w:val="1"/>
          <w:i w:val="1"/>
          <w:iCs w:val="1"/>
          <w:color w:val="auto"/>
        </w:rPr>
        <w:t>,</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ИМТ</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35</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кг</w:t>
      </w:r>
      <w:r>
        <w:rPr>
          <w:rFonts w:ascii="Arial" w:cs="Arial" w:eastAsia="Arial" w:hAnsi="Arial"/>
          <w:sz w:val="24"/>
          <w:szCs w:val="24"/>
          <w:b w:val="1"/>
          <w:bCs w:val="1"/>
          <w:i w:val="1"/>
          <w:iCs w:val="1"/>
          <w:color w:val="auto"/>
        </w:rPr>
        <w:t>/</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м</w:t>
      </w:r>
      <w:r>
        <w:rPr>
          <w:rFonts w:ascii="Arial" w:cs="Arial" w:eastAsia="Arial" w:hAnsi="Arial"/>
          <w:sz w:val="46"/>
          <w:szCs w:val="46"/>
          <w:b w:val="1"/>
          <w:bCs w:val="1"/>
          <w:i w:val="1"/>
          <w:iCs w:val="1"/>
          <w:color w:val="auto"/>
          <w:vertAlign w:val="superscript"/>
        </w:rPr>
        <w:t>2</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на первом визите</w:t>
      </w:r>
      <w:r>
        <w:rPr>
          <w:rFonts w:ascii="Arial" w:cs="Arial" w:eastAsia="Arial" w:hAnsi="Arial"/>
          <w:sz w:val="24"/>
          <w:szCs w:val="24"/>
          <w:b w:val="1"/>
          <w:bCs w:val="1"/>
          <w:i w:val="1"/>
          <w:iCs w:val="1"/>
          <w:color w:val="auto"/>
        </w:rPr>
        <w:t>,</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семейный анамнез преэклампсии и</w:t>
      </w:r>
      <w:r>
        <w:rPr>
          <w:rFonts w:ascii="Times New Roman" w:cs="Times New Roman" w:eastAsia="Times New Roman" w:hAnsi="Times New Roman"/>
          <w:sz w:val="24"/>
          <w:szCs w:val="24"/>
          <w:i w:val="1"/>
          <w:iCs w:val="1"/>
          <w:color w:val="auto"/>
        </w:rPr>
        <w:t xml:space="preserve"> </w:t>
      </w:r>
      <w:r>
        <w:rPr>
          <w:rFonts w:ascii="Arial" w:cs="Arial" w:eastAsia="Arial" w:hAnsi="Arial"/>
          <w:sz w:val="24"/>
          <w:szCs w:val="24"/>
          <w:b w:val="1"/>
          <w:bCs w:val="1"/>
          <w:i w:val="1"/>
          <w:iCs w:val="1"/>
          <w:color w:val="auto"/>
        </w:rPr>
        <w:t>многоплодная беременность</w:t>
      </w:r>
      <w:r>
        <w:rPr>
          <w:rFonts w:ascii="Arial" w:cs="Arial" w:eastAsia="Arial" w:hAnsi="Arial"/>
          <w:sz w:val="24"/>
          <w:szCs w:val="24"/>
          <w:b w:val="1"/>
          <w:bCs w:val="1"/>
          <w:i w:val="1"/>
          <w:iCs w:val="1"/>
          <w:color w:val="auto"/>
        </w:rPr>
        <w:t>.</w:t>
      </w:r>
    </w:p>
    <w:p>
      <w:pPr>
        <w:spacing w:after="0" w:line="146"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Беременным женщинам с АГ в качестве АГТ с целью контроля уровня АД рекомендуется назначение лекарственных препаратов с замедленным высвобождением лекарственного вещества </w:t>
      </w:r>
      <w:r>
        <w:rPr>
          <w:rFonts w:ascii="Arial" w:cs="Arial" w:eastAsia="Arial" w:hAnsi="Arial"/>
          <w:sz w:val="27"/>
          <w:szCs w:val="27"/>
          <w:color w:val="auto"/>
        </w:rPr>
        <w:t>(</w:t>
      </w:r>
      <w:r>
        <w:rPr>
          <w:rFonts w:ascii="Arial" w:cs="Arial" w:eastAsia="Arial" w:hAnsi="Arial"/>
          <w:sz w:val="27"/>
          <w:szCs w:val="27"/>
          <w:color w:val="auto"/>
        </w:rPr>
        <w:t>метилдопа</w:t>
      </w:r>
      <w:r>
        <w:rPr>
          <w:rFonts w:ascii="Arial" w:cs="Arial" w:eastAsia="Arial" w:hAnsi="Arial"/>
          <w:sz w:val="27"/>
          <w:szCs w:val="27"/>
          <w:color w:val="auto"/>
        </w:rPr>
        <w:t>**) [237, 250].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0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IB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Беременным женщинам с АГ в качестве АГТ с целью контроля уровня АД рекомендуется назначение лекарственных препаратов с замедленным высвобождением лекарственного вещества </w:t>
      </w:r>
      <w:r>
        <w:rPr>
          <w:rFonts w:ascii="Arial" w:cs="Arial" w:eastAsia="Arial" w:hAnsi="Arial"/>
          <w:sz w:val="27"/>
          <w:szCs w:val="27"/>
          <w:color w:val="auto"/>
        </w:rPr>
        <w:t>(</w:t>
      </w:r>
      <w:r>
        <w:rPr>
          <w:rFonts w:ascii="Arial" w:cs="Arial" w:eastAsia="Arial" w:hAnsi="Arial"/>
          <w:sz w:val="27"/>
          <w:szCs w:val="27"/>
          <w:color w:val="auto"/>
        </w:rPr>
        <w:t>нифедипин</w:t>
      </w:r>
      <w:r>
        <w:rPr>
          <w:rFonts w:ascii="Arial" w:cs="Arial" w:eastAsia="Arial" w:hAnsi="Arial"/>
          <w:sz w:val="27"/>
          <w:szCs w:val="27"/>
          <w:color w:val="auto"/>
        </w:rPr>
        <w:t>**) [237, 250].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0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IC (</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48"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Резервными препаратами для плановой АГТ у</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беременных женщин с АГ являются верапамил и бисопролол</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АГТ должна быть продолжена в течение </w:t>
      </w:r>
      <w:r>
        <w:rPr>
          <w:rFonts w:ascii="Arial" w:cs="Arial" w:eastAsia="Arial" w:hAnsi="Arial"/>
          <w:sz w:val="24"/>
          <w:szCs w:val="24"/>
          <w:b w:val="1"/>
          <w:bCs w:val="1"/>
          <w:i w:val="1"/>
          <w:iCs w:val="1"/>
          <w:color w:val="auto"/>
        </w:rPr>
        <w:t>12</w:t>
      </w:r>
      <w:r>
        <w:rPr>
          <w:rFonts w:ascii="Arial" w:cs="Arial" w:eastAsia="Arial" w:hAnsi="Arial"/>
          <w:sz w:val="24"/>
          <w:szCs w:val="24"/>
          <w:b w:val="1"/>
          <w:bCs w:val="1"/>
          <w:i w:val="1"/>
          <w:iCs w:val="1"/>
          <w:color w:val="auto"/>
        </w:rPr>
        <w:t xml:space="preserve"> недель после родов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особенно у женщин с ПЭ и при рождении недоношенных детей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Можно использовать любые классы АГП</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согласно алгоритму АГТ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 рациональным выбором препаратов при лактации и учитывая то</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метилдопа не рекомендована к назначению в связи с повышением риска послеродовой депрессии</w:t>
      </w:r>
      <w:r>
        <w:rPr>
          <w:rFonts w:ascii="Arial" w:cs="Arial" w:eastAsia="Arial" w:hAnsi="Arial"/>
          <w:sz w:val="24"/>
          <w:szCs w:val="24"/>
          <w:b w:val="1"/>
          <w:bCs w:val="1"/>
          <w:i w:val="1"/>
          <w:iCs w:val="1"/>
          <w:color w:val="auto"/>
        </w:rPr>
        <w:t>.</w:t>
      </w:r>
    </w:p>
    <w:p>
      <w:pPr>
        <w:spacing w:after="0" w:line="19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Не рекомендовано назначение ИАПФ</w:t>
      </w:r>
      <w:r>
        <w:rPr>
          <w:rFonts w:ascii="Arial" w:cs="Arial" w:eastAsia="Arial" w:hAnsi="Arial"/>
          <w:sz w:val="27"/>
          <w:szCs w:val="27"/>
          <w:color w:val="auto"/>
        </w:rPr>
        <w:t>,</w:t>
      </w:r>
      <w:r>
        <w:rPr>
          <w:rFonts w:ascii="Arial" w:cs="Arial" w:eastAsia="Arial" w:hAnsi="Arial"/>
          <w:sz w:val="27"/>
          <w:szCs w:val="27"/>
          <w:color w:val="auto"/>
        </w:rPr>
        <w:t xml:space="preserve"> БРА и прямых ингибиторов ренина при беременности в связи с риском развития врожденных уродств и гибели плода </w:t>
      </w:r>
      <w:r>
        <w:rPr>
          <w:rFonts w:ascii="Arial" w:cs="Arial" w:eastAsia="Arial" w:hAnsi="Arial"/>
          <w:sz w:val="27"/>
          <w:szCs w:val="27"/>
          <w:color w:val="auto"/>
        </w:rPr>
        <w:t>[237, 250, 251].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0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ind w:left="680"/>
        <w:spacing w:after="0"/>
        <w:tabs>
          <w:tab w:leader="none" w:pos="2360" w:val="left"/>
          <w:tab w:leader="none" w:pos="2740" w:val="left"/>
          <w:tab w:leader="none" w:pos="3320" w:val="left"/>
          <w:tab w:leader="none" w:pos="3720" w:val="left"/>
          <w:tab w:leader="none" w:pos="6100" w:val="left"/>
          <w:tab w:leader="none" w:pos="7460" w:val="left"/>
          <w:tab w:leader="none" w:pos="7840" w:val="left"/>
        </w:tabs>
        <w:rPr>
          <w:sz w:val="20"/>
          <w:szCs w:val="20"/>
          <w:color w:val="auto"/>
        </w:rPr>
      </w:pPr>
      <w:r>
        <w:rPr>
          <w:rFonts w:ascii="Arial" w:cs="Arial" w:eastAsia="Arial" w:hAnsi="Arial"/>
          <w:sz w:val="27"/>
          <w:szCs w:val="27"/>
          <w:color w:val="auto"/>
        </w:rPr>
        <w:t>Женщинам</w:t>
        <w:tab/>
        <w:t>с</w:t>
        <w:tab/>
        <w:t>АГ</w:t>
        <w:tab/>
        <w:t>в</w:t>
        <w:tab/>
        <w:t>репродуктивном</w:t>
        <w:tab/>
        <w:t>возрасте</w:t>
        <w:tab/>
        <w:t>с</w:t>
        <w:tab/>
        <w:t>риском</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20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2880" w:val="left"/>
          <w:tab w:leader="none" w:pos="6060" w:val="left"/>
          <w:tab w:leader="none" w:pos="8480" w:val="left"/>
        </w:tabs>
        <w:rPr>
          <w:sz w:val="20"/>
          <w:szCs w:val="20"/>
          <w:color w:val="auto"/>
        </w:rPr>
      </w:pPr>
      <w:r>
        <w:rPr>
          <w:rFonts w:ascii="Arial" w:cs="Arial" w:eastAsia="Arial" w:hAnsi="Arial"/>
          <w:sz w:val="27"/>
          <w:szCs w:val="27"/>
          <w:color w:val="auto"/>
        </w:rPr>
        <w:t>наступления</w:t>
      </w:r>
      <w:r>
        <w:rPr>
          <w:sz w:val="20"/>
          <w:szCs w:val="20"/>
          <w:color w:val="auto"/>
        </w:rPr>
        <w:tab/>
      </w:r>
      <w:r>
        <w:rPr>
          <w:rFonts w:ascii="Arial" w:cs="Arial" w:eastAsia="Arial" w:hAnsi="Arial"/>
          <w:sz w:val="27"/>
          <w:szCs w:val="27"/>
          <w:color w:val="auto"/>
        </w:rPr>
        <w:t>незапланированной</w:t>
      </w:r>
      <w:r>
        <w:rPr>
          <w:sz w:val="20"/>
          <w:szCs w:val="20"/>
          <w:color w:val="auto"/>
        </w:rPr>
        <w:tab/>
      </w:r>
      <w:r>
        <w:rPr>
          <w:rFonts w:ascii="Arial" w:cs="Arial" w:eastAsia="Arial" w:hAnsi="Arial"/>
          <w:sz w:val="27"/>
          <w:szCs w:val="27"/>
          <w:color w:val="auto"/>
        </w:rPr>
        <w:t>беременности</w:t>
      </w:r>
      <w:r>
        <w:rPr>
          <w:sz w:val="20"/>
          <w:szCs w:val="20"/>
          <w:color w:val="auto"/>
        </w:rPr>
        <w:tab/>
      </w:r>
      <w:r>
        <w:rPr>
          <w:rFonts w:ascii="Arial" w:cs="Arial" w:eastAsia="Arial" w:hAnsi="Arial"/>
          <w:sz w:val="27"/>
          <w:szCs w:val="27"/>
          <w:color w:val="auto"/>
        </w:rPr>
        <w:t>не</w:t>
      </w:r>
    </w:p>
    <w:p>
      <w:pPr>
        <w:sectPr>
          <w:pgSz w:w="11900" w:h="16887" w:orient="portrait"/>
          <w:cols w:equalWidth="0" w:num="1">
            <w:col w:w="9020"/>
          </w:cols>
          <w:pgMar w:left="1440" w:top="19" w:right="1440" w:bottom="0" w:gutter="0" w:footer="0" w:header="0"/>
        </w:sectPr>
      </w:pPr>
    </w:p>
    <w:bookmarkStart w:id="72" w:name="page73"/>
    <w:bookmarkEnd w:id="72"/>
    <w:p>
      <w:pPr>
        <w:jc w:val="both"/>
        <w:ind w:left="680" w:right="220"/>
        <w:spacing w:after="0" w:line="334" w:lineRule="auto"/>
        <w:rPr>
          <w:sz w:val="20"/>
          <w:szCs w:val="20"/>
          <w:color w:val="auto"/>
        </w:rPr>
      </w:pPr>
      <w:r>
        <w:rPr>
          <w:rFonts w:ascii="Arial" w:cs="Arial" w:eastAsia="Arial" w:hAnsi="Arial"/>
          <w:sz w:val="27"/>
          <w:szCs w:val="27"/>
          <w:color w:val="auto"/>
        </w:rPr>
        <w:t xml:space="preserve">рекомендуется назначение блокаторов РААС в связи с риском развития врожденных уродств и гибели плода </w:t>
      </w:r>
      <w:r>
        <w:rPr>
          <w:rFonts w:ascii="Arial" w:cs="Arial" w:eastAsia="Arial" w:hAnsi="Arial"/>
          <w:sz w:val="27"/>
          <w:szCs w:val="27"/>
          <w:color w:val="auto"/>
        </w:rPr>
        <w:t>[21, 22, 237, 251].</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IIIC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4)</w:t>
      </w:r>
    </w:p>
    <w:p>
      <w:pPr>
        <w:spacing w:after="0" w:line="350" w:lineRule="exact"/>
        <w:rPr>
          <w:sz w:val="20"/>
          <w:szCs w:val="20"/>
          <w:color w:val="auto"/>
        </w:rPr>
      </w:pPr>
    </w:p>
    <w:p>
      <w:pPr>
        <w:jc w:val="both"/>
        <w:ind w:left="680" w:right="220"/>
        <w:spacing w:after="0" w:line="319" w:lineRule="auto"/>
        <w:rPr>
          <w:sz w:val="20"/>
          <w:szCs w:val="20"/>
          <w:color w:val="auto"/>
        </w:rPr>
      </w:pPr>
      <w:r>
        <w:rPr>
          <w:rFonts w:ascii="Arial" w:cs="Arial" w:eastAsia="Arial" w:hAnsi="Arial"/>
          <w:sz w:val="27"/>
          <w:szCs w:val="27"/>
          <w:b w:val="1"/>
          <w:bCs w:val="1"/>
          <w:color w:val="auto"/>
        </w:rPr>
        <w:t xml:space="preserve">3.6.18. </w:t>
      </w:r>
      <w:r>
        <w:rPr>
          <w:rFonts w:ascii="Arial" w:cs="Arial" w:eastAsia="Arial" w:hAnsi="Arial"/>
          <w:sz w:val="27"/>
          <w:szCs w:val="27"/>
          <w:b w:val="1"/>
          <w:bCs w:val="1"/>
          <w:color w:val="auto"/>
        </w:rPr>
        <w:t>Препараты для оральной контрацепции и</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заместительной гормональной терапии и артериальная гипертензия</w:t>
      </w:r>
    </w:p>
    <w:p>
      <w:pPr>
        <w:spacing w:after="0" w:line="203"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Не рекомендуется применять оральные контрацептивы </w:t>
      </w:r>
      <w:r>
        <w:rPr>
          <w:rFonts w:ascii="Arial" w:cs="Arial" w:eastAsia="Arial" w:hAnsi="Arial"/>
          <w:sz w:val="27"/>
          <w:szCs w:val="27"/>
          <w:color w:val="auto"/>
        </w:rPr>
        <w:t>(</w:t>
      </w:r>
      <w:r>
        <w:rPr>
          <w:rFonts w:ascii="Arial" w:cs="Arial" w:eastAsia="Arial" w:hAnsi="Arial"/>
          <w:sz w:val="27"/>
          <w:szCs w:val="27"/>
          <w:color w:val="auto"/>
        </w:rPr>
        <w:t>ОК</w:t>
      </w:r>
      <w:r>
        <w:rPr>
          <w:rFonts w:ascii="Arial" w:cs="Arial" w:eastAsia="Arial" w:hAnsi="Arial"/>
          <w:sz w:val="27"/>
          <w:szCs w:val="27"/>
          <w:color w:val="auto"/>
        </w:rPr>
        <w:t>)</w:t>
      </w:r>
      <w:r>
        <w:rPr>
          <w:rFonts w:ascii="Arial" w:cs="Arial" w:eastAsia="Arial" w:hAnsi="Arial"/>
          <w:sz w:val="27"/>
          <w:szCs w:val="27"/>
          <w:color w:val="auto"/>
        </w:rPr>
        <w:t xml:space="preserve"> женщинам с неконтролируемой АГ </w:t>
      </w:r>
      <w:r>
        <w:rPr>
          <w:rFonts w:ascii="Arial" w:cs="Arial" w:eastAsia="Arial" w:hAnsi="Arial"/>
          <w:sz w:val="27"/>
          <w:szCs w:val="27"/>
          <w:color w:val="auto"/>
        </w:rPr>
        <w:t>[252, 253].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0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249" w:gutter="0" w:footer="0" w:header="0"/>
        </w:sectPr>
      </w:pPr>
    </w:p>
    <w:p>
      <w:pPr>
        <w:spacing w:after="0" w:line="186" w:lineRule="exact"/>
        <w:rPr>
          <w:sz w:val="20"/>
          <w:szCs w:val="20"/>
          <w:color w:val="auto"/>
        </w:rPr>
      </w:pPr>
    </w:p>
    <w:p>
      <w:pPr>
        <w:ind w:left="680"/>
        <w:spacing w:after="0"/>
        <w:rPr>
          <w:sz w:val="20"/>
          <w:szCs w:val="20"/>
          <w:color w:val="auto"/>
        </w:rPr>
      </w:pPr>
      <w:r>
        <w:rPr>
          <w:rFonts w:ascii="Arial" w:cs="Arial" w:eastAsia="Arial" w:hAnsi="Arial"/>
          <w:sz w:val="26"/>
          <w:szCs w:val="26"/>
          <w:b w:val="1"/>
          <w:bCs w:val="1"/>
          <w:color w:val="auto"/>
        </w:rPr>
        <w:t>ЕОК</w:t>
      </w:r>
      <w:r>
        <w:rPr>
          <w:rFonts w:ascii="Arial" w:cs="Arial" w:eastAsia="Arial" w:hAnsi="Arial"/>
          <w:sz w:val="26"/>
          <w:szCs w:val="26"/>
          <w:b w:val="1"/>
          <w:bCs w:val="1"/>
          <w:color w:val="auto"/>
        </w:rPr>
        <w:t>/</w:t>
      </w:r>
      <w:r>
        <w:rPr>
          <w:rFonts w:ascii="Arial" w:cs="Arial" w:eastAsia="Arial" w:hAnsi="Arial"/>
          <w:sz w:val="26"/>
          <w:szCs w:val="26"/>
          <w:b w:val="1"/>
          <w:bCs w:val="1"/>
          <w:color w:val="auto"/>
        </w:rPr>
        <w:t>ЕОАГ нет</w:t>
      </w:r>
    </w:p>
    <w:p>
      <w:pPr>
        <w:spacing w:after="0" w:line="20" w:lineRule="exact"/>
        <w:rPr>
          <w:sz w:val="20"/>
          <w:szCs w:val="20"/>
          <w:color w:val="auto"/>
        </w:rPr>
      </w:pPr>
      <w:r>
        <w:rPr>
          <w:sz w:val="20"/>
          <w:szCs w:val="20"/>
          <w:color w:val="auto"/>
        </w:rPr>
        <w:br w:type="column"/>
      </w:r>
    </w:p>
    <w:p>
      <w:pPr>
        <w:spacing w:after="0" w:line="166" w:lineRule="exact"/>
        <w:rPr>
          <w:sz w:val="20"/>
          <w:szCs w:val="20"/>
          <w:color w:val="auto"/>
        </w:rPr>
      </w:pPr>
    </w:p>
    <w:p>
      <w:pPr>
        <w:spacing w:after="0"/>
        <w:rPr>
          <w:sz w:val="20"/>
          <w:szCs w:val="20"/>
          <w:color w:val="auto"/>
        </w:rPr>
      </w:pPr>
      <w:r>
        <w:rPr>
          <w:rFonts w:ascii="Arial" w:cs="Arial" w:eastAsia="Arial" w:hAnsi="Arial"/>
          <w:sz w:val="27"/>
          <w:szCs w:val="27"/>
          <w:color w:val="auto"/>
        </w:rPr>
        <w:t>(</w:t>
      </w:r>
      <w:r>
        <w:rPr>
          <w:rFonts w:ascii="Arial" w:cs="Arial" w:eastAsia="Arial" w:hAnsi="Arial"/>
          <w:sz w:val="27"/>
          <w:szCs w:val="27"/>
          <w:b w:val="1"/>
          <w:bCs w:val="1"/>
          <w:color w:val="auto"/>
        </w:rPr>
        <w:t>УУР</w:t>
      </w:r>
      <w:r>
        <w:rPr>
          <w:rFonts w:ascii="Arial" w:cs="Arial" w:eastAsia="Arial" w:hAnsi="Arial"/>
          <w:sz w:val="27"/>
          <w:szCs w:val="27"/>
          <w:color w:val="auto"/>
        </w:rPr>
        <w:t xml:space="preserve"> </w:t>
      </w:r>
      <w:r>
        <w:rPr>
          <w:rFonts w:ascii="Arial" w:cs="Arial" w:eastAsia="Arial" w:hAnsi="Arial"/>
          <w:sz w:val="27"/>
          <w:szCs w:val="27"/>
          <w:b w:val="1"/>
          <w:bCs w:val="1"/>
          <w:color w:val="auto"/>
        </w:rPr>
        <w:t>B,</w:t>
      </w:r>
      <w:r>
        <w:rPr>
          <w:rFonts w:ascii="Arial" w:cs="Arial" w:eastAsia="Arial" w:hAnsi="Arial"/>
          <w:sz w:val="27"/>
          <w:szCs w:val="27"/>
          <w:color w:val="auto"/>
        </w:rPr>
        <w:t xml:space="preserve"> </w:t>
      </w:r>
      <w:r>
        <w:rPr>
          <w:rFonts w:ascii="Arial" w:cs="Arial" w:eastAsia="Arial" w:hAnsi="Arial"/>
          <w:sz w:val="27"/>
          <w:szCs w:val="27"/>
          <w:b w:val="1"/>
          <w:bCs w:val="1"/>
          <w:color w:val="auto"/>
        </w:rPr>
        <w:t>УДД</w:t>
      </w:r>
      <w:r>
        <w:rPr>
          <w:rFonts w:ascii="Arial" w:cs="Arial" w:eastAsia="Arial" w:hAnsi="Arial"/>
          <w:sz w:val="27"/>
          <w:szCs w:val="27"/>
          <w:color w:val="auto"/>
        </w:rPr>
        <w:t xml:space="preserve"> </w:t>
      </w:r>
      <w:r>
        <w:rPr>
          <w:rFonts w:ascii="Arial" w:cs="Arial" w:eastAsia="Arial" w:hAnsi="Arial"/>
          <w:sz w:val="27"/>
          <w:szCs w:val="27"/>
          <w:b w:val="1"/>
          <w:bCs w:val="1"/>
          <w:color w:val="auto"/>
        </w:rPr>
        <w:t>3)</w:t>
      </w:r>
    </w:p>
    <w:p>
      <w:pPr>
        <w:spacing w:after="0" w:line="200" w:lineRule="exact"/>
        <w:rPr>
          <w:sz w:val="20"/>
          <w:szCs w:val="20"/>
          <w:color w:val="auto"/>
        </w:rPr>
      </w:pPr>
    </w:p>
    <w:p>
      <w:pPr>
        <w:sectPr>
          <w:pgSz w:w="11900" w:h="16840" w:orient="portrait"/>
          <w:cols w:equalWidth="0" w:num="2">
            <w:col w:w="2560" w:space="140"/>
            <w:col w:w="6320"/>
          </w:cols>
          <w:pgMar w:left="1440" w:top="19" w:right="1440" w:bottom="249" w:gutter="0" w:footer="0" w:header="0"/>
          <w:type w:val="continuous"/>
        </w:sectPr>
      </w:pPr>
    </w:p>
    <w:p>
      <w:pPr>
        <w:spacing w:after="0" w:line="150" w:lineRule="exact"/>
        <w:rPr>
          <w:sz w:val="20"/>
          <w:szCs w:val="20"/>
          <w:color w:val="auto"/>
        </w:rPr>
      </w:pPr>
    </w:p>
    <w:p>
      <w:pPr>
        <w:ind w:left="680"/>
        <w:spacing w:after="0"/>
        <w:tabs>
          <w:tab w:leader="none" w:pos="3820" w:val="left"/>
          <w:tab w:leader="none" w:pos="7220" w:val="left"/>
        </w:tabs>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sz w:val="20"/>
          <w:szCs w:val="20"/>
          <w:color w:val="auto"/>
        </w:rPr>
        <w:tab/>
      </w:r>
      <w:r>
        <w:rPr>
          <w:rFonts w:ascii="Arial" w:cs="Arial" w:eastAsia="Arial" w:hAnsi="Arial"/>
          <w:sz w:val="27"/>
          <w:szCs w:val="27"/>
          <w:b w:val="1"/>
          <w:bCs w:val="1"/>
          <w:i w:val="1"/>
          <w:iCs w:val="1"/>
          <w:color w:val="auto"/>
        </w:rPr>
        <w:t>Комбинированные</w:t>
      </w:r>
      <w:r>
        <w:rPr>
          <w:sz w:val="20"/>
          <w:szCs w:val="20"/>
          <w:color w:val="auto"/>
        </w:rPr>
        <w:tab/>
      </w:r>
      <w:r>
        <w:rPr>
          <w:rFonts w:ascii="Arial" w:cs="Arial" w:eastAsia="Arial" w:hAnsi="Arial"/>
          <w:sz w:val="22"/>
          <w:szCs w:val="22"/>
          <w:b w:val="1"/>
          <w:bCs w:val="1"/>
          <w:i w:val="1"/>
          <w:iCs w:val="1"/>
          <w:color w:val="auto"/>
        </w:rPr>
        <w:t>пероральные</w:t>
      </w:r>
    </w:p>
    <w:p>
      <w:pPr>
        <w:sectPr>
          <w:pgSz w:w="11900" w:h="16840" w:orient="portrait"/>
          <w:cols w:equalWidth="0" w:num="1">
            <w:col w:w="9020"/>
          </w:cols>
          <w:pgMar w:left="1440" w:top="19" w:right="1440" w:bottom="249" w:gutter="0" w:footer="0" w:header="0"/>
          <w:type w:val="continuous"/>
        </w:sectPr>
      </w:pPr>
    </w:p>
    <w:p>
      <w:pPr>
        <w:spacing w:after="0" w:line="80" w:lineRule="exact"/>
        <w:rPr>
          <w:sz w:val="20"/>
          <w:szCs w:val="20"/>
          <w:color w:val="auto"/>
        </w:rPr>
      </w:pPr>
    </w:p>
    <w:p>
      <w:pPr>
        <w:jc w:val="both"/>
        <w:ind w:left="680" w:right="220"/>
        <w:spacing w:after="0" w:line="331" w:lineRule="auto"/>
        <w:rPr>
          <w:sz w:val="20"/>
          <w:szCs w:val="20"/>
          <w:color w:val="auto"/>
        </w:rPr>
      </w:pPr>
      <w:r>
        <w:rPr>
          <w:rFonts w:ascii="Arial" w:cs="Arial" w:eastAsia="Arial" w:hAnsi="Arial"/>
          <w:sz w:val="25"/>
          <w:szCs w:val="25"/>
          <w:b w:val="1"/>
          <w:bCs w:val="1"/>
          <w:i w:val="1"/>
          <w:iCs w:val="1"/>
          <w:color w:val="auto"/>
        </w:rPr>
        <w:t>контрацептивные препараты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содержащие эстрогены и прогестины</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могут приводить к повышению АД и развитию АГ приблизительно у </w:t>
      </w:r>
      <w:r>
        <w:rPr>
          <w:rFonts w:ascii="Arial" w:cs="Arial" w:eastAsia="Arial" w:hAnsi="Arial"/>
          <w:sz w:val="25"/>
          <w:szCs w:val="25"/>
          <w:b w:val="1"/>
          <w:bCs w:val="1"/>
          <w:i w:val="1"/>
          <w:iCs w:val="1"/>
          <w:color w:val="auto"/>
        </w:rPr>
        <w:t>5%</w:t>
      </w:r>
      <w:r>
        <w:rPr>
          <w:rFonts w:ascii="Arial" w:cs="Arial" w:eastAsia="Arial" w:hAnsi="Arial"/>
          <w:sz w:val="25"/>
          <w:szCs w:val="25"/>
          <w:b w:val="1"/>
          <w:bCs w:val="1"/>
          <w:i w:val="1"/>
          <w:iCs w:val="1"/>
          <w:color w:val="auto"/>
        </w:rPr>
        <w:t xml:space="preserve"> пациенток </w:t>
      </w:r>
      <w:r>
        <w:rPr>
          <w:rFonts w:ascii="Arial" w:cs="Arial" w:eastAsia="Arial" w:hAnsi="Arial"/>
          <w:sz w:val="25"/>
          <w:szCs w:val="25"/>
          <w:b w:val="1"/>
          <w:bCs w:val="1"/>
          <w:i w:val="1"/>
          <w:iCs w:val="1"/>
          <w:color w:val="auto"/>
        </w:rPr>
        <w:t>[254, 255].</w:t>
      </w:r>
      <w:r>
        <w:rPr>
          <w:rFonts w:ascii="Arial" w:cs="Arial" w:eastAsia="Arial" w:hAnsi="Arial"/>
          <w:sz w:val="25"/>
          <w:szCs w:val="25"/>
          <w:b w:val="1"/>
          <w:bCs w:val="1"/>
          <w:i w:val="1"/>
          <w:iCs w:val="1"/>
          <w:color w:val="auto"/>
        </w:rPr>
        <w:t xml:space="preserve"> При назначении оральных контрацептивов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ОК</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следует оценивать риски и преимущества</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наличие сопутствующих факторов СС риска </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особенно курения</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у конкретной пациентки</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Необходимо</w:t>
      </w:r>
      <w:r>
        <w:rPr>
          <w:rFonts w:ascii="Arial" w:cs="Arial" w:eastAsia="Arial" w:hAnsi="Arial"/>
          <w:sz w:val="25"/>
          <w:szCs w:val="25"/>
          <w:b w:val="1"/>
          <w:bCs w:val="1"/>
          <w:i w:val="1"/>
          <w:iCs w:val="1"/>
          <w:color w:val="auto"/>
        </w:rPr>
        <w:t xml:space="preserve"> </w:t>
      </w:r>
      <w:r>
        <w:rPr>
          <w:rFonts w:ascii="Arial" w:cs="Arial" w:eastAsia="Arial" w:hAnsi="Arial"/>
          <w:sz w:val="25"/>
          <w:szCs w:val="25"/>
          <w:b w:val="1"/>
          <w:bCs w:val="1"/>
          <w:i w:val="1"/>
          <w:iCs w:val="1"/>
          <w:color w:val="auto"/>
        </w:rPr>
        <w:t xml:space="preserve">тщательно контролировать уровень АД </w:t>
      </w:r>
      <w:r>
        <w:rPr>
          <w:rFonts w:ascii="Arial" w:cs="Arial" w:eastAsia="Arial" w:hAnsi="Arial"/>
          <w:sz w:val="25"/>
          <w:szCs w:val="25"/>
          <w:b w:val="1"/>
          <w:bCs w:val="1"/>
          <w:i w:val="1"/>
          <w:iCs w:val="1"/>
          <w:color w:val="auto"/>
        </w:rPr>
        <w:t>[256, 257].</w:t>
      </w:r>
      <w:r>
        <w:rPr>
          <w:rFonts w:ascii="Arial" w:cs="Arial" w:eastAsia="Arial" w:hAnsi="Arial"/>
          <w:sz w:val="25"/>
          <w:szCs w:val="25"/>
          <w:b w:val="1"/>
          <w:bCs w:val="1"/>
          <w:i w:val="1"/>
          <w:iCs w:val="1"/>
          <w:color w:val="auto"/>
        </w:rPr>
        <w:t xml:space="preserve"> Отмена ОК может улучшить контроль АД у женщин с АГ </w:t>
      </w:r>
      <w:r>
        <w:rPr>
          <w:rFonts w:ascii="Arial" w:cs="Arial" w:eastAsia="Arial" w:hAnsi="Arial"/>
          <w:sz w:val="25"/>
          <w:szCs w:val="25"/>
          <w:b w:val="1"/>
          <w:bCs w:val="1"/>
          <w:i w:val="1"/>
          <w:iCs w:val="1"/>
          <w:color w:val="auto"/>
        </w:rPr>
        <w:t>[252].</w:t>
      </w:r>
      <w:r>
        <w:rPr>
          <w:rFonts w:ascii="Arial" w:cs="Arial" w:eastAsia="Arial" w:hAnsi="Arial"/>
          <w:sz w:val="25"/>
          <w:szCs w:val="25"/>
          <w:b w:val="1"/>
          <w:bCs w:val="1"/>
          <w:i w:val="1"/>
          <w:iCs w:val="1"/>
          <w:color w:val="auto"/>
        </w:rPr>
        <w:t xml:space="preserve"> Прием ОК женщинами с АГ диктует необходимость их тщательного выбора и начала приема после сопоставления риска и пользы индивидуально у каждой пациентки</w:t>
      </w:r>
      <w:r>
        <w:rPr>
          <w:rFonts w:ascii="Arial" w:cs="Arial" w:eastAsia="Arial" w:hAnsi="Arial"/>
          <w:sz w:val="25"/>
          <w:szCs w:val="25"/>
          <w:b w:val="1"/>
          <w:bCs w:val="1"/>
          <w:i w:val="1"/>
          <w:iCs w:val="1"/>
          <w:color w:val="auto"/>
        </w:rPr>
        <w:t>.</w:t>
      </w:r>
    </w:p>
    <w:p>
      <w:pPr>
        <w:spacing w:after="0" w:line="201" w:lineRule="exact"/>
        <w:rPr>
          <w:sz w:val="20"/>
          <w:szCs w:val="20"/>
          <w:color w:val="auto"/>
        </w:rPr>
      </w:pPr>
    </w:p>
    <w:p>
      <w:pPr>
        <w:jc w:val="both"/>
        <w:ind w:left="680" w:right="220"/>
        <w:spacing w:after="0" w:line="355" w:lineRule="auto"/>
        <w:rPr>
          <w:sz w:val="20"/>
          <w:szCs w:val="20"/>
          <w:color w:val="auto"/>
        </w:rPr>
      </w:pPr>
      <w:r>
        <w:rPr>
          <w:rFonts w:ascii="Arial" w:cs="Arial" w:eastAsia="Arial" w:hAnsi="Arial"/>
          <w:sz w:val="24"/>
          <w:szCs w:val="24"/>
          <w:b w:val="1"/>
          <w:bCs w:val="1"/>
          <w:i w:val="1"/>
          <w:iCs w:val="1"/>
          <w:color w:val="auto"/>
        </w:rPr>
        <w:t xml:space="preserve">Заместительная гормональная терапия не противопоказана женщинам с АГ при условии контроля АД с помощью АГП </w:t>
      </w:r>
      <w:r>
        <w:rPr>
          <w:rFonts w:ascii="Arial" w:cs="Arial" w:eastAsia="Arial" w:hAnsi="Arial"/>
          <w:sz w:val="24"/>
          <w:szCs w:val="24"/>
          <w:b w:val="1"/>
          <w:bCs w:val="1"/>
          <w:i w:val="1"/>
          <w:iCs w:val="1"/>
          <w:color w:val="auto"/>
        </w:rPr>
        <w:t>[21].</w:t>
      </w:r>
      <w:r>
        <w:rPr>
          <w:rFonts w:ascii="Arial" w:cs="Arial" w:eastAsia="Arial" w:hAnsi="Arial"/>
          <w:sz w:val="24"/>
          <w:szCs w:val="24"/>
          <w:b w:val="1"/>
          <w:bCs w:val="1"/>
          <w:i w:val="1"/>
          <w:iCs w:val="1"/>
          <w:color w:val="auto"/>
        </w:rPr>
        <w:t xml:space="preserve"> Не рекомендуется назначение гормональной заместительной терапии и селективных модуляторов рецепторов к эстрогенам с целью первичной или вторичной профилактики ССЗ</w:t>
      </w:r>
      <w:r>
        <w:rPr>
          <w:rFonts w:ascii="Arial" w:cs="Arial" w:eastAsia="Arial" w:hAnsi="Arial"/>
          <w:sz w:val="24"/>
          <w:szCs w:val="24"/>
          <w:b w:val="1"/>
          <w:bCs w:val="1"/>
          <w:i w:val="1"/>
          <w:iCs w:val="1"/>
          <w:color w:val="auto"/>
        </w:rPr>
        <w:t>.</w:t>
      </w:r>
    </w:p>
    <w:p>
      <w:pPr>
        <w:spacing w:after="0" w:line="180"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3.6.19. </w:t>
      </w:r>
      <w:r>
        <w:rPr>
          <w:rFonts w:ascii="Arial" w:cs="Arial" w:eastAsia="Arial" w:hAnsi="Arial"/>
          <w:sz w:val="27"/>
          <w:szCs w:val="27"/>
          <w:b w:val="1"/>
          <w:bCs w:val="1"/>
          <w:color w:val="auto"/>
        </w:rPr>
        <w:t>Артериальная гипертензия и эректильная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дисфункция</w:t>
      </w:r>
    </w:p>
    <w:p>
      <w:pPr>
        <w:spacing w:after="0" w:line="179"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Всем пациентам с АГ и наличием эректильной дисфункции </w:t>
      </w:r>
      <w:r>
        <w:rPr>
          <w:rFonts w:ascii="Arial" w:cs="Arial" w:eastAsia="Arial" w:hAnsi="Arial"/>
          <w:sz w:val="27"/>
          <w:szCs w:val="27"/>
          <w:color w:val="auto"/>
        </w:rPr>
        <w:t>(</w:t>
      </w:r>
      <w:r>
        <w:rPr>
          <w:rFonts w:ascii="Arial" w:cs="Arial" w:eastAsia="Arial" w:hAnsi="Arial"/>
          <w:sz w:val="27"/>
          <w:szCs w:val="27"/>
          <w:color w:val="auto"/>
        </w:rPr>
        <w:t>ЭД</w:t>
      </w:r>
      <w:r>
        <w:rPr>
          <w:rFonts w:ascii="Arial" w:cs="Arial" w:eastAsia="Arial" w:hAnsi="Arial"/>
          <w:sz w:val="27"/>
          <w:szCs w:val="27"/>
          <w:color w:val="auto"/>
        </w:rPr>
        <w:t xml:space="preserve">) </w:t>
      </w:r>
      <w:r>
        <w:rPr>
          <w:rFonts w:ascii="Arial" w:cs="Arial" w:eastAsia="Arial" w:hAnsi="Arial"/>
          <w:sz w:val="27"/>
          <w:szCs w:val="27"/>
          <w:color w:val="auto"/>
        </w:rPr>
        <w:t>для коррекции эндотелиальной дисфункции</w:t>
      </w:r>
      <w:r>
        <w:rPr>
          <w:rFonts w:ascii="Arial" w:cs="Arial" w:eastAsia="Arial" w:hAnsi="Arial"/>
          <w:sz w:val="27"/>
          <w:szCs w:val="27"/>
          <w:color w:val="auto"/>
        </w:rPr>
        <w:t xml:space="preserve"> </w:t>
      </w:r>
      <w:r>
        <w:rPr>
          <w:rFonts w:ascii="Arial" w:cs="Arial" w:eastAsia="Arial" w:hAnsi="Arial"/>
          <w:sz w:val="27"/>
          <w:szCs w:val="27"/>
          <w:color w:val="auto"/>
        </w:rPr>
        <w:t>рекомендовано назначение ингибиторов фосфодиэстеразы</w:t>
      </w:r>
      <w:r>
        <w:rPr>
          <w:rFonts w:ascii="Arial" w:cs="Arial" w:eastAsia="Arial" w:hAnsi="Arial"/>
          <w:sz w:val="27"/>
          <w:szCs w:val="27"/>
          <w:color w:val="auto"/>
        </w:rPr>
        <w:t>-5,</w:t>
      </w:r>
      <w:r>
        <w:rPr>
          <w:rFonts w:ascii="Arial" w:cs="Arial" w:eastAsia="Arial" w:hAnsi="Arial"/>
          <w:sz w:val="27"/>
          <w:szCs w:val="27"/>
          <w:color w:val="auto"/>
        </w:rPr>
        <w:t xml:space="preserve"> даже тем из них</w:t>
      </w:r>
      <w:r>
        <w:rPr>
          <w:rFonts w:ascii="Arial" w:cs="Arial" w:eastAsia="Arial" w:hAnsi="Arial"/>
          <w:sz w:val="27"/>
          <w:szCs w:val="27"/>
          <w:color w:val="auto"/>
        </w:rPr>
        <w:t>,</w:t>
      </w:r>
      <w:r>
        <w:rPr>
          <w:rFonts w:ascii="Arial" w:cs="Arial" w:eastAsia="Arial" w:hAnsi="Arial"/>
          <w:sz w:val="27"/>
          <w:szCs w:val="27"/>
          <w:color w:val="auto"/>
        </w:rPr>
        <w:t xml:space="preserve"> которые получают несколько АГП </w:t>
      </w:r>
      <w:r>
        <w:rPr>
          <w:rFonts w:ascii="Arial" w:cs="Arial" w:eastAsia="Arial" w:hAnsi="Arial"/>
          <w:sz w:val="27"/>
          <w:szCs w:val="27"/>
          <w:color w:val="auto"/>
        </w:rPr>
        <w:t>(</w:t>
      </w:r>
      <w:r>
        <w:rPr>
          <w:rFonts w:ascii="Arial" w:cs="Arial" w:eastAsia="Arial" w:hAnsi="Arial"/>
          <w:sz w:val="27"/>
          <w:szCs w:val="27"/>
          <w:color w:val="auto"/>
        </w:rPr>
        <w:t>за исключением альфа</w:t>
      </w:r>
      <w:r>
        <w:rPr>
          <w:rFonts w:ascii="Arial" w:cs="Arial" w:eastAsia="Arial" w:hAnsi="Arial"/>
          <w:sz w:val="27"/>
          <w:szCs w:val="27"/>
          <w:color w:val="auto"/>
        </w:rPr>
        <w:t>-</w:t>
      </w:r>
      <w:r>
        <w:rPr>
          <w:rFonts w:ascii="Arial" w:cs="Arial" w:eastAsia="Arial" w:hAnsi="Arial"/>
          <w:sz w:val="27"/>
          <w:szCs w:val="27"/>
          <w:color w:val="auto"/>
        </w:rPr>
        <w:t>адреноблокаторов и нитратов в связи с опасностью ортостатической гипотонии</w:t>
      </w:r>
      <w:r>
        <w:rPr>
          <w:rFonts w:ascii="Arial" w:cs="Arial" w:eastAsia="Arial" w:hAnsi="Arial"/>
          <w:sz w:val="27"/>
          <w:szCs w:val="27"/>
          <w:color w:val="auto"/>
        </w:rPr>
        <w:t>) [258, 259].</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1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ectPr>
          <w:pgSz w:w="11900" w:h="16840" w:orient="portrait"/>
          <w:cols w:equalWidth="0" w:num="1">
            <w:col w:w="9020"/>
          </w:cols>
          <w:pgMar w:left="1440" w:top="19" w:right="1440" w:bottom="249" w:gutter="0" w:footer="0" w:header="0"/>
          <w:type w:val="continuous"/>
        </w:sectPr>
      </w:pPr>
    </w:p>
    <w:bookmarkStart w:id="73" w:name="page74"/>
    <w:bookmarkEnd w:id="73"/>
    <w:p>
      <w:pPr>
        <w:spacing w:after="0" w:line="137" w:lineRule="exact"/>
        <w:rPr>
          <w:sz w:val="20"/>
          <w:szCs w:val="20"/>
          <w:color w:val="auto"/>
        </w:rPr>
      </w:pPr>
    </w:p>
    <w:p>
      <w:pPr>
        <w:jc w:val="both"/>
        <w:ind w:left="680" w:right="220"/>
        <w:spacing w:after="0" w:line="365" w:lineRule="auto"/>
        <w:rPr>
          <w:sz w:val="20"/>
          <w:szCs w:val="20"/>
          <w:color w:val="auto"/>
        </w:rPr>
      </w:pPr>
      <w:r>
        <w:rPr>
          <w:rFonts w:ascii="Arial" w:cs="Arial" w:eastAsia="Arial" w:hAnsi="Arial"/>
          <w:sz w:val="23"/>
          <w:szCs w:val="23"/>
          <w:b w:val="1"/>
          <w:bCs w:val="1"/>
          <w:color w:val="auto"/>
        </w:rPr>
        <w:t>Комментарии</w:t>
      </w:r>
      <w:r>
        <w:rPr>
          <w:rFonts w:ascii="Arial" w:cs="Arial" w:eastAsia="Arial" w:hAnsi="Arial"/>
          <w:sz w:val="23"/>
          <w:szCs w:val="23"/>
          <w:b w:val="1"/>
          <w:b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ЭД у мужчин с АГ встречается чаще</w:t>
      </w:r>
      <w:r>
        <w:rPr>
          <w:rFonts w:ascii="Arial" w:cs="Arial" w:eastAsia="Arial" w:hAnsi="Arial"/>
          <w:sz w:val="23"/>
          <w:szCs w:val="23"/>
          <w:b w:val="1"/>
          <w:bCs w:val="1"/>
          <w:i w:val="1"/>
          <w:iCs w:val="1"/>
          <w:color w:val="auto"/>
        </w:rPr>
        <w:t>,</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чем у лиц с</w:t>
      </w:r>
      <w:r>
        <w:rPr>
          <w:rFonts w:ascii="Arial" w:cs="Arial" w:eastAsia="Arial" w:hAnsi="Arial"/>
          <w:sz w:val="23"/>
          <w:szCs w:val="23"/>
          <w:b w:val="1"/>
          <w:bCs w:val="1"/>
          <w:color w:val="auto"/>
        </w:rPr>
        <w:t xml:space="preserve"> </w:t>
      </w:r>
      <w:r>
        <w:rPr>
          <w:rFonts w:ascii="Arial" w:cs="Arial" w:eastAsia="Arial" w:hAnsi="Arial"/>
          <w:sz w:val="23"/>
          <w:szCs w:val="23"/>
          <w:b w:val="1"/>
          <w:bCs w:val="1"/>
          <w:i w:val="1"/>
          <w:iCs w:val="1"/>
          <w:color w:val="auto"/>
        </w:rPr>
        <w:t>нормальным АД</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ЭД считается независимым ФР сердечно</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сосудистых событий и смертности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ассоциированным с ПОМ</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Сбор анамнеза у пациентов АГ должен включать оценку половой функции</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Изменение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оздоровление</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образа жизни может уменьшить степень ЭД</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Современные препараты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БРА</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ИАПФ</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АК и вазодилатирующие ББ</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не влияют на эректильную функцию</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Адекватный контроль АГ способствует ее улучшению</w:t>
      </w:r>
      <w:r>
        <w:rPr>
          <w:rFonts w:ascii="Arial" w:cs="Arial" w:eastAsia="Arial" w:hAnsi="Arial"/>
          <w:sz w:val="23"/>
          <w:szCs w:val="23"/>
          <w:b w:val="1"/>
          <w:bCs w:val="1"/>
          <w:i w:val="1"/>
          <w:iCs w:val="1"/>
          <w:color w:val="auto"/>
        </w:rPr>
        <w:t>.</w:t>
      </w:r>
    </w:p>
    <w:p>
      <w:pPr>
        <w:spacing w:after="0" w:line="174"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3.6.20. </w:t>
      </w:r>
      <w:r>
        <w:rPr>
          <w:rFonts w:ascii="Arial" w:cs="Arial" w:eastAsia="Arial" w:hAnsi="Arial"/>
          <w:sz w:val="27"/>
          <w:szCs w:val="27"/>
          <w:b w:val="1"/>
          <w:bCs w:val="1"/>
          <w:color w:val="auto"/>
        </w:rPr>
        <w:t>Артериальная гипертензия и противоопухолевая</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терапия</w:t>
      </w:r>
    </w:p>
    <w:p>
      <w:pPr>
        <w:spacing w:after="0" w:line="179"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АГ является наиболее частым сопутствующим ССЗ по данным онкологических регистров</w:t>
      </w:r>
      <w:r>
        <w:rPr>
          <w:rFonts w:ascii="Arial" w:cs="Arial" w:eastAsia="Arial" w:hAnsi="Arial"/>
          <w:sz w:val="27"/>
          <w:szCs w:val="27"/>
          <w:color w:val="auto"/>
        </w:rPr>
        <w:t>,</w:t>
      </w:r>
      <w:r>
        <w:rPr>
          <w:rFonts w:ascii="Arial" w:cs="Arial" w:eastAsia="Arial" w:hAnsi="Arial"/>
          <w:sz w:val="27"/>
          <w:szCs w:val="27"/>
          <w:color w:val="auto"/>
        </w:rPr>
        <w:t xml:space="preserve"> при этом повышение АД выявляется более чем у трети пациентов </w:t>
      </w:r>
      <w:r>
        <w:rPr>
          <w:rFonts w:ascii="Arial" w:cs="Arial" w:eastAsia="Arial" w:hAnsi="Arial"/>
          <w:sz w:val="27"/>
          <w:szCs w:val="27"/>
          <w:color w:val="auto"/>
        </w:rPr>
        <w:t>[260].</w:t>
      </w:r>
      <w:r>
        <w:rPr>
          <w:rFonts w:ascii="Arial" w:cs="Arial" w:eastAsia="Arial" w:hAnsi="Arial"/>
          <w:sz w:val="27"/>
          <w:szCs w:val="27"/>
          <w:color w:val="auto"/>
        </w:rPr>
        <w:t xml:space="preserve"> Это может быть связано с высокой распространенностью АГ в той возрастной категории</w:t>
      </w:r>
      <w:r>
        <w:rPr>
          <w:rFonts w:ascii="Arial" w:cs="Arial" w:eastAsia="Arial" w:hAnsi="Arial"/>
          <w:sz w:val="27"/>
          <w:szCs w:val="27"/>
          <w:color w:val="auto"/>
        </w:rPr>
        <w:t>,</w:t>
      </w:r>
      <w:r>
        <w:rPr>
          <w:rFonts w:ascii="Arial" w:cs="Arial" w:eastAsia="Arial" w:hAnsi="Arial"/>
          <w:sz w:val="27"/>
          <w:szCs w:val="27"/>
          <w:color w:val="auto"/>
        </w:rPr>
        <w:t xml:space="preserve"> в которой наиболее часто встречаются и онкологические заболевания</w:t>
      </w:r>
      <w:r>
        <w:rPr>
          <w:rFonts w:ascii="Arial" w:cs="Arial" w:eastAsia="Arial" w:hAnsi="Arial"/>
          <w:sz w:val="27"/>
          <w:szCs w:val="27"/>
          <w:color w:val="auto"/>
        </w:rPr>
        <w:t>.</w:t>
      </w:r>
      <w:r>
        <w:rPr>
          <w:rFonts w:ascii="Arial" w:cs="Arial" w:eastAsia="Arial" w:hAnsi="Arial"/>
          <w:sz w:val="27"/>
          <w:szCs w:val="27"/>
          <w:color w:val="auto"/>
        </w:rPr>
        <w:t xml:space="preserve"> Однако это также обусловлено прессорным эффектом двух групп широко используемых противоопухолевых препаратов</w:t>
      </w:r>
      <w:r>
        <w:rPr>
          <w:rFonts w:ascii="Arial" w:cs="Arial" w:eastAsia="Arial" w:hAnsi="Arial"/>
          <w:sz w:val="27"/>
          <w:szCs w:val="27"/>
          <w:color w:val="auto"/>
        </w:rPr>
        <w:t>:</w:t>
      </w:r>
      <w:r>
        <w:rPr>
          <w:rFonts w:ascii="Arial" w:cs="Arial" w:eastAsia="Arial" w:hAnsi="Arial"/>
          <w:sz w:val="27"/>
          <w:szCs w:val="27"/>
          <w:color w:val="auto"/>
        </w:rPr>
        <w:t xml:space="preserve"> ингибиторов фактора роста эндотелия сосудов </w:t>
      </w:r>
      <w:r>
        <w:rPr>
          <w:rFonts w:ascii="Arial" w:cs="Arial" w:eastAsia="Arial" w:hAnsi="Arial"/>
          <w:sz w:val="27"/>
          <w:szCs w:val="27"/>
          <w:color w:val="auto"/>
        </w:rPr>
        <w:t>(</w:t>
      </w:r>
      <w:r>
        <w:rPr>
          <w:rFonts w:ascii="Arial" w:cs="Arial" w:eastAsia="Arial" w:hAnsi="Arial"/>
          <w:sz w:val="27"/>
          <w:szCs w:val="27"/>
          <w:color w:val="auto"/>
        </w:rPr>
        <w:t>бевацизумаб</w:t>
      </w:r>
      <w:r>
        <w:rPr>
          <w:rFonts w:ascii="Arial" w:cs="Arial" w:eastAsia="Arial" w:hAnsi="Arial"/>
          <w:sz w:val="27"/>
          <w:szCs w:val="27"/>
          <w:color w:val="auto"/>
        </w:rPr>
        <w:t>,</w:t>
      </w:r>
      <w:r>
        <w:rPr>
          <w:rFonts w:ascii="Arial" w:cs="Arial" w:eastAsia="Arial" w:hAnsi="Arial"/>
          <w:sz w:val="27"/>
          <w:szCs w:val="27"/>
          <w:color w:val="auto"/>
        </w:rPr>
        <w:t xml:space="preserve"> сорафениб</w:t>
      </w:r>
      <w:r>
        <w:rPr>
          <w:rFonts w:ascii="Arial" w:cs="Arial" w:eastAsia="Arial" w:hAnsi="Arial"/>
          <w:sz w:val="27"/>
          <w:szCs w:val="27"/>
          <w:color w:val="auto"/>
        </w:rPr>
        <w:t>,</w:t>
      </w:r>
      <w:r>
        <w:rPr>
          <w:rFonts w:ascii="Arial" w:cs="Arial" w:eastAsia="Arial" w:hAnsi="Arial"/>
          <w:sz w:val="27"/>
          <w:szCs w:val="27"/>
          <w:color w:val="auto"/>
        </w:rPr>
        <w:t xml:space="preserve"> сунитиниб и пазопаниб</w:t>
      </w:r>
      <w:r>
        <w:rPr>
          <w:rFonts w:ascii="Arial" w:cs="Arial" w:eastAsia="Arial" w:hAnsi="Arial"/>
          <w:sz w:val="27"/>
          <w:szCs w:val="27"/>
          <w:color w:val="auto"/>
        </w:rPr>
        <w:t>)</w:t>
      </w:r>
      <w:r>
        <w:rPr>
          <w:rFonts w:ascii="Arial" w:cs="Arial" w:eastAsia="Arial" w:hAnsi="Arial"/>
          <w:sz w:val="27"/>
          <w:szCs w:val="27"/>
          <w:color w:val="auto"/>
        </w:rPr>
        <w:t xml:space="preserve"> и ингибиторов протеасом </w:t>
      </w:r>
      <w:r>
        <w:rPr>
          <w:rFonts w:ascii="Arial" w:cs="Arial" w:eastAsia="Arial" w:hAnsi="Arial"/>
          <w:sz w:val="27"/>
          <w:szCs w:val="27"/>
          <w:color w:val="auto"/>
        </w:rPr>
        <w:t>(</w:t>
      </w:r>
      <w:r>
        <w:rPr>
          <w:rFonts w:ascii="Arial" w:cs="Arial" w:eastAsia="Arial" w:hAnsi="Arial"/>
          <w:sz w:val="27"/>
          <w:szCs w:val="27"/>
          <w:color w:val="auto"/>
        </w:rPr>
        <w:t xml:space="preserve">карфизомиб </w:t>
      </w:r>
      <w:r>
        <w:rPr>
          <w:rFonts w:ascii="Arial" w:cs="Arial" w:eastAsia="Arial" w:hAnsi="Arial"/>
          <w:sz w:val="27"/>
          <w:szCs w:val="27"/>
          <w:color w:val="auto"/>
        </w:rPr>
        <w:t>[261]).</w:t>
      </w:r>
    </w:p>
    <w:p>
      <w:pPr>
        <w:spacing w:after="0" w:line="226"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Повышение  АД  выявлялось  у  большого  числа  пациентов</w:t>
      </w:r>
    </w:p>
    <w:p>
      <w:pPr>
        <w:spacing w:after="0" w:line="8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30%), </w:t>
      </w:r>
      <w:r>
        <w:rPr>
          <w:rFonts w:ascii="Arial" w:cs="Arial" w:eastAsia="Arial" w:hAnsi="Arial"/>
          <w:sz w:val="27"/>
          <w:szCs w:val="27"/>
          <w:color w:val="auto"/>
        </w:rPr>
        <w:t>получающих терапию вышеописанными</w:t>
      </w:r>
      <w:r>
        <w:rPr>
          <w:rFonts w:ascii="Arial" w:cs="Arial" w:eastAsia="Arial" w:hAnsi="Arial"/>
          <w:sz w:val="27"/>
          <w:szCs w:val="27"/>
          <w:color w:val="auto"/>
        </w:rPr>
        <w:t xml:space="preserve"> </w:t>
      </w:r>
      <w:r>
        <w:rPr>
          <w:rFonts w:ascii="Arial" w:cs="Arial" w:eastAsia="Arial" w:hAnsi="Arial"/>
          <w:sz w:val="27"/>
          <w:szCs w:val="27"/>
          <w:color w:val="auto"/>
        </w:rPr>
        <w:t>противоопухолевыми препаратами</w:t>
      </w:r>
      <w:r>
        <w:rPr>
          <w:rFonts w:ascii="Arial" w:cs="Arial" w:eastAsia="Arial" w:hAnsi="Arial"/>
          <w:sz w:val="27"/>
          <w:szCs w:val="27"/>
          <w:color w:val="auto"/>
        </w:rPr>
        <w:t>.</w:t>
      </w:r>
      <w:r>
        <w:rPr>
          <w:rFonts w:ascii="Arial" w:cs="Arial" w:eastAsia="Arial" w:hAnsi="Arial"/>
          <w:sz w:val="27"/>
          <w:szCs w:val="27"/>
          <w:color w:val="auto"/>
        </w:rPr>
        <w:t xml:space="preserve"> Этот эффект часто наблюдается в течение первого месяца после начала лечения</w:t>
      </w:r>
      <w:r>
        <w:rPr>
          <w:rFonts w:ascii="Arial" w:cs="Arial" w:eastAsia="Arial" w:hAnsi="Arial"/>
          <w:sz w:val="27"/>
          <w:szCs w:val="27"/>
          <w:color w:val="auto"/>
        </w:rPr>
        <w:t>.</w:t>
      </w:r>
    </w:p>
    <w:p>
      <w:pPr>
        <w:spacing w:after="0" w:line="209"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 xml:space="preserve">Рекомендовано контролировать офисное АД еженедельно в течение первого цикла терапии ингибиторами фактора роста эндотелия сосудов </w:t>
      </w:r>
      <w:r>
        <w:rPr>
          <w:rFonts w:ascii="Arial" w:cs="Arial" w:eastAsia="Arial" w:hAnsi="Arial"/>
          <w:sz w:val="27"/>
          <w:szCs w:val="27"/>
          <w:color w:val="auto"/>
        </w:rPr>
        <w:t>(</w:t>
      </w:r>
      <w:r>
        <w:rPr>
          <w:rFonts w:ascii="Arial" w:cs="Arial" w:eastAsia="Arial" w:hAnsi="Arial"/>
          <w:sz w:val="27"/>
          <w:szCs w:val="27"/>
          <w:color w:val="auto"/>
        </w:rPr>
        <w:t>бевацизумаб</w:t>
      </w:r>
      <w:r>
        <w:rPr>
          <w:rFonts w:ascii="Arial" w:cs="Arial" w:eastAsia="Arial" w:hAnsi="Arial"/>
          <w:sz w:val="27"/>
          <w:szCs w:val="27"/>
          <w:color w:val="auto"/>
        </w:rPr>
        <w:t>,</w:t>
      </w:r>
      <w:r>
        <w:rPr>
          <w:rFonts w:ascii="Arial" w:cs="Arial" w:eastAsia="Arial" w:hAnsi="Arial"/>
          <w:sz w:val="27"/>
          <w:szCs w:val="27"/>
          <w:color w:val="auto"/>
        </w:rPr>
        <w:t xml:space="preserve"> сорафениб</w:t>
      </w:r>
      <w:r>
        <w:rPr>
          <w:rFonts w:ascii="Arial" w:cs="Arial" w:eastAsia="Arial" w:hAnsi="Arial"/>
          <w:sz w:val="27"/>
          <w:szCs w:val="27"/>
          <w:color w:val="auto"/>
        </w:rPr>
        <w:t>,</w:t>
      </w:r>
      <w:r>
        <w:rPr>
          <w:rFonts w:ascii="Arial" w:cs="Arial" w:eastAsia="Arial" w:hAnsi="Arial"/>
          <w:sz w:val="27"/>
          <w:szCs w:val="27"/>
          <w:color w:val="auto"/>
        </w:rPr>
        <w:t xml:space="preserve"> сунитиниб и пазопаниб</w:t>
      </w:r>
      <w:r>
        <w:rPr>
          <w:rFonts w:ascii="Arial" w:cs="Arial" w:eastAsia="Arial" w:hAnsi="Arial"/>
          <w:sz w:val="27"/>
          <w:szCs w:val="27"/>
          <w:color w:val="auto"/>
        </w:rPr>
        <w:t>)</w:t>
      </w:r>
      <w:r>
        <w:rPr>
          <w:rFonts w:ascii="Arial" w:cs="Arial" w:eastAsia="Arial" w:hAnsi="Arial"/>
          <w:sz w:val="27"/>
          <w:szCs w:val="27"/>
          <w:color w:val="auto"/>
        </w:rPr>
        <w:t xml:space="preserve"> или ингибиторами протеасом </w:t>
      </w:r>
      <w:r>
        <w:rPr>
          <w:rFonts w:ascii="Arial" w:cs="Arial" w:eastAsia="Arial" w:hAnsi="Arial"/>
          <w:sz w:val="27"/>
          <w:szCs w:val="27"/>
          <w:color w:val="auto"/>
        </w:rPr>
        <w:t>(</w:t>
      </w:r>
      <w:r>
        <w:rPr>
          <w:rFonts w:ascii="Arial" w:cs="Arial" w:eastAsia="Arial" w:hAnsi="Arial"/>
          <w:sz w:val="27"/>
          <w:szCs w:val="27"/>
          <w:color w:val="auto"/>
        </w:rPr>
        <w:t>карфизомиб</w:t>
      </w:r>
      <w:r>
        <w:rPr>
          <w:rFonts w:ascii="Arial" w:cs="Arial" w:eastAsia="Arial" w:hAnsi="Arial"/>
          <w:sz w:val="27"/>
          <w:szCs w:val="27"/>
          <w:color w:val="auto"/>
        </w:rPr>
        <w:t>)</w:t>
      </w:r>
      <w:r>
        <w:rPr>
          <w:rFonts w:ascii="Arial" w:cs="Arial" w:eastAsia="Arial" w:hAnsi="Arial"/>
          <w:sz w:val="27"/>
          <w:szCs w:val="27"/>
          <w:color w:val="auto"/>
        </w:rPr>
        <w:t xml:space="preserve"> у пациентов со злокачественными новообразованиями и каждые </w:t>
      </w:r>
      <w:r>
        <w:rPr>
          <w:rFonts w:ascii="Arial" w:cs="Arial" w:eastAsia="Arial" w:hAnsi="Arial"/>
          <w:sz w:val="27"/>
          <w:szCs w:val="27"/>
          <w:color w:val="auto"/>
        </w:rPr>
        <w:t xml:space="preserve">2–3 </w:t>
      </w:r>
      <w:r>
        <w:rPr>
          <w:rFonts w:ascii="Arial" w:cs="Arial" w:eastAsia="Arial" w:hAnsi="Arial"/>
          <w:sz w:val="27"/>
          <w:szCs w:val="27"/>
          <w:color w:val="auto"/>
        </w:rPr>
        <w:t>нед</w:t>
      </w:r>
      <w:r>
        <w:rPr>
          <w:rFonts w:ascii="Arial" w:cs="Arial" w:eastAsia="Arial" w:hAnsi="Arial"/>
          <w:sz w:val="27"/>
          <w:szCs w:val="27"/>
          <w:color w:val="auto"/>
        </w:rPr>
        <w:t xml:space="preserve">. </w:t>
      </w:r>
      <w:r>
        <w:rPr>
          <w:rFonts w:ascii="Arial" w:cs="Arial" w:eastAsia="Arial" w:hAnsi="Arial"/>
          <w:sz w:val="27"/>
          <w:szCs w:val="27"/>
          <w:color w:val="auto"/>
        </w:rPr>
        <w:t>в дальнейшем</w:t>
      </w:r>
      <w:r>
        <w:rPr>
          <w:rFonts w:ascii="Arial" w:cs="Arial" w:eastAsia="Arial" w:hAnsi="Arial"/>
          <w:sz w:val="27"/>
          <w:szCs w:val="27"/>
          <w:color w:val="auto"/>
        </w:rPr>
        <w:t xml:space="preserve"> [262]. </w:t>
      </w:r>
      <w:r>
        <w:rPr>
          <w:rFonts w:ascii="Arial" w:cs="Arial" w:eastAsia="Arial" w:hAnsi="Arial"/>
          <w:sz w:val="27"/>
          <w:szCs w:val="27"/>
          <w:color w:val="auto"/>
        </w:rPr>
        <w:t>После завершения первого цикла</w:t>
      </w:r>
      <w:r>
        <w:rPr>
          <w:rFonts w:ascii="Arial" w:cs="Arial" w:eastAsia="Arial" w:hAnsi="Arial"/>
          <w:sz w:val="27"/>
          <w:szCs w:val="27"/>
          <w:color w:val="auto"/>
        </w:rPr>
        <w:t xml:space="preserve"> </w:t>
      </w:r>
      <w:r>
        <w:rPr>
          <w:rFonts w:ascii="Arial" w:cs="Arial" w:eastAsia="Arial" w:hAnsi="Arial"/>
          <w:sz w:val="27"/>
          <w:szCs w:val="27"/>
          <w:color w:val="auto"/>
        </w:rPr>
        <w:t>лечения</w:t>
      </w:r>
      <w:r>
        <w:rPr>
          <w:rFonts w:ascii="Arial" w:cs="Arial" w:eastAsia="Arial" w:hAnsi="Arial"/>
          <w:sz w:val="27"/>
          <w:szCs w:val="27"/>
          <w:color w:val="auto"/>
        </w:rPr>
        <w:t>,</w:t>
      </w:r>
      <w:r>
        <w:rPr>
          <w:rFonts w:ascii="Arial" w:cs="Arial" w:eastAsia="Arial" w:hAnsi="Arial"/>
          <w:sz w:val="27"/>
          <w:szCs w:val="27"/>
          <w:color w:val="auto"/>
        </w:rPr>
        <w:t xml:space="preserve"> при условии стабильных значений АД</w:t>
      </w:r>
      <w:r>
        <w:rPr>
          <w:rFonts w:ascii="Arial" w:cs="Arial" w:eastAsia="Arial" w:hAnsi="Arial"/>
          <w:sz w:val="27"/>
          <w:szCs w:val="27"/>
          <w:color w:val="auto"/>
        </w:rPr>
        <w:t>,</w:t>
      </w:r>
      <w:r>
        <w:rPr>
          <w:rFonts w:ascii="Arial" w:cs="Arial" w:eastAsia="Arial" w:hAnsi="Arial"/>
          <w:sz w:val="27"/>
          <w:szCs w:val="27"/>
          <w:color w:val="auto"/>
        </w:rPr>
        <w:t xml:space="preserve"> его следует измерять во время рутинных посещений врача или с помощью ДМАД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-2174240</wp:posOffset>
            </wp:positionV>
            <wp:extent cx="82550" cy="82550"/>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1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1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В случае развития АГ </w:t>
      </w:r>
      <w:r>
        <w:rPr>
          <w:rFonts w:ascii="Arial" w:cs="Arial" w:eastAsia="Arial" w:hAnsi="Arial"/>
          <w:sz w:val="27"/>
          <w:szCs w:val="27"/>
          <w:color w:val="auto"/>
        </w:rPr>
        <w:t>(</w:t>
      </w:r>
      <w:r>
        <w:rPr>
          <w:rFonts w:ascii="Times New Roman" w:cs="Times New Roman" w:eastAsia="Times New Roman" w:hAnsi="Times New Roman"/>
          <w:sz w:val="27"/>
          <w:szCs w:val="27"/>
          <w:color w:val="auto"/>
        </w:rPr>
        <w:t>≥</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или повышения ДАД на </w:t>
      </w:r>
      <w:r>
        <w:rPr>
          <w:rFonts w:ascii="Times New Roman" w:cs="Times New Roman" w:eastAsia="Times New Roman" w:hAnsi="Times New Roman"/>
          <w:sz w:val="27"/>
          <w:szCs w:val="27"/>
          <w:color w:val="auto"/>
        </w:rPr>
        <w:t>≥</w:t>
      </w:r>
      <w:r>
        <w:rPr>
          <w:rFonts w:ascii="Arial" w:cs="Arial" w:eastAsia="Arial" w:hAnsi="Arial"/>
          <w:sz w:val="27"/>
          <w:szCs w:val="27"/>
          <w:color w:val="auto"/>
        </w:rPr>
        <w:t>20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по сравнению с исходным уровнем на фоне терапии ингибиторами фактора роста эндотелия сосудов </w:t>
      </w:r>
      <w:r>
        <w:rPr>
          <w:rFonts w:ascii="Arial" w:cs="Arial" w:eastAsia="Arial" w:hAnsi="Arial"/>
          <w:sz w:val="27"/>
          <w:szCs w:val="27"/>
          <w:color w:val="auto"/>
        </w:rPr>
        <w:t>(</w:t>
      </w:r>
      <w:r>
        <w:rPr>
          <w:rFonts w:ascii="Arial" w:cs="Arial" w:eastAsia="Arial" w:hAnsi="Arial"/>
          <w:sz w:val="27"/>
          <w:szCs w:val="27"/>
          <w:color w:val="auto"/>
        </w:rPr>
        <w:t>бевацизумаб</w:t>
      </w:r>
      <w:r>
        <w:rPr>
          <w:rFonts w:ascii="Arial" w:cs="Arial" w:eastAsia="Arial" w:hAnsi="Arial"/>
          <w:sz w:val="27"/>
          <w:szCs w:val="27"/>
          <w:color w:val="auto"/>
        </w:rPr>
        <w:t xml:space="preserve">, </w:t>
      </w:r>
      <w:r>
        <w:rPr>
          <w:rFonts w:ascii="Arial" w:cs="Arial" w:eastAsia="Arial" w:hAnsi="Arial"/>
          <w:sz w:val="27"/>
          <w:szCs w:val="27"/>
          <w:color w:val="auto"/>
        </w:rPr>
        <w:t>сорафениб</w:t>
      </w:r>
      <w:r>
        <w:rPr>
          <w:rFonts w:ascii="Arial" w:cs="Arial" w:eastAsia="Arial" w:hAnsi="Arial"/>
          <w:sz w:val="27"/>
          <w:szCs w:val="27"/>
          <w:color w:val="auto"/>
        </w:rPr>
        <w:t xml:space="preserve">, </w:t>
      </w:r>
      <w:r>
        <w:rPr>
          <w:rFonts w:ascii="Arial" w:cs="Arial" w:eastAsia="Arial" w:hAnsi="Arial"/>
          <w:sz w:val="27"/>
          <w:szCs w:val="27"/>
          <w:color w:val="auto"/>
        </w:rPr>
        <w:t>сунитиниб и пазопаниб</w:t>
      </w:r>
      <w:r>
        <w:rPr>
          <w:rFonts w:ascii="Arial" w:cs="Arial" w:eastAsia="Arial" w:hAnsi="Arial"/>
          <w:sz w:val="27"/>
          <w:szCs w:val="27"/>
          <w:color w:val="auto"/>
        </w:rPr>
        <w:t xml:space="preserve">) </w:t>
      </w:r>
      <w:r>
        <w:rPr>
          <w:rFonts w:ascii="Arial" w:cs="Arial" w:eastAsia="Arial" w:hAnsi="Arial"/>
          <w:sz w:val="27"/>
          <w:szCs w:val="27"/>
          <w:color w:val="auto"/>
        </w:rPr>
        <w:t>или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-910590</wp:posOffset>
            </wp:positionV>
            <wp:extent cx="82550" cy="8255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1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tabs>
          <w:tab w:leader="none" w:pos="2840" w:val="left"/>
          <w:tab w:leader="none" w:pos="4520" w:val="left"/>
          <w:tab w:leader="none" w:pos="6960" w:val="left"/>
          <w:tab w:leader="none" w:pos="7420" w:val="left"/>
        </w:tabs>
        <w:rPr>
          <w:sz w:val="20"/>
          <w:szCs w:val="20"/>
          <w:color w:val="auto"/>
        </w:rPr>
      </w:pPr>
      <w:r>
        <w:rPr>
          <w:rFonts w:ascii="Arial" w:cs="Arial" w:eastAsia="Arial" w:hAnsi="Arial"/>
          <w:sz w:val="27"/>
          <w:szCs w:val="27"/>
          <w:color w:val="auto"/>
        </w:rPr>
        <w:t>ингибиторами</w:t>
        <w:tab/>
        <w:t>протеасом</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карфизомиб</w:t>
      </w:r>
      <w:r>
        <w:rPr>
          <w:rFonts w:ascii="Arial" w:cs="Arial" w:eastAsia="Arial" w:hAnsi="Arial"/>
          <w:sz w:val="27"/>
          <w:szCs w:val="27"/>
          <w:color w:val="auto"/>
        </w:rPr>
        <w:t>)</w:t>
      </w:r>
      <w:r>
        <w:rPr>
          <w:sz w:val="20"/>
          <w:szCs w:val="20"/>
          <w:color w:val="auto"/>
        </w:rPr>
        <w:tab/>
      </w:r>
      <w:r>
        <w:rPr>
          <w:rFonts w:ascii="Arial" w:cs="Arial" w:eastAsia="Arial" w:hAnsi="Arial"/>
          <w:sz w:val="27"/>
          <w:szCs w:val="27"/>
          <w:color w:val="auto"/>
        </w:rPr>
        <w:t>у</w:t>
        <w:tab/>
        <w:t>пациентов</w:t>
      </w:r>
    </w:p>
    <w:p>
      <w:pPr>
        <w:sectPr>
          <w:pgSz w:w="11900" w:h="16977" w:orient="portrait"/>
          <w:cols w:equalWidth="0" w:num="1">
            <w:col w:w="9020"/>
          </w:cols>
          <w:pgMar w:left="1440" w:top="19" w:right="1440" w:bottom="0" w:gutter="0" w:footer="0" w:header="0"/>
        </w:sectPr>
      </w:pPr>
    </w:p>
    <w:bookmarkStart w:id="74" w:name="page75"/>
    <w:bookmarkEnd w:id="74"/>
    <w:p>
      <w:pPr>
        <w:jc w:val="both"/>
        <w:ind w:left="680" w:right="220" w:firstLine="673"/>
        <w:spacing w:after="0" w:line="317" w:lineRule="auto"/>
        <w:rPr>
          <w:sz w:val="20"/>
          <w:szCs w:val="20"/>
          <w:color w:val="auto"/>
        </w:rPr>
      </w:pPr>
      <w:r>
        <w:rPr>
          <w:rFonts w:ascii="Arial" w:cs="Arial" w:eastAsia="Arial" w:hAnsi="Arial"/>
          <w:sz w:val="27"/>
          <w:szCs w:val="27"/>
          <w:color w:val="auto"/>
        </w:rPr>
        <w:t>рекомендовано начать или оптимизировать антигипертензивную терапию</w:t>
      </w:r>
      <w:r>
        <w:rPr>
          <w:rFonts w:ascii="Arial" w:cs="Arial" w:eastAsia="Arial" w:hAnsi="Arial"/>
          <w:sz w:val="27"/>
          <w:szCs w:val="27"/>
          <w:color w:val="auto"/>
        </w:rPr>
        <w:t>.</w:t>
      </w:r>
      <w:r>
        <w:rPr>
          <w:rFonts w:ascii="Arial" w:cs="Arial" w:eastAsia="Arial" w:hAnsi="Arial"/>
          <w:sz w:val="27"/>
          <w:szCs w:val="27"/>
          <w:color w:val="auto"/>
        </w:rPr>
        <w:t xml:space="preserve"> Предпочтительными являются блокаторы РААС и дигидропиридиновые АК</w:t>
      </w:r>
      <w:r>
        <w:rPr>
          <w:rFonts w:ascii="Arial" w:cs="Arial" w:eastAsia="Arial" w:hAnsi="Arial"/>
          <w:sz w:val="27"/>
          <w:szCs w:val="27"/>
          <w:color w:val="auto"/>
        </w:rPr>
        <w:t>[263, 264].</w:t>
      </w:r>
    </w:p>
    <w:p>
      <w:pPr>
        <w:spacing w:after="0" w:line="21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6" w:lineRule="auto"/>
        <w:rPr>
          <w:sz w:val="20"/>
          <w:szCs w:val="20"/>
          <w:color w:val="auto"/>
        </w:rPr>
      </w:pPr>
      <w:r>
        <w:rPr>
          <w:rFonts w:ascii="Arial" w:cs="Arial" w:eastAsia="Arial" w:hAnsi="Arial"/>
          <w:sz w:val="25"/>
          <w:szCs w:val="25"/>
          <w:b w:val="1"/>
          <w:bCs w:val="1"/>
          <w:color w:val="auto"/>
        </w:rPr>
        <w:t>Комментарии</w:t>
      </w:r>
      <w:r>
        <w:rPr>
          <w:rFonts w:ascii="Arial" w:cs="Arial" w:eastAsia="Arial" w:hAnsi="Arial"/>
          <w:sz w:val="25"/>
          <w:szCs w:val="25"/>
          <w:b w:val="1"/>
          <w:bCs w:val="1"/>
          <w:color w:val="auto"/>
        </w:rPr>
        <w:t>:</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Хотя противоопухолевая терапия имеет</w:t>
      </w:r>
      <w:r>
        <w:rPr>
          <w:rFonts w:ascii="Arial" w:cs="Arial" w:eastAsia="Arial" w:hAnsi="Arial"/>
          <w:sz w:val="25"/>
          <w:szCs w:val="25"/>
          <w:b w:val="1"/>
          <w:bCs w:val="1"/>
          <w:color w:val="auto"/>
        </w:rPr>
        <w:t xml:space="preserve"> </w:t>
      </w:r>
      <w:r>
        <w:rPr>
          <w:rFonts w:ascii="Arial" w:cs="Arial" w:eastAsia="Arial" w:hAnsi="Arial"/>
          <w:sz w:val="25"/>
          <w:szCs w:val="25"/>
          <w:b w:val="1"/>
          <w:bCs w:val="1"/>
          <w:i w:val="1"/>
          <w:iCs w:val="1"/>
          <w:color w:val="auto"/>
        </w:rPr>
        <w:t>очевидный приоритет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следует рассмотреть возможность ее прерывания в случаях чрезмерно высоких показателей АД</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несмотря на многокомпонентную терапию</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при наличии симптомов</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обусловленных АГ</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или при развитии ССС</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требующего немедленного снижения АД </w:t>
      </w:r>
      <w:r>
        <w:rPr>
          <w:rFonts w:ascii="Arial" w:cs="Arial" w:eastAsia="Arial" w:hAnsi="Arial"/>
          <w:sz w:val="25"/>
          <w:szCs w:val="25"/>
          <w:b w:val="1"/>
          <w:bCs w:val="1"/>
          <w:i w:val="1"/>
          <w:iCs w:val="1"/>
          <w:color w:val="auto"/>
        </w:rPr>
        <w:t>[263, 264].</w:t>
      </w:r>
    </w:p>
    <w:p>
      <w:pPr>
        <w:spacing w:after="0" w:line="196" w:lineRule="exact"/>
        <w:rPr>
          <w:sz w:val="20"/>
          <w:szCs w:val="20"/>
          <w:color w:val="auto"/>
        </w:rPr>
      </w:pPr>
    </w:p>
    <w:p>
      <w:pPr>
        <w:jc w:val="both"/>
        <w:ind w:left="680" w:right="220"/>
        <w:spacing w:after="0" w:line="337" w:lineRule="auto"/>
        <w:rPr>
          <w:sz w:val="20"/>
          <w:szCs w:val="20"/>
          <w:color w:val="auto"/>
        </w:rPr>
      </w:pPr>
      <w:r>
        <w:rPr>
          <w:rFonts w:ascii="Arial" w:cs="Arial" w:eastAsia="Arial" w:hAnsi="Arial"/>
          <w:sz w:val="27"/>
          <w:szCs w:val="27"/>
          <w:b w:val="1"/>
          <w:bCs w:val="1"/>
          <w:color w:val="auto"/>
        </w:rPr>
        <w:t xml:space="preserve">3.6.21. </w:t>
      </w:r>
      <w:r>
        <w:rPr>
          <w:rFonts w:ascii="Arial" w:cs="Arial" w:eastAsia="Arial" w:hAnsi="Arial"/>
          <w:sz w:val="27"/>
          <w:szCs w:val="27"/>
          <w:b w:val="1"/>
          <w:bCs w:val="1"/>
          <w:color w:val="auto"/>
        </w:rPr>
        <w:t>Коррекция сопутствующих факторов сердечно</w:t>
      </w:r>
      <w:r>
        <w:rPr>
          <w:rFonts w:ascii="Arial" w:cs="Arial" w:eastAsia="Arial" w:hAnsi="Arial"/>
          <w:sz w:val="27"/>
          <w:szCs w:val="27"/>
          <w:b w:val="1"/>
          <w:bCs w:val="1"/>
          <w:color w:val="auto"/>
        </w:rPr>
        <w:t>-</w:t>
      </w:r>
      <w:r>
        <w:rPr>
          <w:rFonts w:ascii="Arial" w:cs="Arial" w:eastAsia="Arial" w:hAnsi="Arial"/>
          <w:sz w:val="27"/>
          <w:szCs w:val="27"/>
          <w:b w:val="1"/>
          <w:bCs w:val="1"/>
          <w:color w:val="auto"/>
        </w:rPr>
        <w:t>сосудистого риска</w:t>
      </w:r>
    </w:p>
    <w:p>
      <w:pPr>
        <w:spacing w:after="0" w:line="179"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Пациентам с АГ и очень высоким или экстремальным СС риском рекомендовано назначение статинов для достижения целевого ХС</w:t>
      </w:r>
      <w:r>
        <w:rPr>
          <w:rFonts w:ascii="Arial" w:cs="Arial" w:eastAsia="Arial" w:hAnsi="Arial"/>
          <w:sz w:val="27"/>
          <w:szCs w:val="27"/>
          <w:color w:val="auto"/>
        </w:rPr>
        <w:t>-</w:t>
      </w:r>
      <w:r>
        <w:rPr>
          <w:rFonts w:ascii="Arial" w:cs="Arial" w:eastAsia="Arial" w:hAnsi="Arial"/>
          <w:sz w:val="27"/>
          <w:szCs w:val="27"/>
          <w:color w:val="auto"/>
        </w:rPr>
        <w:t xml:space="preserve">ЛНП </w:t>
      </w:r>
      <w:r>
        <w:rPr>
          <w:rFonts w:ascii="Times New Roman" w:cs="Times New Roman" w:eastAsia="Times New Roman" w:hAnsi="Times New Roman"/>
          <w:sz w:val="27"/>
          <w:szCs w:val="27"/>
          <w:color w:val="auto"/>
        </w:rPr>
        <w:t>≤</w:t>
      </w:r>
      <w:r>
        <w:rPr>
          <w:rFonts w:ascii="Arial" w:cs="Arial" w:eastAsia="Arial" w:hAnsi="Arial"/>
          <w:sz w:val="27"/>
          <w:szCs w:val="27"/>
          <w:color w:val="auto"/>
        </w:rPr>
        <w:t>1,4</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или его снижение на </w:t>
      </w:r>
      <w:r>
        <w:rPr>
          <w:rFonts w:ascii="Times New Roman" w:cs="Times New Roman" w:eastAsia="Times New Roman" w:hAnsi="Times New Roman"/>
          <w:sz w:val="27"/>
          <w:szCs w:val="27"/>
          <w:color w:val="auto"/>
        </w:rPr>
        <w:t>≥</w:t>
      </w:r>
      <w:r>
        <w:rPr>
          <w:rFonts w:ascii="Arial" w:cs="Arial" w:eastAsia="Arial" w:hAnsi="Arial"/>
          <w:sz w:val="27"/>
          <w:szCs w:val="27"/>
          <w:color w:val="auto"/>
        </w:rPr>
        <w:t>50%</w:t>
      </w:r>
      <w:r>
        <w:rPr>
          <w:rFonts w:ascii="Arial" w:cs="Arial" w:eastAsia="Arial" w:hAnsi="Arial"/>
          <w:sz w:val="27"/>
          <w:szCs w:val="27"/>
          <w:color w:val="auto"/>
        </w:rPr>
        <w:t xml:space="preserve"> от исходного </w:t>
      </w:r>
      <w:r>
        <w:rPr>
          <w:rFonts w:ascii="Arial" w:cs="Arial" w:eastAsia="Arial" w:hAnsi="Arial"/>
          <w:sz w:val="27"/>
          <w:szCs w:val="27"/>
          <w:color w:val="auto"/>
        </w:rPr>
        <w:t>[265–267].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-945515</wp:posOffset>
            </wp:positionV>
            <wp:extent cx="82550" cy="82550"/>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1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5"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20" w:lineRule="auto"/>
        <w:rPr>
          <w:sz w:val="20"/>
          <w:szCs w:val="20"/>
          <w:color w:val="auto"/>
        </w:rPr>
      </w:pPr>
      <w:r>
        <w:rPr>
          <w:rFonts w:ascii="Arial" w:cs="Arial" w:eastAsia="Arial" w:hAnsi="Arial"/>
          <w:sz w:val="27"/>
          <w:szCs w:val="27"/>
          <w:color w:val="auto"/>
        </w:rPr>
        <w:t>Пациентам с АГ и высоким СС риском рекомендовано назначение статинов для достижения целевого ХС</w:t>
      </w:r>
      <w:r>
        <w:rPr>
          <w:rFonts w:ascii="Arial" w:cs="Arial" w:eastAsia="Arial" w:hAnsi="Arial"/>
          <w:sz w:val="27"/>
          <w:szCs w:val="27"/>
          <w:color w:val="auto"/>
        </w:rPr>
        <w:t>-</w:t>
      </w:r>
      <w:r>
        <w:rPr>
          <w:rFonts w:ascii="Arial" w:cs="Arial" w:eastAsia="Arial" w:hAnsi="Arial"/>
          <w:sz w:val="27"/>
          <w:szCs w:val="27"/>
          <w:color w:val="auto"/>
        </w:rPr>
        <w:t xml:space="preserve">ЛНП </w:t>
      </w:r>
      <w:r>
        <w:rPr>
          <w:rFonts w:ascii="Times New Roman" w:cs="Times New Roman" w:eastAsia="Times New Roman" w:hAnsi="Times New Roman"/>
          <w:sz w:val="27"/>
          <w:szCs w:val="27"/>
          <w:color w:val="auto"/>
        </w:rPr>
        <w:t>≤</w:t>
      </w:r>
      <w:r>
        <w:rPr>
          <w:rFonts w:ascii="Arial" w:cs="Arial" w:eastAsia="Arial" w:hAnsi="Arial"/>
          <w:sz w:val="27"/>
          <w:szCs w:val="27"/>
          <w:color w:val="auto"/>
        </w:rPr>
        <w:t>1,8</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или его снижение на </w:t>
      </w:r>
      <w:r>
        <w:rPr>
          <w:rFonts w:ascii="Times New Roman" w:cs="Times New Roman" w:eastAsia="Times New Roman" w:hAnsi="Times New Roman"/>
          <w:sz w:val="27"/>
          <w:szCs w:val="27"/>
          <w:color w:val="auto"/>
        </w:rPr>
        <w:t>≥</w:t>
      </w:r>
      <w:r>
        <w:rPr>
          <w:rFonts w:ascii="Arial" w:cs="Arial" w:eastAsia="Arial" w:hAnsi="Arial"/>
          <w:sz w:val="27"/>
          <w:szCs w:val="27"/>
          <w:color w:val="auto"/>
        </w:rPr>
        <w:t>50%</w:t>
      </w:r>
      <w:r>
        <w:rPr>
          <w:rFonts w:ascii="Arial" w:cs="Arial" w:eastAsia="Arial" w:hAnsi="Arial"/>
          <w:sz w:val="27"/>
          <w:szCs w:val="27"/>
          <w:color w:val="auto"/>
        </w:rPr>
        <w:t xml:space="preserve"> от исходного </w:t>
      </w:r>
      <w:r>
        <w:rPr>
          <w:rFonts w:ascii="Arial" w:cs="Arial" w:eastAsia="Arial" w:hAnsi="Arial"/>
          <w:sz w:val="27"/>
          <w:szCs w:val="27"/>
          <w:color w:val="auto"/>
        </w:rPr>
        <w:t>[266, 267].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-709930</wp:posOffset>
            </wp:positionV>
            <wp:extent cx="82550" cy="82550"/>
            <wp:wrapNone/>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1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7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В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1"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У пациентов с низким риском можно</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рассмотреть назначение статинов для достижения целевого ХС</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ЛНП </w:t>
      </w:r>
      <w:r>
        <w:rPr>
          <w:rFonts w:ascii="Times New Roman" w:cs="Times New Roman" w:eastAsia="Times New Roman" w:hAnsi="Times New Roman"/>
          <w:sz w:val="27"/>
          <w:szCs w:val="27"/>
          <w:i w:val="1"/>
          <w:iCs w:val="1"/>
          <w:color w:val="auto"/>
        </w:rPr>
        <w:t>≤</w:t>
      </w:r>
      <w:r>
        <w:rPr>
          <w:rFonts w:ascii="Arial" w:cs="Arial" w:eastAsia="Arial" w:hAnsi="Arial"/>
          <w:sz w:val="27"/>
          <w:szCs w:val="27"/>
          <w:b w:val="1"/>
          <w:bCs w:val="1"/>
          <w:i w:val="1"/>
          <w:iCs w:val="1"/>
          <w:color w:val="auto"/>
        </w:rPr>
        <w:t>3,0</w:t>
      </w:r>
      <w:r>
        <w:rPr>
          <w:rFonts w:ascii="Arial" w:cs="Arial" w:eastAsia="Arial" w:hAnsi="Arial"/>
          <w:sz w:val="27"/>
          <w:szCs w:val="27"/>
          <w:b w:val="1"/>
          <w:bCs w:val="1"/>
          <w:i w:val="1"/>
          <w:iCs w:val="1"/>
          <w:color w:val="auto"/>
        </w:rPr>
        <w:t xml:space="preserve"> ммоль</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л</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У пациентов с умеренным риском можно рассмотреть назначение статинов для достижения целевого ХС</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ЛНП </w:t>
      </w:r>
      <w:r>
        <w:rPr>
          <w:rFonts w:ascii="Times New Roman" w:cs="Times New Roman" w:eastAsia="Times New Roman" w:hAnsi="Times New Roman"/>
          <w:sz w:val="27"/>
          <w:szCs w:val="27"/>
          <w:i w:val="1"/>
          <w:iCs w:val="1"/>
          <w:color w:val="auto"/>
        </w:rPr>
        <w:t>≤</w:t>
      </w:r>
      <w:r>
        <w:rPr>
          <w:rFonts w:ascii="Arial" w:cs="Arial" w:eastAsia="Arial" w:hAnsi="Arial"/>
          <w:sz w:val="27"/>
          <w:szCs w:val="27"/>
          <w:b w:val="1"/>
          <w:bCs w:val="1"/>
          <w:i w:val="1"/>
          <w:iCs w:val="1"/>
          <w:color w:val="auto"/>
        </w:rPr>
        <w:t>2,6</w:t>
      </w:r>
      <w:r>
        <w:rPr>
          <w:rFonts w:ascii="Arial" w:cs="Arial" w:eastAsia="Arial" w:hAnsi="Arial"/>
          <w:sz w:val="27"/>
          <w:szCs w:val="27"/>
          <w:b w:val="1"/>
          <w:bCs w:val="1"/>
          <w:i w:val="1"/>
          <w:iCs w:val="1"/>
          <w:color w:val="auto"/>
        </w:rPr>
        <w:t xml:space="preserve"> ммоль</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л</w:t>
      </w:r>
      <w:r>
        <w:rPr>
          <w:rFonts w:ascii="Arial" w:cs="Arial" w:eastAsia="Arial" w:hAnsi="Arial"/>
          <w:sz w:val="27"/>
          <w:szCs w:val="27"/>
          <w:b w:val="1"/>
          <w:bCs w:val="1"/>
          <w:i w:val="1"/>
          <w:iCs w:val="1"/>
          <w:color w:val="auto"/>
        </w:rPr>
        <w:t>.</w:t>
      </w:r>
    </w:p>
    <w:p>
      <w:pPr>
        <w:spacing w:after="0" w:line="20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Пациентам с АГ с целью вторичной профилактики СС событий рекомендуется назначение ацетилсалициловой кислоты в низких дозах </w:t>
      </w:r>
      <w:r>
        <w:rPr>
          <w:rFonts w:ascii="Arial" w:cs="Arial" w:eastAsia="Arial" w:hAnsi="Arial"/>
          <w:sz w:val="27"/>
          <w:szCs w:val="27"/>
          <w:color w:val="auto"/>
        </w:rPr>
        <w:t>[268].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1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 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АГ не рекомендуется назначение ацетилсалициловой кислоты с целью первичной профилактики при отсутствии ССЗ в связи с недоказанными преимуществами данного вмешательства в отношении снижения СС риска </w:t>
      </w:r>
      <w:r>
        <w:rPr>
          <w:rFonts w:ascii="Arial" w:cs="Arial" w:eastAsia="Arial" w:hAnsi="Arial"/>
          <w:sz w:val="27"/>
          <w:szCs w:val="27"/>
          <w:color w:val="auto"/>
        </w:rPr>
        <w:t>[268].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1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75" w:name="page76"/>
    <w:bookmarkEnd w:id="75"/>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IIIA (</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200" w:lineRule="exact"/>
        <w:rPr>
          <w:sz w:val="20"/>
          <w:szCs w:val="20"/>
          <w:color w:val="auto"/>
        </w:rPr>
      </w:pPr>
    </w:p>
    <w:p>
      <w:pPr>
        <w:spacing w:after="0" w:line="200" w:lineRule="exact"/>
        <w:rPr>
          <w:sz w:val="20"/>
          <w:szCs w:val="20"/>
          <w:color w:val="auto"/>
        </w:rPr>
      </w:pPr>
    </w:p>
    <w:p>
      <w:pPr>
        <w:spacing w:after="0" w:line="332" w:lineRule="exact"/>
        <w:rPr>
          <w:sz w:val="20"/>
          <w:szCs w:val="20"/>
          <w:color w:val="auto"/>
        </w:rPr>
      </w:pPr>
    </w:p>
    <w:p>
      <w:pPr>
        <w:ind w:left="360" w:right="1360" w:firstLine="1"/>
        <w:spacing w:after="0" w:line="231" w:lineRule="auto"/>
        <w:tabs>
          <w:tab w:leader="none" w:pos="903" w:val="left"/>
        </w:tabs>
        <w:numPr>
          <w:ilvl w:val="0"/>
          <w:numId w:val="53"/>
        </w:numPr>
        <w:rPr>
          <w:rFonts w:ascii="Arial" w:cs="Arial" w:eastAsia="Arial" w:hAnsi="Arial"/>
          <w:sz w:val="48"/>
          <w:szCs w:val="48"/>
          <w:b w:val="1"/>
          <w:bCs w:val="1"/>
          <w:color w:val="auto"/>
        </w:rPr>
      </w:pPr>
      <w:r>
        <w:rPr>
          <w:rFonts w:ascii="Arial" w:cs="Arial" w:eastAsia="Arial" w:hAnsi="Arial"/>
          <w:sz w:val="48"/>
          <w:szCs w:val="48"/>
          <w:b w:val="1"/>
          <w:bCs w:val="1"/>
          <w:color w:val="auto"/>
        </w:rPr>
        <w:t>Неотложные состояния при артериальной гипертензии</w:t>
      </w:r>
      <w:r>
        <w:rPr>
          <w:rFonts w:ascii="Arial" w:cs="Arial" w:eastAsia="Arial" w:hAnsi="Arial"/>
          <w:sz w:val="48"/>
          <w:szCs w:val="48"/>
          <w:b w:val="1"/>
          <w:bCs w:val="1"/>
          <w:color w:val="auto"/>
        </w:rPr>
        <w:t>:</w:t>
      </w:r>
      <w:r>
        <w:rPr>
          <w:rFonts w:ascii="Arial" w:cs="Arial" w:eastAsia="Arial" w:hAnsi="Arial"/>
          <w:sz w:val="48"/>
          <w:szCs w:val="48"/>
          <w:b w:val="1"/>
          <w:bCs w:val="1"/>
          <w:color w:val="auto"/>
        </w:rPr>
        <w:t xml:space="preserve"> гипертонический криз</w:t>
      </w:r>
    </w:p>
    <w:p>
      <w:pPr>
        <w:spacing w:after="0" w:line="395"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 xml:space="preserve">Гипертонический криз </w:t>
      </w:r>
      <w:r>
        <w:rPr>
          <w:rFonts w:ascii="Arial" w:cs="Arial" w:eastAsia="Arial" w:hAnsi="Arial"/>
          <w:sz w:val="27"/>
          <w:szCs w:val="27"/>
          <w:color w:val="auto"/>
        </w:rPr>
        <w:t>(</w:t>
      </w:r>
      <w:r>
        <w:rPr>
          <w:rFonts w:ascii="Arial" w:cs="Arial" w:eastAsia="Arial" w:hAnsi="Arial"/>
          <w:sz w:val="27"/>
          <w:szCs w:val="27"/>
          <w:color w:val="auto"/>
        </w:rPr>
        <w:t>ГК</w:t>
      </w:r>
      <w:r>
        <w:rPr>
          <w:rFonts w:ascii="Arial" w:cs="Arial" w:eastAsia="Arial" w:hAnsi="Arial"/>
          <w:sz w:val="27"/>
          <w:szCs w:val="27"/>
          <w:color w:val="auto"/>
        </w:rPr>
        <w:t>) — c</w:t>
      </w:r>
      <w:r>
        <w:rPr>
          <w:rFonts w:ascii="Arial" w:cs="Arial" w:eastAsia="Arial" w:hAnsi="Arial"/>
          <w:sz w:val="27"/>
          <w:szCs w:val="27"/>
          <w:color w:val="auto"/>
        </w:rPr>
        <w:t>остояние</w:t>
      </w:r>
      <w:r>
        <w:rPr>
          <w:rFonts w:ascii="Arial" w:cs="Arial" w:eastAsia="Arial" w:hAnsi="Arial"/>
          <w:sz w:val="27"/>
          <w:szCs w:val="27"/>
          <w:color w:val="auto"/>
        </w:rPr>
        <w:t>,</w:t>
      </w:r>
      <w:r>
        <w:rPr>
          <w:rFonts w:ascii="Arial" w:cs="Arial" w:eastAsia="Arial" w:hAnsi="Arial"/>
          <w:sz w:val="27"/>
          <w:szCs w:val="27"/>
          <w:color w:val="auto"/>
        </w:rPr>
        <w:t xml:space="preserve"> при котором значительное повышение АД </w:t>
      </w:r>
      <w:r>
        <w:rPr>
          <w:rFonts w:ascii="Arial" w:cs="Arial" w:eastAsia="Arial" w:hAnsi="Arial"/>
          <w:sz w:val="27"/>
          <w:szCs w:val="27"/>
          <w:color w:val="auto"/>
        </w:rPr>
        <w:t>(</w:t>
      </w:r>
      <w:r>
        <w:rPr>
          <w:rFonts w:ascii="Arial" w:cs="Arial" w:eastAsia="Arial" w:hAnsi="Arial"/>
          <w:sz w:val="27"/>
          <w:szCs w:val="27"/>
          <w:color w:val="auto"/>
        </w:rPr>
        <w:t xml:space="preserve">до </w:t>
      </w:r>
      <w:r>
        <w:rPr>
          <w:rFonts w:ascii="Arial" w:cs="Arial" w:eastAsia="Arial" w:hAnsi="Arial"/>
          <w:sz w:val="27"/>
          <w:szCs w:val="27"/>
          <w:color w:val="auto"/>
        </w:rPr>
        <w:t>3</w:t>
      </w:r>
      <w:r>
        <w:rPr>
          <w:rFonts w:ascii="Arial" w:cs="Arial" w:eastAsia="Arial" w:hAnsi="Arial"/>
          <w:sz w:val="27"/>
          <w:szCs w:val="27"/>
          <w:color w:val="auto"/>
        </w:rPr>
        <w:t xml:space="preserve"> степени</w:t>
      </w:r>
      <w:r>
        <w:rPr>
          <w:rFonts w:ascii="Arial" w:cs="Arial" w:eastAsia="Arial" w:hAnsi="Arial"/>
          <w:sz w:val="27"/>
          <w:szCs w:val="27"/>
          <w:color w:val="auto"/>
        </w:rPr>
        <w:t>)</w:t>
      </w:r>
      <w:r>
        <w:rPr>
          <w:rFonts w:ascii="Arial" w:cs="Arial" w:eastAsia="Arial" w:hAnsi="Arial"/>
          <w:sz w:val="27"/>
          <w:szCs w:val="27"/>
          <w:color w:val="auto"/>
        </w:rPr>
        <w:t xml:space="preserve"> ассоциируется с</w:t>
      </w:r>
    </w:p>
    <w:p>
      <w:pPr>
        <w:spacing w:after="0" w:line="2" w:lineRule="exact"/>
        <w:rPr>
          <w:sz w:val="20"/>
          <w:szCs w:val="20"/>
          <w:color w:val="auto"/>
        </w:rPr>
      </w:pPr>
    </w:p>
    <w:p>
      <w:pPr>
        <w:ind w:left="680"/>
        <w:spacing w:after="0"/>
        <w:tabs>
          <w:tab w:leader="none" w:pos="2320" w:val="left"/>
          <w:tab w:leader="none" w:pos="4640" w:val="left"/>
          <w:tab w:leader="none" w:pos="7760" w:val="left"/>
        </w:tabs>
        <w:rPr>
          <w:sz w:val="20"/>
          <w:szCs w:val="20"/>
          <w:color w:val="auto"/>
        </w:rPr>
      </w:pPr>
      <w:r>
        <w:rPr>
          <w:rFonts w:ascii="Arial" w:cs="Arial" w:eastAsia="Arial" w:hAnsi="Arial"/>
          <w:sz w:val="27"/>
          <w:szCs w:val="27"/>
          <w:color w:val="auto"/>
        </w:rPr>
        <w:t>острым</w:t>
      </w:r>
      <w:r>
        <w:rPr>
          <w:sz w:val="20"/>
          <w:szCs w:val="20"/>
          <w:color w:val="auto"/>
        </w:rPr>
        <w:tab/>
      </w:r>
      <w:r>
        <w:rPr>
          <w:rFonts w:ascii="Arial" w:cs="Arial" w:eastAsia="Arial" w:hAnsi="Arial"/>
          <w:sz w:val="27"/>
          <w:szCs w:val="27"/>
          <w:color w:val="auto"/>
        </w:rPr>
        <w:t>поражением</w:t>
      </w:r>
      <w:r>
        <w:rPr>
          <w:sz w:val="20"/>
          <w:szCs w:val="20"/>
          <w:color w:val="auto"/>
        </w:rPr>
        <w:tab/>
      </w:r>
      <w:r>
        <w:rPr>
          <w:rFonts w:ascii="Arial" w:cs="Arial" w:eastAsia="Arial" w:hAnsi="Arial"/>
          <w:sz w:val="27"/>
          <w:szCs w:val="27"/>
          <w:color w:val="auto"/>
        </w:rPr>
        <w:t>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r>
        <w:rPr>
          <w:sz w:val="20"/>
          <w:szCs w:val="20"/>
          <w:color w:val="auto"/>
        </w:rPr>
        <w:tab/>
      </w:r>
      <w:r>
        <w:rPr>
          <w:rFonts w:ascii="Arial" w:cs="Arial" w:eastAsia="Arial" w:hAnsi="Arial"/>
          <w:sz w:val="26"/>
          <w:szCs w:val="26"/>
          <w:color w:val="auto"/>
        </w:rPr>
        <w:t>нередко</w:t>
      </w:r>
    </w:p>
    <w:p>
      <w:pPr>
        <w:spacing w:after="0" w:line="8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жизнеугрожающим</w:t>
      </w:r>
      <w:r>
        <w:rPr>
          <w:rFonts w:ascii="Arial" w:cs="Arial" w:eastAsia="Arial" w:hAnsi="Arial"/>
          <w:sz w:val="27"/>
          <w:szCs w:val="27"/>
          <w:color w:val="auto"/>
        </w:rPr>
        <w:t>,</w:t>
      </w:r>
      <w:r>
        <w:rPr>
          <w:rFonts w:ascii="Arial" w:cs="Arial" w:eastAsia="Arial" w:hAnsi="Arial"/>
          <w:sz w:val="27"/>
          <w:szCs w:val="27"/>
          <w:color w:val="auto"/>
        </w:rPr>
        <w:t xml:space="preserve"> требующее немедленных квалифицированных действий</w:t>
      </w:r>
      <w:r>
        <w:rPr>
          <w:rFonts w:ascii="Arial" w:cs="Arial" w:eastAsia="Arial" w:hAnsi="Arial"/>
          <w:sz w:val="27"/>
          <w:szCs w:val="27"/>
          <w:color w:val="auto"/>
        </w:rPr>
        <w:t>,</w:t>
      </w:r>
      <w:r>
        <w:rPr>
          <w:rFonts w:ascii="Arial" w:cs="Arial" w:eastAsia="Arial" w:hAnsi="Arial"/>
          <w:sz w:val="27"/>
          <w:szCs w:val="27"/>
          <w:color w:val="auto"/>
        </w:rPr>
        <w:t xml:space="preserve"> направленных на снижение АД</w:t>
      </w:r>
      <w:r>
        <w:rPr>
          <w:rFonts w:ascii="Arial" w:cs="Arial" w:eastAsia="Arial" w:hAnsi="Arial"/>
          <w:sz w:val="27"/>
          <w:szCs w:val="27"/>
          <w:color w:val="auto"/>
        </w:rPr>
        <w:t>,</w:t>
      </w:r>
      <w:r>
        <w:rPr>
          <w:rFonts w:ascii="Arial" w:cs="Arial" w:eastAsia="Arial" w:hAnsi="Arial"/>
          <w:sz w:val="27"/>
          <w:szCs w:val="27"/>
          <w:color w:val="auto"/>
        </w:rPr>
        <w:t xml:space="preserve"> обычно с помощью внутривенной терапии </w:t>
      </w:r>
      <w:r>
        <w:rPr>
          <w:rFonts w:ascii="Arial" w:cs="Arial" w:eastAsia="Arial" w:hAnsi="Arial"/>
          <w:sz w:val="27"/>
          <w:szCs w:val="27"/>
          <w:color w:val="auto"/>
        </w:rPr>
        <w:t>[269].</w:t>
      </w:r>
      <w:r>
        <w:rPr>
          <w:rFonts w:ascii="Arial" w:cs="Arial" w:eastAsia="Arial" w:hAnsi="Arial"/>
          <w:sz w:val="27"/>
          <w:szCs w:val="27"/>
          <w:color w:val="auto"/>
        </w:rPr>
        <w:t xml:space="preserve"> При определении тяжести поражения органов скорость и степень повышения АД могут быть так же важны</w:t>
      </w:r>
      <w:r>
        <w:rPr>
          <w:rFonts w:ascii="Arial" w:cs="Arial" w:eastAsia="Arial" w:hAnsi="Arial"/>
          <w:sz w:val="27"/>
          <w:szCs w:val="27"/>
          <w:color w:val="auto"/>
        </w:rPr>
        <w:t>,</w:t>
      </w:r>
      <w:r>
        <w:rPr>
          <w:rFonts w:ascii="Arial" w:cs="Arial" w:eastAsia="Arial" w:hAnsi="Arial"/>
          <w:sz w:val="27"/>
          <w:szCs w:val="27"/>
          <w:color w:val="auto"/>
        </w:rPr>
        <w:t xml:space="preserve"> как и абсолютный уровень АД </w:t>
      </w:r>
      <w:r>
        <w:rPr>
          <w:rFonts w:ascii="Arial" w:cs="Arial" w:eastAsia="Arial" w:hAnsi="Arial"/>
          <w:sz w:val="27"/>
          <w:szCs w:val="27"/>
          <w:color w:val="auto"/>
        </w:rPr>
        <w:t>[270].</w:t>
      </w:r>
      <w:r>
        <w:rPr>
          <w:rFonts w:ascii="Arial" w:cs="Arial" w:eastAsia="Arial" w:hAnsi="Arial"/>
          <w:sz w:val="27"/>
          <w:szCs w:val="27"/>
          <w:color w:val="auto"/>
        </w:rPr>
        <w:t xml:space="preserve"> Можно выделить следующие типичные проявления гипертонических кризов</w:t>
      </w:r>
      <w:r>
        <w:rPr>
          <w:rFonts w:ascii="Arial" w:cs="Arial" w:eastAsia="Arial" w:hAnsi="Arial"/>
          <w:sz w:val="27"/>
          <w:szCs w:val="27"/>
          <w:color w:val="auto"/>
        </w:rPr>
        <w:t>:</w:t>
      </w:r>
    </w:p>
    <w:p>
      <w:pPr>
        <w:spacing w:after="0" w:line="221"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Пациенты со злокачественной АГ</w:t>
      </w:r>
      <w:r>
        <w:rPr>
          <w:rFonts w:ascii="Arial" w:cs="Arial" w:eastAsia="Arial" w:hAnsi="Arial"/>
          <w:sz w:val="27"/>
          <w:szCs w:val="27"/>
          <w:color w:val="auto"/>
        </w:rPr>
        <w:t>:</w:t>
      </w:r>
      <w:r>
        <w:rPr>
          <w:rFonts w:ascii="Arial" w:cs="Arial" w:eastAsia="Arial" w:hAnsi="Arial"/>
          <w:sz w:val="27"/>
          <w:szCs w:val="27"/>
          <w:color w:val="auto"/>
        </w:rPr>
        <w:t xml:space="preserve"> тяжелая АГ </w:t>
      </w:r>
      <w:r>
        <w:rPr>
          <w:rFonts w:ascii="Arial" w:cs="Arial" w:eastAsia="Arial" w:hAnsi="Arial"/>
          <w:sz w:val="27"/>
          <w:szCs w:val="27"/>
          <w:color w:val="auto"/>
        </w:rPr>
        <w:t>(</w:t>
      </w:r>
      <w:r>
        <w:rPr>
          <w:rFonts w:ascii="Arial" w:cs="Arial" w:eastAsia="Arial" w:hAnsi="Arial"/>
          <w:sz w:val="27"/>
          <w:szCs w:val="27"/>
          <w:color w:val="auto"/>
        </w:rPr>
        <w:t xml:space="preserve">чаще </w:t>
      </w:r>
      <w:r>
        <w:rPr>
          <w:rFonts w:ascii="Arial" w:cs="Arial" w:eastAsia="Arial" w:hAnsi="Arial"/>
          <w:sz w:val="27"/>
          <w:szCs w:val="27"/>
          <w:color w:val="auto"/>
        </w:rPr>
        <w:t>3-</w:t>
      </w:r>
      <w:r>
        <w:rPr>
          <w:rFonts w:ascii="Arial" w:cs="Arial" w:eastAsia="Arial" w:hAnsi="Arial"/>
          <w:sz w:val="27"/>
          <w:szCs w:val="27"/>
          <w:color w:val="auto"/>
        </w:rPr>
        <w:t>й степени</w:t>
      </w:r>
      <w:r>
        <w:rPr>
          <w:rFonts w:ascii="Arial" w:cs="Arial" w:eastAsia="Arial" w:hAnsi="Arial"/>
          <w:sz w:val="27"/>
          <w:szCs w:val="27"/>
          <w:color w:val="auto"/>
        </w:rPr>
        <w:t>)</w:t>
      </w:r>
      <w:r>
        <w:rPr>
          <w:rFonts w:ascii="Arial" w:cs="Arial" w:eastAsia="Arial" w:hAnsi="Arial"/>
          <w:sz w:val="27"/>
          <w:szCs w:val="27"/>
          <w:color w:val="auto"/>
        </w:rPr>
        <w:t xml:space="preserve"> ассоциируется с изменениями на глазном дне </w:t>
      </w:r>
      <w:r>
        <w:rPr>
          <w:rFonts w:ascii="Arial" w:cs="Arial" w:eastAsia="Arial" w:hAnsi="Arial"/>
          <w:sz w:val="27"/>
          <w:szCs w:val="27"/>
          <w:color w:val="auto"/>
        </w:rPr>
        <w:t>(</w:t>
      </w:r>
      <w:r>
        <w:rPr>
          <w:rFonts w:ascii="Arial" w:cs="Arial" w:eastAsia="Arial" w:hAnsi="Arial"/>
          <w:sz w:val="27"/>
          <w:szCs w:val="27"/>
          <w:color w:val="auto"/>
        </w:rPr>
        <w:t>кровоизлияния и</w:t>
      </w:r>
      <w:r>
        <w:rPr>
          <w:rFonts w:ascii="Arial" w:cs="Arial" w:eastAsia="Arial" w:hAnsi="Arial"/>
          <w:sz w:val="27"/>
          <w:szCs w:val="27"/>
          <w:color w:val="auto"/>
        </w:rPr>
        <w:t>/</w:t>
      </w:r>
      <w:r>
        <w:rPr>
          <w:rFonts w:ascii="Arial" w:cs="Arial" w:eastAsia="Arial" w:hAnsi="Arial"/>
          <w:sz w:val="27"/>
          <w:szCs w:val="27"/>
          <w:color w:val="auto"/>
        </w:rPr>
        <w:t>или отек соска зрительного нерва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-661670</wp:posOffset>
            </wp:positionV>
            <wp:extent cx="82550" cy="8255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1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микроангиопатией и диссеминированным внутрисусосудистым свертыванием</w:t>
      </w:r>
      <w:r>
        <w:rPr>
          <w:rFonts w:ascii="Arial" w:cs="Arial" w:eastAsia="Arial" w:hAnsi="Arial"/>
          <w:sz w:val="27"/>
          <w:szCs w:val="27"/>
          <w:color w:val="auto"/>
        </w:rPr>
        <w:t>.</w:t>
      </w:r>
      <w:r>
        <w:rPr>
          <w:rFonts w:ascii="Arial" w:cs="Arial" w:eastAsia="Arial" w:hAnsi="Arial"/>
          <w:sz w:val="27"/>
          <w:szCs w:val="27"/>
          <w:color w:val="auto"/>
        </w:rPr>
        <w:t xml:space="preserve"> Может приводить к энцефалопатии </w:t>
      </w:r>
      <w:r>
        <w:rPr>
          <w:rFonts w:ascii="Arial" w:cs="Arial" w:eastAsia="Arial" w:hAnsi="Arial"/>
          <w:sz w:val="27"/>
          <w:szCs w:val="27"/>
          <w:color w:val="auto"/>
        </w:rPr>
        <w:t>(</w:t>
      </w:r>
      <w:r>
        <w:rPr>
          <w:rFonts w:ascii="Arial" w:cs="Arial" w:eastAsia="Arial" w:hAnsi="Arial"/>
          <w:sz w:val="27"/>
          <w:szCs w:val="27"/>
          <w:color w:val="auto"/>
        </w:rPr>
        <w:t xml:space="preserve">примерно в </w:t>
      </w:r>
      <w:r>
        <w:rPr>
          <w:rFonts w:ascii="Arial" w:cs="Arial" w:eastAsia="Arial" w:hAnsi="Arial"/>
          <w:sz w:val="27"/>
          <w:szCs w:val="27"/>
          <w:color w:val="auto"/>
        </w:rPr>
        <w:t>15%</w:t>
      </w:r>
      <w:r>
        <w:rPr>
          <w:rFonts w:ascii="Arial" w:cs="Arial" w:eastAsia="Arial" w:hAnsi="Arial"/>
          <w:sz w:val="27"/>
          <w:szCs w:val="27"/>
          <w:color w:val="auto"/>
        </w:rPr>
        <w:t xml:space="preserve"> случаев</w:t>
      </w:r>
      <w:r>
        <w:rPr>
          <w:rFonts w:ascii="Arial" w:cs="Arial" w:eastAsia="Arial" w:hAnsi="Arial"/>
          <w:sz w:val="27"/>
          <w:szCs w:val="27"/>
          <w:color w:val="auto"/>
        </w:rPr>
        <w:t>) [271],</w:t>
      </w:r>
      <w:r>
        <w:rPr>
          <w:rFonts w:ascii="Arial" w:cs="Arial" w:eastAsia="Arial" w:hAnsi="Arial"/>
          <w:sz w:val="27"/>
          <w:szCs w:val="27"/>
          <w:color w:val="auto"/>
        </w:rPr>
        <w:t xml:space="preserve"> ОСН</w:t>
      </w:r>
      <w:r>
        <w:rPr>
          <w:rFonts w:ascii="Arial" w:cs="Arial" w:eastAsia="Arial" w:hAnsi="Arial"/>
          <w:sz w:val="27"/>
          <w:szCs w:val="27"/>
          <w:color w:val="auto"/>
        </w:rPr>
        <w:t>,</w:t>
      </w:r>
      <w:r>
        <w:rPr>
          <w:rFonts w:ascii="Arial" w:cs="Arial" w:eastAsia="Arial" w:hAnsi="Arial"/>
          <w:sz w:val="27"/>
          <w:szCs w:val="27"/>
          <w:color w:val="auto"/>
        </w:rPr>
        <w:t xml:space="preserve"> острому ухудшению функции почек </w:t>
      </w:r>
      <w:r>
        <w:rPr>
          <w:rFonts w:ascii="Arial" w:cs="Arial" w:eastAsia="Arial" w:hAnsi="Arial"/>
          <w:sz w:val="27"/>
          <w:szCs w:val="27"/>
          <w:color w:val="auto"/>
        </w:rPr>
        <w:t>[272–275].</w:t>
      </w:r>
    </w:p>
    <w:p>
      <w:pPr>
        <w:spacing w:after="0" w:line="3"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Пациенты с тяжелой АГ</w:t>
      </w:r>
      <w:r>
        <w:rPr>
          <w:rFonts w:ascii="Arial" w:cs="Arial" w:eastAsia="Arial" w:hAnsi="Arial"/>
          <w:sz w:val="27"/>
          <w:szCs w:val="27"/>
          <w:color w:val="auto"/>
        </w:rPr>
        <w:t>,</w:t>
      </w:r>
      <w:r>
        <w:rPr>
          <w:rFonts w:ascii="Arial" w:cs="Arial" w:eastAsia="Arial" w:hAnsi="Arial"/>
          <w:sz w:val="27"/>
          <w:szCs w:val="27"/>
          <w:color w:val="auto"/>
        </w:rPr>
        <w:t xml:space="preserve"> ассоциированной с другими клиническими состояниями</w:t>
      </w:r>
      <w:r>
        <w:rPr>
          <w:rFonts w:ascii="Arial" w:cs="Arial" w:eastAsia="Arial" w:hAnsi="Arial"/>
          <w:sz w:val="27"/>
          <w:szCs w:val="27"/>
          <w:color w:val="auto"/>
        </w:rPr>
        <w:t>,</w:t>
      </w:r>
      <w:r>
        <w:rPr>
          <w:rFonts w:ascii="Arial" w:cs="Arial" w:eastAsia="Arial" w:hAnsi="Arial"/>
          <w:sz w:val="27"/>
          <w:szCs w:val="27"/>
          <w:color w:val="auto"/>
        </w:rPr>
        <w:t xml:space="preserve"> требующими неотложного снижения АД</w:t>
      </w:r>
      <w:r>
        <w:rPr>
          <w:rFonts w:ascii="Arial" w:cs="Arial" w:eastAsia="Arial" w:hAnsi="Arial"/>
          <w:sz w:val="27"/>
          <w:szCs w:val="27"/>
          <w:color w:val="auto"/>
        </w:rPr>
        <w:t>:</w:t>
      </w:r>
      <w:r>
        <w:rPr>
          <w:rFonts w:ascii="Arial" w:cs="Arial" w:eastAsia="Arial" w:hAnsi="Arial"/>
          <w:sz w:val="27"/>
          <w:szCs w:val="27"/>
          <w:color w:val="auto"/>
        </w:rPr>
        <w:t xml:space="preserve"> расслоение аорты</w:t>
      </w:r>
      <w:r>
        <w:rPr>
          <w:rFonts w:ascii="Arial" w:cs="Arial" w:eastAsia="Arial" w:hAnsi="Arial"/>
          <w:sz w:val="27"/>
          <w:szCs w:val="27"/>
          <w:color w:val="auto"/>
        </w:rPr>
        <w:t>,</w:t>
      </w:r>
      <w:r>
        <w:rPr>
          <w:rFonts w:ascii="Arial" w:cs="Arial" w:eastAsia="Arial" w:hAnsi="Arial"/>
          <w:sz w:val="27"/>
          <w:szCs w:val="27"/>
          <w:color w:val="auto"/>
        </w:rPr>
        <w:t xml:space="preserve"> острая ишемия миокарда</w:t>
      </w:r>
      <w:r>
        <w:rPr>
          <w:rFonts w:ascii="Arial" w:cs="Arial" w:eastAsia="Arial" w:hAnsi="Arial"/>
          <w:sz w:val="27"/>
          <w:szCs w:val="27"/>
          <w:color w:val="auto"/>
        </w:rPr>
        <w:t>,</w:t>
      </w:r>
      <w:r>
        <w:rPr>
          <w:rFonts w:ascii="Arial" w:cs="Arial" w:eastAsia="Arial" w:hAnsi="Arial"/>
          <w:sz w:val="27"/>
          <w:szCs w:val="27"/>
          <w:color w:val="auto"/>
        </w:rPr>
        <w:t xml:space="preserve"> ОСН</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1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220"/>
        <w:spacing w:after="0" w:line="317" w:lineRule="auto"/>
        <w:rPr>
          <w:sz w:val="20"/>
          <w:szCs w:val="20"/>
          <w:color w:val="auto"/>
        </w:rPr>
      </w:pPr>
      <w:r>
        <w:rPr>
          <w:rFonts w:ascii="Arial" w:cs="Arial" w:eastAsia="Arial" w:hAnsi="Arial"/>
          <w:sz w:val="27"/>
          <w:szCs w:val="27"/>
          <w:color w:val="auto"/>
        </w:rPr>
        <w:t>Пациенты с внезапным повышением АД на фоне феохромоцитомы</w:t>
      </w:r>
      <w:r>
        <w:rPr>
          <w:rFonts w:ascii="Arial" w:cs="Arial" w:eastAsia="Arial" w:hAnsi="Arial"/>
          <w:sz w:val="27"/>
          <w:szCs w:val="27"/>
          <w:color w:val="auto"/>
        </w:rPr>
        <w:t>,</w:t>
      </w:r>
      <w:r>
        <w:rPr>
          <w:rFonts w:ascii="Arial" w:cs="Arial" w:eastAsia="Arial" w:hAnsi="Arial"/>
          <w:sz w:val="27"/>
          <w:szCs w:val="27"/>
          <w:color w:val="auto"/>
        </w:rPr>
        <w:t xml:space="preserve"> ассоциированным с ПОМ Беременные с тяжелой АГ или преэклампсией</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19">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-205105</wp:posOffset>
            </wp:positionV>
            <wp:extent cx="82550" cy="82550"/>
            <wp:wrapNone/>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2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jc w:val="both"/>
        <w:ind w:left="680" w:right="220"/>
        <w:spacing w:after="0" w:line="300" w:lineRule="auto"/>
        <w:rPr>
          <w:sz w:val="20"/>
          <w:szCs w:val="20"/>
          <w:color w:val="auto"/>
        </w:rPr>
      </w:pPr>
      <w:r>
        <w:rPr>
          <w:rFonts w:ascii="Arial" w:cs="Arial" w:eastAsia="Arial" w:hAnsi="Arial"/>
          <w:sz w:val="27"/>
          <w:szCs w:val="27"/>
          <w:color w:val="auto"/>
        </w:rPr>
        <w:t xml:space="preserve">Ранее использовавшийся термин </w:t>
      </w:r>
      <w:r>
        <w:rPr>
          <w:rFonts w:ascii="Arial" w:cs="Arial" w:eastAsia="Arial" w:hAnsi="Arial"/>
          <w:sz w:val="27"/>
          <w:szCs w:val="27"/>
          <w:color w:val="auto"/>
        </w:rPr>
        <w:t>«</w:t>
      </w:r>
      <w:r>
        <w:rPr>
          <w:rFonts w:ascii="Arial" w:cs="Arial" w:eastAsia="Arial" w:hAnsi="Arial"/>
          <w:sz w:val="27"/>
          <w:szCs w:val="27"/>
          <w:color w:val="auto"/>
        </w:rPr>
        <w:t>неосложненный гипертонический криз</w:t>
      </w:r>
      <w:r>
        <w:rPr>
          <w:rFonts w:ascii="Arial" w:cs="Arial" w:eastAsia="Arial" w:hAnsi="Arial"/>
          <w:sz w:val="27"/>
          <w:szCs w:val="27"/>
          <w:color w:val="auto"/>
        </w:rPr>
        <w:t>»,</w:t>
      </w:r>
      <w:r>
        <w:rPr>
          <w:rFonts w:ascii="Arial" w:cs="Arial" w:eastAsia="Arial" w:hAnsi="Arial"/>
          <w:sz w:val="27"/>
          <w:szCs w:val="27"/>
          <w:color w:val="auto"/>
        </w:rPr>
        <w:t xml:space="preserve"> описывавший пациентов со значительным повышением АД</w:t>
      </w:r>
      <w:r>
        <w:rPr>
          <w:rFonts w:ascii="Arial" w:cs="Arial" w:eastAsia="Arial" w:hAnsi="Arial"/>
          <w:sz w:val="27"/>
          <w:szCs w:val="27"/>
          <w:color w:val="auto"/>
        </w:rPr>
        <w:t>,</w:t>
      </w:r>
      <w:r>
        <w:rPr>
          <w:rFonts w:ascii="Arial" w:cs="Arial" w:eastAsia="Arial" w:hAnsi="Arial"/>
          <w:sz w:val="27"/>
          <w:szCs w:val="27"/>
          <w:color w:val="auto"/>
        </w:rPr>
        <w:t xml:space="preserve"> но без признаков острых изменений в органах</w:t>
      </w:r>
      <w:r>
        <w:rPr>
          <w:rFonts w:ascii="Arial" w:cs="Arial" w:eastAsia="Arial" w:hAnsi="Arial"/>
          <w:sz w:val="27"/>
          <w:szCs w:val="27"/>
          <w:color w:val="auto"/>
        </w:rPr>
        <w:t>-</w:t>
      </w:r>
      <w:r>
        <w:rPr>
          <w:rFonts w:ascii="Arial" w:cs="Arial" w:eastAsia="Arial" w:hAnsi="Arial"/>
          <w:sz w:val="27"/>
          <w:szCs w:val="27"/>
          <w:color w:val="auto"/>
        </w:rPr>
        <w:t xml:space="preserve">мишенях </w:t>
      </w:r>
      <w:r>
        <w:rPr>
          <w:rFonts w:ascii="Arial" w:cs="Arial" w:eastAsia="Arial" w:hAnsi="Arial"/>
          <w:sz w:val="27"/>
          <w:szCs w:val="27"/>
          <w:color w:val="auto"/>
        </w:rPr>
        <w:t>[276],</w:t>
      </w:r>
      <w:r>
        <w:rPr>
          <w:rFonts w:ascii="Arial" w:cs="Arial" w:eastAsia="Arial" w:hAnsi="Arial"/>
          <w:sz w:val="27"/>
          <w:szCs w:val="27"/>
          <w:color w:val="auto"/>
        </w:rPr>
        <w:t xml:space="preserve"> в настоящее время не рекомендован к использованию</w:t>
      </w:r>
      <w:r>
        <w:rPr>
          <w:rFonts w:ascii="Arial" w:cs="Arial" w:eastAsia="Arial" w:hAnsi="Arial"/>
          <w:sz w:val="27"/>
          <w:szCs w:val="27"/>
          <w:color w:val="auto"/>
        </w:rPr>
        <w:t>.</w:t>
      </w:r>
      <w:r>
        <w:rPr>
          <w:rFonts w:ascii="Arial" w:cs="Arial" w:eastAsia="Arial" w:hAnsi="Arial"/>
          <w:sz w:val="27"/>
          <w:szCs w:val="27"/>
          <w:color w:val="auto"/>
        </w:rPr>
        <w:t xml:space="preserve"> В данной группе пациентов снижение АД обычно может проводиться в амбулаторных условиях</w:t>
      </w:r>
      <w:r>
        <w:rPr>
          <w:rFonts w:ascii="Arial" w:cs="Arial" w:eastAsia="Arial" w:hAnsi="Arial"/>
          <w:sz w:val="27"/>
          <w:szCs w:val="27"/>
          <w:color w:val="auto"/>
        </w:rPr>
        <w:t>,</w:t>
      </w:r>
      <w:r>
        <w:rPr>
          <w:rFonts w:ascii="Arial" w:cs="Arial" w:eastAsia="Arial" w:hAnsi="Arial"/>
          <w:sz w:val="27"/>
          <w:szCs w:val="27"/>
          <w:color w:val="auto"/>
        </w:rPr>
        <w:t xml:space="preserve"> чаще всего путем назначения пероральной терапии в соответствии со стандартным алгоритмом</w:t>
      </w:r>
      <w:r>
        <w:rPr>
          <w:rFonts w:ascii="Arial" w:cs="Arial" w:eastAsia="Arial" w:hAnsi="Arial"/>
          <w:sz w:val="27"/>
          <w:szCs w:val="27"/>
          <w:color w:val="auto"/>
        </w:rPr>
        <w:t>,</w:t>
      </w:r>
      <w:r>
        <w:rPr>
          <w:rFonts w:ascii="Arial" w:cs="Arial" w:eastAsia="Arial" w:hAnsi="Arial"/>
          <w:sz w:val="27"/>
          <w:szCs w:val="27"/>
          <w:color w:val="auto"/>
        </w:rPr>
        <w:t xml:space="preserve"> представленным выше</w:t>
      </w:r>
      <w:r>
        <w:rPr>
          <w:rFonts w:ascii="Arial" w:cs="Arial" w:eastAsia="Arial" w:hAnsi="Arial"/>
          <w:sz w:val="27"/>
          <w:szCs w:val="27"/>
          <w:color w:val="auto"/>
        </w:rPr>
        <w:t>.</w:t>
      </w:r>
      <w:r>
        <w:rPr>
          <w:rFonts w:ascii="Arial" w:cs="Arial" w:eastAsia="Arial" w:hAnsi="Arial"/>
          <w:sz w:val="27"/>
          <w:szCs w:val="27"/>
          <w:color w:val="auto"/>
        </w:rPr>
        <w:t xml:space="preserve"> У этих пациентов необходимо проводить строгий контроль цифр АД до достижения целевых значений</w:t>
      </w:r>
      <w:r>
        <w:rPr>
          <w:rFonts w:ascii="Arial" w:cs="Arial" w:eastAsia="Arial" w:hAnsi="Arial"/>
          <w:sz w:val="27"/>
          <w:szCs w:val="27"/>
          <w:color w:val="auto"/>
        </w:rPr>
        <w:t>.</w:t>
      </w:r>
    </w:p>
    <w:p>
      <w:pPr>
        <w:sectPr>
          <w:pgSz w:w="11900" w:h="17036" w:orient="portrait"/>
          <w:cols w:equalWidth="0" w:num="1">
            <w:col w:w="9020"/>
          </w:cols>
          <w:pgMar w:left="1440" w:top="19" w:right="1440" w:bottom="0" w:gutter="0" w:footer="0" w:header="0"/>
        </w:sectPr>
      </w:pPr>
    </w:p>
    <w:bookmarkStart w:id="76" w:name="page77"/>
    <w:bookmarkEnd w:id="76"/>
    <w:p>
      <w:pPr>
        <w:jc w:val="both"/>
        <w:ind w:left="680" w:right="220"/>
        <w:spacing w:after="0" w:line="343" w:lineRule="auto"/>
        <w:rPr>
          <w:sz w:val="20"/>
          <w:szCs w:val="20"/>
          <w:color w:val="auto"/>
        </w:rPr>
      </w:pPr>
      <w:r>
        <w:rPr>
          <w:rFonts w:ascii="Arial" w:cs="Arial" w:eastAsia="Arial" w:hAnsi="Arial"/>
          <w:sz w:val="27"/>
          <w:szCs w:val="27"/>
          <w:color w:val="auto"/>
        </w:rPr>
        <w:t xml:space="preserve">Лечение пациентов с ГК рекомендуется проводить в отделении неотложной кардиологии или палате интенсивной терапии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-483235</wp:posOffset>
            </wp:positionV>
            <wp:extent cx="82550" cy="82550"/>
            <wp:wrapNone/>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2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33"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При наличии инсульта целесообразна</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безотлагательная госпитализация в палату интенсивной терапии неврологического отделения или нейрореанимацию сосудистого центра</w:t>
      </w:r>
      <w:r>
        <w:rPr>
          <w:rFonts w:ascii="Arial" w:cs="Arial" w:eastAsia="Arial" w:hAnsi="Arial"/>
          <w:sz w:val="27"/>
          <w:szCs w:val="27"/>
          <w:b w:val="1"/>
          <w:bCs w:val="1"/>
          <w:i w:val="1"/>
          <w:iCs w:val="1"/>
          <w:color w:val="auto"/>
        </w:rPr>
        <w:t>.</w:t>
      </w:r>
    </w:p>
    <w:p>
      <w:pPr>
        <w:spacing w:after="0" w:line="216"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Осмотр врачом</w:t>
      </w:r>
      <w:r>
        <w:rPr>
          <w:rFonts w:ascii="Arial" w:cs="Arial" w:eastAsia="Arial" w:hAnsi="Arial"/>
          <w:sz w:val="27"/>
          <w:szCs w:val="27"/>
          <w:color w:val="auto"/>
        </w:rPr>
        <w:t>-</w:t>
      </w:r>
      <w:r>
        <w:rPr>
          <w:rFonts w:ascii="Arial" w:cs="Arial" w:eastAsia="Arial" w:hAnsi="Arial"/>
          <w:sz w:val="27"/>
          <w:szCs w:val="27"/>
          <w:color w:val="auto"/>
        </w:rPr>
        <w:t>терапевтом или врачом</w:t>
      </w:r>
      <w:r>
        <w:rPr>
          <w:rFonts w:ascii="Arial" w:cs="Arial" w:eastAsia="Arial" w:hAnsi="Arial"/>
          <w:sz w:val="27"/>
          <w:szCs w:val="27"/>
          <w:color w:val="auto"/>
        </w:rPr>
        <w:t>-</w:t>
      </w:r>
      <w:r>
        <w:rPr>
          <w:rFonts w:ascii="Arial" w:cs="Arial" w:eastAsia="Arial" w:hAnsi="Arial"/>
          <w:sz w:val="27"/>
          <w:szCs w:val="27"/>
          <w:color w:val="auto"/>
        </w:rPr>
        <w:t xml:space="preserve">кардиологом рекомендуется проводить не позднее </w:t>
      </w:r>
      <w:r>
        <w:rPr>
          <w:rFonts w:ascii="Arial" w:cs="Arial" w:eastAsia="Arial" w:hAnsi="Arial"/>
          <w:sz w:val="27"/>
          <w:szCs w:val="27"/>
          <w:color w:val="auto"/>
        </w:rPr>
        <w:t>10</w:t>
      </w:r>
      <w:r>
        <w:rPr>
          <w:rFonts w:ascii="Arial" w:cs="Arial" w:eastAsia="Arial" w:hAnsi="Arial"/>
          <w:sz w:val="27"/>
          <w:szCs w:val="27"/>
          <w:color w:val="auto"/>
        </w:rPr>
        <w:t xml:space="preserve"> минут от момента поступления в стационар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ЭКГ рекомендуется проводить при ГК не позднее </w:t>
      </w:r>
      <w:r>
        <w:rPr>
          <w:rFonts w:ascii="Arial" w:cs="Arial" w:eastAsia="Arial" w:hAnsi="Arial"/>
          <w:sz w:val="27"/>
          <w:szCs w:val="27"/>
          <w:color w:val="auto"/>
        </w:rPr>
        <w:t>15</w:t>
      </w:r>
      <w:r>
        <w:rPr>
          <w:rFonts w:ascii="Arial" w:cs="Arial" w:eastAsia="Arial" w:hAnsi="Arial"/>
          <w:sz w:val="27"/>
          <w:szCs w:val="27"/>
          <w:color w:val="auto"/>
        </w:rPr>
        <w:t xml:space="preserve"> минут от момента поступления в стационар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2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Рутинное обследование при всех возможных</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вариантах криза включает фундоскопию</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ЭКГ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общий анализ крови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определение фибриногена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креатинина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рСКФ</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электролитов</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ЛДГ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гаптоглобин</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оценку альбуминурии и микроскопию осадка мочи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тест на беременность у женщин детородного возраста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Специфическое обследование по показаниям может включать определение тропонина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МВ</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КФК</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НУП</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рентгенографию органов грудной клетки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ЭХО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КГ</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КТ</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ангиографию аорты и ее ветвей</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КТ или МРТ головного мозга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УЗИ почек</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исследование мочи на наркотики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метамфетамины</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кокаин</w:t>
      </w:r>
      <w:r>
        <w:rPr>
          <w:rFonts w:ascii="Arial" w:cs="Arial" w:eastAsia="Arial" w:hAnsi="Arial"/>
          <w:sz w:val="26"/>
          <w:szCs w:val="26"/>
          <w:b w:val="1"/>
          <w:bCs w:val="1"/>
          <w:i w:val="1"/>
          <w:iCs w:val="1"/>
          <w:color w:val="auto"/>
        </w:rPr>
        <w:t>) [269].</w:t>
      </w:r>
    </w:p>
    <w:p>
      <w:pPr>
        <w:spacing w:after="0" w:line="218"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При ГК терапию антигипертензивными лекарственными препаратами внутривенно рекомендуется проводить не позднее </w:t>
      </w:r>
      <w:r>
        <w:rPr>
          <w:rFonts w:ascii="Arial" w:cs="Arial" w:eastAsia="Arial" w:hAnsi="Arial"/>
          <w:sz w:val="27"/>
          <w:szCs w:val="27"/>
          <w:color w:val="auto"/>
        </w:rPr>
        <w:t>15</w:t>
      </w:r>
      <w:r>
        <w:rPr>
          <w:rFonts w:ascii="Arial" w:cs="Arial" w:eastAsia="Arial" w:hAnsi="Arial"/>
          <w:sz w:val="27"/>
          <w:szCs w:val="27"/>
          <w:color w:val="auto"/>
        </w:rPr>
        <w:t xml:space="preserve"> минут от момента поступления в стационар </w:t>
      </w:r>
      <w:r>
        <w:rPr>
          <w:rFonts w:ascii="Arial" w:cs="Arial" w:eastAsia="Arial" w:hAnsi="Arial"/>
          <w:sz w:val="27"/>
          <w:szCs w:val="27"/>
          <w:color w:val="auto"/>
        </w:rPr>
        <w:t>[22,</w:t>
      </w:r>
      <w:r>
        <w:rPr>
          <w:rFonts w:ascii="Arial" w:cs="Arial" w:eastAsia="Arial" w:hAnsi="Arial"/>
          <w:sz w:val="27"/>
          <w:szCs w:val="27"/>
          <w:color w:val="auto"/>
        </w:rPr>
        <w:t xml:space="preserve"> </w:t>
      </w:r>
      <w:r>
        <w:rPr>
          <w:rFonts w:ascii="Arial" w:cs="Arial" w:eastAsia="Arial" w:hAnsi="Arial"/>
          <w:sz w:val="27"/>
          <w:szCs w:val="27"/>
          <w:color w:val="auto"/>
        </w:rPr>
        <w:t>278].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2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A,</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72"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При лечении гипертонического криза для</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своевременной коррекции терапии в соответствии с изменениями АД оптимальным представляется 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в назначение</w:t>
      </w:r>
    </w:p>
    <w:p>
      <w:pPr>
        <w:sectPr>
          <w:pgSz w:w="11900" w:h="16840" w:orient="portrait"/>
          <w:cols w:equalWidth="0" w:num="1">
            <w:col w:w="9020"/>
          </w:cols>
          <w:pgMar w:left="1440" w:top="19" w:right="1440" w:bottom="177" w:gutter="0" w:footer="0" w:header="0"/>
        </w:sectPr>
      </w:pPr>
    </w:p>
    <w:bookmarkStart w:id="77" w:name="page78"/>
    <w:bookmarkEnd w:id="77"/>
    <w:p>
      <w:pPr>
        <w:jc w:val="both"/>
        <w:ind w:left="680" w:right="220"/>
        <w:spacing w:after="0" w:line="334" w:lineRule="auto"/>
        <w:rPr>
          <w:sz w:val="20"/>
          <w:szCs w:val="20"/>
          <w:color w:val="auto"/>
        </w:rPr>
      </w:pPr>
      <w:r>
        <w:rPr>
          <w:rFonts w:ascii="Arial" w:cs="Arial" w:eastAsia="Arial" w:hAnsi="Arial"/>
          <w:sz w:val="26"/>
          <w:szCs w:val="26"/>
          <w:b w:val="1"/>
          <w:bCs w:val="1"/>
          <w:i w:val="1"/>
          <w:iCs w:val="1"/>
          <w:color w:val="auto"/>
        </w:rPr>
        <w:t>препарата с коротким периодом полувыведения</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Быстрое неконтролируемое снижение АД не рекомендовано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так как может привести к осложнениям </w:t>
      </w:r>
      <w:r>
        <w:rPr>
          <w:rFonts w:ascii="Arial" w:cs="Arial" w:eastAsia="Arial" w:hAnsi="Arial"/>
          <w:sz w:val="26"/>
          <w:szCs w:val="26"/>
          <w:b w:val="1"/>
          <w:bCs w:val="1"/>
          <w:i w:val="1"/>
          <w:iCs w:val="1"/>
          <w:color w:val="auto"/>
        </w:rPr>
        <w:t>[277].</w:t>
      </w:r>
    </w:p>
    <w:p>
      <w:pPr>
        <w:spacing w:after="0" w:line="192" w:lineRule="exact"/>
        <w:rPr>
          <w:sz w:val="20"/>
          <w:szCs w:val="20"/>
          <w:color w:val="auto"/>
        </w:rPr>
      </w:pPr>
    </w:p>
    <w:p>
      <w:pPr>
        <w:jc w:val="both"/>
        <w:ind w:left="680" w:right="220" w:hanging="4"/>
        <w:spacing w:after="0" w:line="321" w:lineRule="auto"/>
        <w:tabs>
          <w:tab w:leader="none" w:pos="1096" w:val="left"/>
        </w:tabs>
        <w:numPr>
          <w:ilvl w:val="0"/>
          <w:numId w:val="54"/>
        </w:numPr>
        <w:rPr>
          <w:rFonts w:ascii="Arial" w:cs="Arial" w:eastAsia="Arial" w:hAnsi="Arial"/>
          <w:sz w:val="26"/>
          <w:szCs w:val="26"/>
          <w:b w:val="1"/>
          <w:bCs w:val="1"/>
          <w:i w:val="1"/>
          <w:iCs w:val="1"/>
          <w:color w:val="auto"/>
        </w:rPr>
      </w:pPr>
      <w:r>
        <w:rPr>
          <w:rFonts w:ascii="Arial" w:cs="Arial" w:eastAsia="Arial" w:hAnsi="Arial"/>
          <w:sz w:val="26"/>
          <w:szCs w:val="26"/>
          <w:b w:val="1"/>
          <w:bCs w:val="1"/>
          <w:i w:val="1"/>
          <w:iCs w:val="1"/>
          <w:color w:val="auto"/>
        </w:rPr>
        <w:t>пациентов со злокачественной АГ можно рассмотреть осторожное пероральное назначение иАПФ</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БРА или ББ</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так как почечная ишемия приводит к активации РААС</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Лечение следует начинать с очень низких доз в условиях стационара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поскольку такие пациенты могут быть очень чувствительны к данным препаратам</w:t>
      </w:r>
      <w:r>
        <w:rPr>
          <w:rFonts w:ascii="Arial" w:cs="Arial" w:eastAsia="Arial" w:hAnsi="Arial"/>
          <w:sz w:val="26"/>
          <w:szCs w:val="26"/>
          <w:b w:val="1"/>
          <w:bCs w:val="1"/>
          <w:i w:val="1"/>
          <w:iCs w:val="1"/>
          <w:color w:val="auto"/>
        </w:rPr>
        <w:t>.</w:t>
      </w:r>
    </w:p>
    <w:p>
      <w:pPr>
        <w:spacing w:after="0" w:line="212"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b w:val="1"/>
          <w:bCs w:val="1"/>
          <w:i w:val="1"/>
          <w:iCs w:val="1"/>
          <w:color w:val="auto"/>
        </w:rPr>
        <w:t>Для лечения ГК используются следующие парентеральные препараты</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Вазодилататоры</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2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1000"/>
        <w:spacing w:after="0"/>
        <w:tabs>
          <w:tab w:leader="none" w:pos="3220" w:val="left"/>
          <w:tab w:leader="none" w:pos="5740" w:val="left"/>
          <w:tab w:leader="none" w:pos="6520" w:val="left"/>
          <w:tab w:leader="none" w:pos="7400" w:val="left"/>
          <w:tab w:leader="none" w:pos="7880" w:val="left"/>
        </w:tabs>
        <w:rPr>
          <w:sz w:val="20"/>
          <w:szCs w:val="20"/>
          <w:color w:val="auto"/>
        </w:rPr>
      </w:pPr>
      <w:r>
        <w:rPr>
          <w:rFonts w:ascii="Arial" w:cs="Arial" w:eastAsia="Arial" w:hAnsi="Arial"/>
          <w:sz w:val="27"/>
          <w:szCs w:val="27"/>
          <w:b w:val="1"/>
          <w:bCs w:val="1"/>
          <w:i w:val="1"/>
          <w:iCs w:val="1"/>
          <w:color w:val="auto"/>
        </w:rPr>
        <w:t>нитроглицерин</w:t>
      </w:r>
      <w:r>
        <w:rPr>
          <w:sz w:val="20"/>
          <w:szCs w:val="20"/>
          <w:color w:val="auto"/>
        </w:rPr>
        <w:tab/>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предпочтителен</w:t>
      </w:r>
      <w:r>
        <w:rPr>
          <w:sz w:val="20"/>
          <w:szCs w:val="20"/>
          <w:color w:val="auto"/>
        </w:rPr>
        <w:tab/>
      </w:r>
      <w:r>
        <w:rPr>
          <w:rFonts w:ascii="Arial" w:cs="Arial" w:eastAsia="Arial" w:hAnsi="Arial"/>
          <w:sz w:val="27"/>
          <w:szCs w:val="27"/>
          <w:b w:val="1"/>
          <w:bCs w:val="1"/>
          <w:i w:val="1"/>
          <w:iCs w:val="1"/>
          <w:color w:val="auto"/>
        </w:rPr>
        <w:t>при</w:t>
        <w:tab/>
        <w:t>ОКС</w:t>
        <w:tab/>
        <w:t>и</w:t>
      </w:r>
      <w:r>
        <w:rPr>
          <w:sz w:val="20"/>
          <w:szCs w:val="20"/>
          <w:color w:val="auto"/>
        </w:rPr>
        <w:tab/>
      </w:r>
      <w:r>
        <w:rPr>
          <w:rFonts w:ascii="Arial" w:cs="Arial" w:eastAsia="Arial" w:hAnsi="Arial"/>
          <w:sz w:val="23"/>
          <w:szCs w:val="23"/>
          <w:b w:val="1"/>
          <w:bCs w:val="1"/>
          <w:i w:val="1"/>
          <w:iCs w:val="1"/>
          <w:color w:val="auto"/>
        </w:rPr>
        <w:t>острой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-116840</wp:posOffset>
            </wp:positionV>
            <wp:extent cx="82550" cy="82550"/>
            <wp:wrapNone/>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2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1000"/>
        <w:spacing w:after="0"/>
        <w:rPr>
          <w:sz w:val="20"/>
          <w:szCs w:val="20"/>
          <w:color w:val="auto"/>
        </w:rPr>
      </w:pPr>
      <w:r>
        <w:rPr>
          <w:rFonts w:ascii="Arial" w:cs="Arial" w:eastAsia="Arial" w:hAnsi="Arial"/>
          <w:sz w:val="27"/>
          <w:szCs w:val="27"/>
          <w:b w:val="1"/>
          <w:bCs w:val="1"/>
          <w:i w:val="1"/>
          <w:iCs w:val="1"/>
          <w:color w:val="auto"/>
        </w:rPr>
        <w:t>левожелудочковой недостаточности</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1000"/>
        <w:spacing w:after="0"/>
        <w:rPr>
          <w:sz w:val="20"/>
          <w:szCs w:val="20"/>
          <w:color w:val="auto"/>
        </w:rPr>
      </w:pPr>
      <w:r>
        <w:rPr>
          <w:rFonts w:ascii="Arial" w:cs="Arial" w:eastAsia="Arial" w:hAnsi="Arial"/>
          <w:sz w:val="24"/>
          <w:szCs w:val="24"/>
          <w:b w:val="1"/>
          <w:bCs w:val="1"/>
          <w:i w:val="1"/>
          <w:iCs w:val="1"/>
          <w:color w:val="auto"/>
        </w:rPr>
        <w:t xml:space="preserve">нитропруссид  натрия  </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является  препаратом  выбора  при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435610</wp:posOffset>
            </wp:positionH>
            <wp:positionV relativeFrom="paragraph">
              <wp:posOffset>-94615</wp:posOffset>
            </wp:positionV>
            <wp:extent cx="82550" cy="82550"/>
            <wp:wrapNone/>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2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94" w:lineRule="exact"/>
        <w:rPr>
          <w:sz w:val="20"/>
          <w:szCs w:val="20"/>
          <w:color w:val="auto"/>
        </w:rPr>
      </w:pPr>
    </w:p>
    <w:p>
      <w:pPr>
        <w:ind w:left="1000"/>
        <w:spacing w:after="0"/>
        <w:rPr>
          <w:sz w:val="20"/>
          <w:szCs w:val="20"/>
          <w:color w:val="auto"/>
        </w:rPr>
      </w:pPr>
      <w:r>
        <w:rPr>
          <w:rFonts w:ascii="Arial" w:cs="Arial" w:eastAsia="Arial" w:hAnsi="Arial"/>
          <w:sz w:val="27"/>
          <w:szCs w:val="27"/>
          <w:b w:val="1"/>
          <w:bCs w:val="1"/>
          <w:i w:val="1"/>
          <w:iCs w:val="1"/>
          <w:color w:val="auto"/>
        </w:rPr>
        <w:t>острой гипертонической энцефалопатии</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ind w:left="680"/>
        <w:spacing w:after="0"/>
        <w:tabs>
          <w:tab w:leader="none" w:pos="2040" w:val="left"/>
          <w:tab w:leader="none" w:pos="4220" w:val="left"/>
          <w:tab w:leader="none" w:pos="6920" w:val="left"/>
          <w:tab w:leader="none" w:pos="7880" w:val="left"/>
        </w:tabs>
        <w:rPr>
          <w:sz w:val="20"/>
          <w:szCs w:val="20"/>
          <w:color w:val="auto"/>
        </w:rPr>
      </w:pPr>
      <w:r>
        <w:rPr>
          <w:rFonts w:ascii="Arial" w:cs="Arial" w:eastAsia="Arial" w:hAnsi="Arial"/>
          <w:sz w:val="27"/>
          <w:szCs w:val="27"/>
          <w:b w:val="1"/>
          <w:bCs w:val="1"/>
          <w:i w:val="1"/>
          <w:iCs w:val="1"/>
          <w:color w:val="auto"/>
        </w:rPr>
        <w:t>ИАПФ</w:t>
      </w:r>
      <w:r>
        <w:rPr>
          <w:rFonts w:ascii="Arial" w:cs="Arial" w:eastAsia="Arial" w:hAnsi="Arial"/>
          <w:sz w:val="27"/>
          <w:szCs w:val="27"/>
          <w:b w:val="1"/>
          <w:bCs w:val="1"/>
          <w:i w:val="1"/>
          <w:iCs w:val="1"/>
          <w:color w:val="auto"/>
        </w:rPr>
        <w:t>:</w:t>
      </w:r>
      <w:r>
        <w:rPr>
          <w:sz w:val="20"/>
          <w:szCs w:val="20"/>
          <w:color w:val="auto"/>
        </w:rPr>
        <w:tab/>
      </w:r>
      <w:r>
        <w:rPr>
          <w:rFonts w:ascii="Arial" w:cs="Arial" w:eastAsia="Arial" w:hAnsi="Arial"/>
          <w:sz w:val="27"/>
          <w:szCs w:val="27"/>
          <w:b w:val="1"/>
          <w:bCs w:val="1"/>
          <w:i w:val="1"/>
          <w:iCs w:val="1"/>
          <w:color w:val="auto"/>
        </w:rPr>
        <w:t>эналаприлат</w:t>
      </w:r>
      <w:r>
        <w:rPr>
          <w:sz w:val="20"/>
          <w:szCs w:val="20"/>
          <w:color w:val="auto"/>
        </w:rPr>
        <w:tab/>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предпочтителен</w:t>
      </w:r>
      <w:r>
        <w:rPr>
          <w:sz w:val="20"/>
          <w:szCs w:val="20"/>
          <w:color w:val="auto"/>
        </w:rPr>
        <w:tab/>
      </w:r>
      <w:r>
        <w:rPr>
          <w:rFonts w:ascii="Arial" w:cs="Arial" w:eastAsia="Arial" w:hAnsi="Arial"/>
          <w:sz w:val="27"/>
          <w:szCs w:val="27"/>
          <w:b w:val="1"/>
          <w:bCs w:val="1"/>
          <w:i w:val="1"/>
          <w:iCs w:val="1"/>
          <w:color w:val="auto"/>
        </w:rPr>
        <w:t>при</w:t>
      </w:r>
      <w:r>
        <w:rPr>
          <w:sz w:val="20"/>
          <w:szCs w:val="20"/>
          <w:color w:val="auto"/>
        </w:rPr>
        <w:tab/>
      </w:r>
      <w:r>
        <w:rPr>
          <w:rFonts w:ascii="Arial" w:cs="Arial" w:eastAsia="Arial" w:hAnsi="Arial"/>
          <w:sz w:val="23"/>
          <w:szCs w:val="23"/>
          <w:b w:val="1"/>
          <w:bCs w:val="1"/>
          <w:i w:val="1"/>
          <w:iCs w:val="1"/>
          <w:color w:val="auto"/>
        </w:rPr>
        <w:t>острой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2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левожелудочковой недостаточности</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 xml:space="preserve">ББ </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метопролол предпочтителен при расслаивающей аневризме</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-87630</wp:posOffset>
            </wp:positionV>
            <wp:extent cx="82550" cy="82550"/>
            <wp:wrapNone/>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2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06"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аорты и ОКС</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tabs>
          <w:tab w:leader="none" w:pos="2440" w:val="left"/>
          <w:tab w:leader="none" w:pos="4300" w:val="left"/>
          <w:tab w:leader="none" w:pos="5200" w:val="left"/>
          <w:tab w:leader="none" w:pos="6560" w:val="left"/>
        </w:tabs>
        <w:rPr>
          <w:sz w:val="20"/>
          <w:szCs w:val="20"/>
          <w:color w:val="auto"/>
        </w:rPr>
      </w:pPr>
      <w:r>
        <w:rPr>
          <w:rFonts w:ascii="Arial" w:cs="Arial" w:eastAsia="Arial" w:hAnsi="Arial"/>
          <w:sz w:val="27"/>
          <w:szCs w:val="27"/>
          <w:b w:val="1"/>
          <w:bCs w:val="1"/>
          <w:i w:val="1"/>
          <w:iCs w:val="1"/>
          <w:color w:val="auto"/>
        </w:rPr>
        <w:t>диуретики</w:t>
      </w:r>
      <w:r>
        <w:rPr>
          <w:sz w:val="20"/>
          <w:szCs w:val="20"/>
          <w:color w:val="auto"/>
        </w:rPr>
        <w:tab/>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фуросемид</w:t>
      </w:r>
      <w:r>
        <w:rPr>
          <w:sz w:val="20"/>
          <w:szCs w:val="20"/>
          <w:color w:val="auto"/>
        </w:rPr>
        <w:tab/>
      </w:r>
      <w:r>
        <w:rPr>
          <w:rFonts w:ascii="Arial" w:cs="Arial" w:eastAsia="Arial" w:hAnsi="Arial"/>
          <w:sz w:val="27"/>
          <w:szCs w:val="27"/>
          <w:b w:val="1"/>
          <w:bCs w:val="1"/>
          <w:i w:val="1"/>
          <w:iCs w:val="1"/>
          <w:color w:val="auto"/>
        </w:rPr>
        <w:t>при</w:t>
        <w:tab/>
        <w:t>острой</w:t>
      </w:r>
      <w:r>
        <w:rPr>
          <w:sz w:val="20"/>
          <w:szCs w:val="20"/>
          <w:color w:val="auto"/>
        </w:rPr>
        <w:tab/>
      </w:r>
      <w:r>
        <w:rPr>
          <w:rFonts w:ascii="Arial" w:cs="Arial" w:eastAsia="Arial" w:hAnsi="Arial"/>
          <w:sz w:val="23"/>
          <w:szCs w:val="23"/>
          <w:b w:val="1"/>
          <w:bCs w:val="1"/>
          <w:i w:val="1"/>
          <w:iCs w:val="1"/>
          <w:color w:val="auto"/>
        </w:rPr>
        <w:t>левожелудочковой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3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недостаточности</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альфа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адреноблокаторы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урапидил</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3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 xml:space="preserve">нейролептики </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дроперидол</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3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 остром периоде инсульта вопрос о необходимости снижения АД и его оптимальной величине рекомендуется решать совместно с врачом</w:t>
      </w:r>
      <w:r>
        <w:rPr>
          <w:rFonts w:ascii="Arial" w:cs="Arial" w:eastAsia="Arial" w:hAnsi="Arial"/>
          <w:sz w:val="27"/>
          <w:szCs w:val="27"/>
          <w:color w:val="auto"/>
        </w:rPr>
        <w:t>-</w:t>
      </w:r>
      <w:r>
        <w:rPr>
          <w:rFonts w:ascii="Arial" w:cs="Arial" w:eastAsia="Arial" w:hAnsi="Arial"/>
          <w:sz w:val="27"/>
          <w:szCs w:val="27"/>
          <w:color w:val="auto"/>
        </w:rPr>
        <w:t>неврологом</w:t>
      </w:r>
      <w:r>
        <w:rPr>
          <w:rFonts w:ascii="Arial" w:cs="Arial" w:eastAsia="Arial" w:hAnsi="Arial"/>
          <w:sz w:val="27"/>
          <w:szCs w:val="27"/>
          <w:color w:val="auto"/>
        </w:rPr>
        <w:t>,</w:t>
      </w:r>
      <w:r>
        <w:rPr>
          <w:rFonts w:ascii="Arial" w:cs="Arial" w:eastAsia="Arial" w:hAnsi="Arial"/>
          <w:sz w:val="27"/>
          <w:szCs w:val="27"/>
          <w:color w:val="auto"/>
        </w:rPr>
        <w:t xml:space="preserve"> индивидуально для каждого пациента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3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Пациенты с инсультом требуют особого</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подхода</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к</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избыточное 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или быстрое снижение АД может привести к нарастанию ишемии головного мозга</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В большинстве других случаев врачам рекомендуется обеспечить быстрое</w:t>
      </w:r>
      <w:r>
        <w:rPr>
          <w:rFonts w:ascii="Arial" w:cs="Arial" w:eastAsia="Arial" w:hAnsi="Arial"/>
          <w:sz w:val="27"/>
          <w:szCs w:val="27"/>
          <w:color w:val="auto"/>
        </w:rPr>
        <w:t>,</w:t>
      </w:r>
      <w:r>
        <w:rPr>
          <w:rFonts w:ascii="Arial" w:cs="Arial" w:eastAsia="Arial" w:hAnsi="Arial"/>
          <w:sz w:val="27"/>
          <w:szCs w:val="27"/>
          <w:color w:val="auto"/>
        </w:rPr>
        <w:t xml:space="preserve"> но не более чем на </w:t>
      </w:r>
      <w:r>
        <w:rPr>
          <w:rFonts w:ascii="Arial" w:cs="Arial" w:eastAsia="Arial" w:hAnsi="Arial"/>
          <w:sz w:val="27"/>
          <w:szCs w:val="27"/>
          <w:color w:val="auto"/>
        </w:rPr>
        <w:t>25%</w:t>
      </w:r>
      <w:r>
        <w:rPr>
          <w:rFonts w:ascii="Arial" w:cs="Arial" w:eastAsia="Arial" w:hAnsi="Arial"/>
          <w:sz w:val="27"/>
          <w:szCs w:val="27"/>
          <w:color w:val="auto"/>
        </w:rPr>
        <w:t xml:space="preserve"> от исходных значений</w:t>
      </w:r>
      <w:r>
        <w:rPr>
          <w:rFonts w:ascii="Arial" w:cs="Arial" w:eastAsia="Arial" w:hAnsi="Arial"/>
          <w:sz w:val="27"/>
          <w:szCs w:val="27"/>
          <w:color w:val="auto"/>
        </w:rPr>
        <w:t>,</w:t>
      </w:r>
      <w:r>
        <w:rPr>
          <w:rFonts w:ascii="Arial" w:cs="Arial" w:eastAsia="Arial" w:hAnsi="Arial"/>
          <w:sz w:val="27"/>
          <w:szCs w:val="27"/>
          <w:color w:val="auto"/>
        </w:rPr>
        <w:t xml:space="preserve"> снижение АД за первые </w:t>
      </w:r>
      <w:r>
        <w:rPr>
          <w:rFonts w:ascii="Arial" w:cs="Arial" w:eastAsia="Arial" w:hAnsi="Arial"/>
          <w:sz w:val="27"/>
          <w:szCs w:val="27"/>
          <w:color w:val="auto"/>
        </w:rPr>
        <w:t>2</w:t>
      </w:r>
      <w:r>
        <w:rPr>
          <w:rFonts w:ascii="Arial" w:cs="Arial" w:eastAsia="Arial" w:hAnsi="Arial"/>
          <w:sz w:val="27"/>
          <w:szCs w:val="27"/>
          <w:color w:val="auto"/>
        </w:rPr>
        <w:t xml:space="preserve"> часа от момента поступления в стационар </w:t>
      </w:r>
      <w:r>
        <w:rPr>
          <w:rFonts w:ascii="Arial" w:cs="Arial" w:eastAsia="Arial" w:hAnsi="Arial"/>
          <w:sz w:val="27"/>
          <w:szCs w:val="27"/>
          <w:color w:val="auto"/>
        </w:rPr>
        <w:t>[22].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3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ectPr>
          <w:pgSz w:w="11900" w:h="16840" w:orient="portrait"/>
          <w:cols w:equalWidth="0" w:num="1">
            <w:col w:w="9020"/>
          </w:cols>
          <w:pgMar w:left="1440" w:top="19" w:right="1440" w:bottom="0" w:gutter="0" w:footer="0" w:header="0"/>
        </w:sectPr>
      </w:pPr>
    </w:p>
    <w:bookmarkStart w:id="78" w:name="page79"/>
    <w:bookmarkEnd w:id="78"/>
    <w:p>
      <w:pPr>
        <w:ind w:left="680" w:right="220"/>
        <w:spacing w:after="0" w:line="334" w:lineRule="auto"/>
        <w:rPr>
          <w:sz w:val="20"/>
          <w:szCs w:val="20"/>
          <w:color w:val="auto"/>
        </w:rPr>
      </w:pPr>
      <w:r>
        <w:rPr>
          <w:rFonts w:ascii="Arial" w:cs="Arial" w:eastAsia="Arial" w:hAnsi="Arial"/>
          <w:sz w:val="27"/>
          <w:szCs w:val="27"/>
          <w:b w:val="1"/>
          <w:bCs w:val="1"/>
          <w:color w:val="auto"/>
        </w:rPr>
        <w:t>Комментарии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Рекомендуются следующие сроки и</w:t>
      </w:r>
      <w:r>
        <w:rPr>
          <w:rFonts w:ascii="Arial" w:cs="Arial" w:eastAsia="Arial" w:hAnsi="Arial"/>
          <w:sz w:val="27"/>
          <w:szCs w:val="27"/>
          <w:b w:val="1"/>
          <w:bCs w:val="1"/>
          <w:color w:val="auto"/>
        </w:rPr>
        <w:t xml:space="preserve"> </w:t>
      </w:r>
      <w:r>
        <w:rPr>
          <w:rFonts w:ascii="Arial" w:cs="Arial" w:eastAsia="Arial" w:hAnsi="Arial"/>
          <w:sz w:val="27"/>
          <w:szCs w:val="27"/>
          <w:b w:val="1"/>
          <w:bCs w:val="1"/>
          <w:i w:val="1"/>
          <w:iCs w:val="1"/>
          <w:color w:val="auto"/>
        </w:rPr>
        <w:t xml:space="preserve">выраженность снижения АД </w:t>
      </w:r>
      <w:r>
        <w:rPr>
          <w:rFonts w:ascii="Arial" w:cs="Arial" w:eastAsia="Arial" w:hAnsi="Arial"/>
          <w:sz w:val="27"/>
          <w:szCs w:val="27"/>
          <w:b w:val="1"/>
          <w:bCs w:val="1"/>
          <w:i w:val="1"/>
          <w:iCs w:val="1"/>
          <w:color w:val="auto"/>
        </w:rPr>
        <w:t>[270, 278]:</w:t>
      </w:r>
    </w:p>
    <w:p>
      <w:pPr>
        <w:spacing w:after="0" w:line="186" w:lineRule="exact"/>
        <w:rPr>
          <w:sz w:val="20"/>
          <w:szCs w:val="20"/>
          <w:color w:val="auto"/>
        </w:rPr>
      </w:pPr>
    </w:p>
    <w:p>
      <w:pPr>
        <w:jc w:val="both"/>
        <w:ind w:left="680" w:right="220" w:hanging="4"/>
        <w:spacing w:after="0" w:line="313" w:lineRule="auto"/>
        <w:tabs>
          <w:tab w:leader="none" w:pos="1094" w:val="left"/>
        </w:tabs>
        <w:numPr>
          <w:ilvl w:val="0"/>
          <w:numId w:val="55"/>
        </w:numPr>
        <w:rPr>
          <w:rFonts w:ascii="Arial" w:cs="Arial" w:eastAsia="Arial" w:hAnsi="Arial"/>
          <w:sz w:val="26"/>
          <w:szCs w:val="26"/>
          <w:b w:val="1"/>
          <w:bCs w:val="1"/>
          <w:i w:val="1"/>
          <w:iCs w:val="1"/>
          <w:color w:val="auto"/>
        </w:rPr>
      </w:pPr>
      <w:r>
        <w:rPr>
          <w:rFonts w:ascii="Arial" w:cs="Arial" w:eastAsia="Arial" w:hAnsi="Arial"/>
          <w:sz w:val="26"/>
          <w:szCs w:val="26"/>
          <w:b w:val="1"/>
          <w:bCs w:val="1"/>
          <w:i w:val="1"/>
          <w:iCs w:val="1"/>
          <w:color w:val="auto"/>
        </w:rPr>
        <w:t xml:space="preserve">пациентов со злокачественной АГ с или без почечной недостаточности среднее давление должно быть снижено на </w:t>
      </w:r>
      <w:r>
        <w:rPr>
          <w:rFonts w:ascii="Arial" w:cs="Arial" w:eastAsia="Arial" w:hAnsi="Arial"/>
          <w:sz w:val="26"/>
          <w:szCs w:val="26"/>
          <w:b w:val="1"/>
          <w:bCs w:val="1"/>
          <w:i w:val="1"/>
          <w:iCs w:val="1"/>
          <w:color w:val="auto"/>
        </w:rPr>
        <w:t>20–</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 xml:space="preserve">25% </w:t>
      </w:r>
      <w:r>
        <w:rPr>
          <w:rFonts w:ascii="Arial" w:cs="Arial" w:eastAsia="Arial" w:hAnsi="Arial"/>
          <w:sz w:val="26"/>
          <w:szCs w:val="26"/>
          <w:b w:val="1"/>
          <w:bCs w:val="1"/>
          <w:i w:val="1"/>
          <w:iCs w:val="1"/>
          <w:color w:val="auto"/>
        </w:rPr>
        <w:t>от исходного в течение нескольких часов</w:t>
      </w:r>
    </w:p>
    <w:p>
      <w:pPr>
        <w:ind w:left="680" w:right="220" w:hanging="4"/>
        <w:spacing w:after="0" w:line="354" w:lineRule="auto"/>
        <w:tabs>
          <w:tab w:leader="none" w:pos="948" w:val="left"/>
        </w:tabs>
        <w:numPr>
          <w:ilvl w:val="0"/>
          <w:numId w:val="55"/>
        </w:numPr>
        <w:rPr>
          <w:rFonts w:ascii="Arial" w:cs="Arial" w:eastAsia="Arial" w:hAnsi="Arial"/>
          <w:sz w:val="23"/>
          <w:szCs w:val="23"/>
          <w:b w:val="1"/>
          <w:bCs w:val="1"/>
          <w:i w:val="1"/>
          <w:iCs w:val="1"/>
          <w:color w:val="auto"/>
        </w:rPr>
      </w:pPr>
      <w:r>
        <w:rPr>
          <w:rFonts w:ascii="Arial" w:cs="Arial" w:eastAsia="Arial" w:hAnsi="Arial"/>
          <w:sz w:val="23"/>
          <w:szCs w:val="23"/>
          <w:b w:val="1"/>
          <w:bCs w:val="1"/>
          <w:i w:val="1"/>
          <w:iCs w:val="1"/>
          <w:color w:val="auto"/>
        </w:rPr>
        <w:t xml:space="preserve">пациентов с гипертонической энцефалопатией рекомендовано немедленное снижение среднего АД на </w:t>
      </w:r>
      <w:r>
        <w:rPr>
          <w:rFonts w:ascii="Arial" w:cs="Arial" w:eastAsia="Arial" w:hAnsi="Arial"/>
          <w:sz w:val="23"/>
          <w:szCs w:val="23"/>
          <w:b w:val="1"/>
          <w:bCs w:val="1"/>
          <w:i w:val="1"/>
          <w:iCs w:val="1"/>
          <w:color w:val="auto"/>
        </w:rPr>
        <w:t>20–25%</w:t>
      </w:r>
      <w:r>
        <w:rPr>
          <w:rFonts w:ascii="Arial" w:cs="Arial" w:eastAsia="Arial" w:hAnsi="Arial"/>
          <w:sz w:val="23"/>
          <w:szCs w:val="23"/>
          <w:b w:val="1"/>
          <w:bCs w:val="1"/>
          <w:i w:val="1"/>
          <w:iCs w:val="1"/>
          <w:color w:val="auto"/>
        </w:rPr>
        <w:t xml:space="preserve"> от исходного</w:t>
      </w:r>
    </w:p>
    <w:p>
      <w:pPr>
        <w:ind w:left="680" w:right="220" w:hanging="4"/>
        <w:spacing w:after="0" w:line="301" w:lineRule="auto"/>
        <w:tabs>
          <w:tab w:leader="none" w:pos="983" w:val="left"/>
        </w:tabs>
        <w:numPr>
          <w:ilvl w:val="0"/>
          <w:numId w:val="55"/>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пациентов с ОКС рекомендовано немедленное снижение САД ниже </w:t>
      </w:r>
      <w:r>
        <w:rPr>
          <w:rFonts w:ascii="Arial" w:cs="Arial" w:eastAsia="Arial" w:hAnsi="Arial"/>
          <w:sz w:val="27"/>
          <w:szCs w:val="27"/>
          <w:b w:val="1"/>
          <w:bCs w:val="1"/>
          <w:i w:val="1"/>
          <w:iCs w:val="1"/>
          <w:color w:val="auto"/>
        </w:rPr>
        <w:t>140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p>
    <w:p>
      <w:pPr>
        <w:spacing w:after="0" w:line="1" w:lineRule="exact"/>
        <w:rPr>
          <w:rFonts w:ascii="Arial" w:cs="Arial" w:eastAsia="Arial" w:hAnsi="Arial"/>
          <w:sz w:val="27"/>
          <w:szCs w:val="27"/>
          <w:b w:val="1"/>
          <w:bCs w:val="1"/>
          <w:i w:val="1"/>
          <w:iCs w:val="1"/>
          <w:color w:val="auto"/>
        </w:rPr>
      </w:pPr>
    </w:p>
    <w:p>
      <w:pPr>
        <w:ind w:left="680" w:right="220" w:hanging="4"/>
        <w:spacing w:after="0" w:line="325" w:lineRule="auto"/>
        <w:tabs>
          <w:tab w:leader="none" w:pos="1056" w:val="left"/>
        </w:tabs>
        <w:numPr>
          <w:ilvl w:val="0"/>
          <w:numId w:val="55"/>
        </w:numPr>
        <w:rPr>
          <w:rFonts w:ascii="Arial" w:cs="Arial" w:eastAsia="Arial" w:hAnsi="Arial"/>
          <w:sz w:val="25"/>
          <w:szCs w:val="25"/>
          <w:b w:val="1"/>
          <w:bCs w:val="1"/>
          <w:i w:val="1"/>
          <w:iCs w:val="1"/>
          <w:color w:val="auto"/>
        </w:rPr>
      </w:pPr>
      <w:r>
        <w:rPr>
          <w:rFonts w:ascii="Arial" w:cs="Arial" w:eastAsia="Arial" w:hAnsi="Arial"/>
          <w:sz w:val="25"/>
          <w:szCs w:val="25"/>
          <w:b w:val="1"/>
          <w:bCs w:val="1"/>
          <w:i w:val="1"/>
          <w:iCs w:val="1"/>
          <w:color w:val="auto"/>
        </w:rPr>
        <w:t xml:space="preserve">пациентов с кардиогенным отеком легких рекомендовано немедленное снижение САД ниже </w:t>
      </w:r>
      <w:r>
        <w:rPr>
          <w:rFonts w:ascii="Arial" w:cs="Arial" w:eastAsia="Arial" w:hAnsi="Arial"/>
          <w:sz w:val="25"/>
          <w:szCs w:val="25"/>
          <w:b w:val="1"/>
          <w:bCs w:val="1"/>
          <w:i w:val="1"/>
          <w:iCs w:val="1"/>
          <w:color w:val="auto"/>
        </w:rPr>
        <w:t>140</w:t>
      </w:r>
      <w:r>
        <w:rPr>
          <w:rFonts w:ascii="Arial" w:cs="Arial" w:eastAsia="Arial" w:hAnsi="Arial"/>
          <w:sz w:val="25"/>
          <w:szCs w:val="25"/>
          <w:b w:val="1"/>
          <w:bCs w:val="1"/>
          <w:i w:val="1"/>
          <w:iCs w:val="1"/>
          <w:color w:val="auto"/>
        </w:rPr>
        <w:t xml:space="preserve"> мм рт</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ст</w:t>
      </w:r>
      <w:r>
        <w:rPr>
          <w:rFonts w:ascii="Arial" w:cs="Arial" w:eastAsia="Arial" w:hAnsi="Arial"/>
          <w:sz w:val="25"/>
          <w:szCs w:val="25"/>
          <w:b w:val="1"/>
          <w:bCs w:val="1"/>
          <w:i w:val="1"/>
          <w:iCs w:val="1"/>
          <w:color w:val="auto"/>
        </w:rPr>
        <w:t>.</w:t>
      </w:r>
    </w:p>
    <w:p>
      <w:pPr>
        <w:spacing w:after="0" w:line="1" w:lineRule="exact"/>
        <w:rPr>
          <w:rFonts w:ascii="Arial" w:cs="Arial" w:eastAsia="Arial" w:hAnsi="Arial"/>
          <w:sz w:val="25"/>
          <w:szCs w:val="25"/>
          <w:b w:val="1"/>
          <w:bCs w:val="1"/>
          <w:i w:val="1"/>
          <w:iCs w:val="1"/>
          <w:color w:val="auto"/>
        </w:rPr>
      </w:pPr>
    </w:p>
    <w:p>
      <w:pPr>
        <w:ind w:left="680" w:right="220" w:hanging="4"/>
        <w:spacing w:after="0" w:line="339" w:lineRule="auto"/>
        <w:tabs>
          <w:tab w:leader="none" w:pos="984" w:val="left"/>
        </w:tabs>
        <w:numPr>
          <w:ilvl w:val="0"/>
          <w:numId w:val="55"/>
        </w:numPr>
        <w:rPr>
          <w:rFonts w:ascii="Arial" w:cs="Arial" w:eastAsia="Arial" w:hAnsi="Arial"/>
          <w:sz w:val="24"/>
          <w:szCs w:val="24"/>
          <w:b w:val="1"/>
          <w:bCs w:val="1"/>
          <w:i w:val="1"/>
          <w:iCs w:val="1"/>
          <w:color w:val="auto"/>
        </w:rPr>
      </w:pPr>
      <w:r>
        <w:rPr>
          <w:rFonts w:ascii="Arial" w:cs="Arial" w:eastAsia="Arial" w:hAnsi="Arial"/>
          <w:sz w:val="24"/>
          <w:szCs w:val="24"/>
          <w:b w:val="1"/>
          <w:bCs w:val="1"/>
          <w:i w:val="1"/>
          <w:iCs w:val="1"/>
          <w:color w:val="auto"/>
        </w:rPr>
        <w:t xml:space="preserve">пациентов с расслоением аорты рекомендовано немедленное снижение САД ниже </w:t>
      </w:r>
      <w:r>
        <w:rPr>
          <w:rFonts w:ascii="Arial" w:cs="Arial" w:eastAsia="Arial" w:hAnsi="Arial"/>
          <w:sz w:val="24"/>
          <w:szCs w:val="24"/>
          <w:b w:val="1"/>
          <w:bCs w:val="1"/>
          <w:i w:val="1"/>
          <w:iCs w:val="1"/>
          <w:color w:val="auto"/>
        </w:rPr>
        <w:t>120</w:t>
      </w:r>
      <w:r>
        <w:rPr>
          <w:rFonts w:ascii="Arial" w:cs="Arial" w:eastAsia="Arial" w:hAnsi="Arial"/>
          <w:sz w:val="24"/>
          <w:szCs w:val="24"/>
          <w:b w:val="1"/>
          <w:bCs w:val="1"/>
          <w:i w:val="1"/>
          <w:iCs w:val="1"/>
          <w:color w:val="auto"/>
        </w:rPr>
        <w:t xml:space="preserve"> мм рт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и ЧСС ниже </w:t>
      </w:r>
      <w:r>
        <w:rPr>
          <w:rFonts w:ascii="Arial" w:cs="Arial" w:eastAsia="Arial" w:hAnsi="Arial"/>
          <w:sz w:val="24"/>
          <w:szCs w:val="24"/>
          <w:b w:val="1"/>
          <w:bCs w:val="1"/>
          <w:i w:val="1"/>
          <w:iCs w:val="1"/>
          <w:color w:val="auto"/>
        </w:rPr>
        <w:t>60</w:t>
      </w:r>
      <w:r>
        <w:rPr>
          <w:rFonts w:ascii="Arial" w:cs="Arial" w:eastAsia="Arial" w:hAnsi="Arial"/>
          <w:sz w:val="24"/>
          <w:szCs w:val="24"/>
          <w:b w:val="1"/>
          <w:bCs w:val="1"/>
          <w:i w:val="1"/>
          <w:iCs w:val="1"/>
          <w:color w:val="auto"/>
        </w:rPr>
        <w:t xml:space="preserve"> уд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мин</w:t>
      </w:r>
      <w:r>
        <w:rPr>
          <w:rFonts w:ascii="Arial" w:cs="Arial" w:eastAsia="Arial" w:hAnsi="Arial"/>
          <w:sz w:val="24"/>
          <w:szCs w:val="24"/>
          <w:b w:val="1"/>
          <w:bCs w:val="1"/>
          <w:i w:val="1"/>
          <w:iCs w:val="1"/>
          <w:color w:val="auto"/>
        </w:rPr>
        <w:t>.</w:t>
      </w:r>
    </w:p>
    <w:p>
      <w:pPr>
        <w:jc w:val="both"/>
        <w:ind w:left="680" w:right="220" w:hanging="4"/>
        <w:spacing w:after="0" w:line="317" w:lineRule="auto"/>
        <w:tabs>
          <w:tab w:leader="none" w:pos="934" w:val="left"/>
        </w:tabs>
        <w:numPr>
          <w:ilvl w:val="0"/>
          <w:numId w:val="55"/>
        </w:numPr>
        <w:rPr>
          <w:rFonts w:ascii="Arial" w:cs="Arial" w:eastAsia="Arial" w:hAnsi="Arial"/>
          <w:sz w:val="27"/>
          <w:szCs w:val="27"/>
          <w:b w:val="1"/>
          <w:bCs w:val="1"/>
          <w:i w:val="1"/>
          <w:iCs w:val="1"/>
          <w:color w:val="auto"/>
        </w:rPr>
      </w:pPr>
      <w:r>
        <w:rPr>
          <w:rFonts w:ascii="Arial" w:cs="Arial" w:eastAsia="Arial" w:hAnsi="Arial"/>
          <w:sz w:val="27"/>
          <w:szCs w:val="27"/>
          <w:b w:val="1"/>
          <w:bCs w:val="1"/>
          <w:i w:val="1"/>
          <w:iCs w:val="1"/>
          <w:color w:val="auto"/>
        </w:rPr>
        <w:t xml:space="preserve">пациенток с эклампсией и тяжелой преэклампсией или </w:t>
      </w:r>
      <w:r>
        <w:rPr>
          <w:rFonts w:ascii="Arial" w:cs="Arial" w:eastAsia="Arial" w:hAnsi="Arial"/>
          <w:sz w:val="27"/>
          <w:szCs w:val="27"/>
          <w:b w:val="1"/>
          <w:bCs w:val="1"/>
          <w:i w:val="1"/>
          <w:iCs w:val="1"/>
          <w:color w:val="auto"/>
        </w:rPr>
        <w:t>HELLP-</w:t>
      </w:r>
      <w:r>
        <w:rPr>
          <w:rFonts w:ascii="Arial" w:cs="Arial" w:eastAsia="Arial" w:hAnsi="Arial"/>
          <w:sz w:val="27"/>
          <w:szCs w:val="27"/>
          <w:b w:val="1"/>
          <w:bCs w:val="1"/>
          <w:i w:val="1"/>
          <w:iCs w:val="1"/>
          <w:color w:val="auto"/>
        </w:rPr>
        <w:t xml:space="preserve">синдромом рекомендовано немедленное снижение САД ниже </w:t>
      </w:r>
      <w:r>
        <w:rPr>
          <w:rFonts w:ascii="Arial" w:cs="Arial" w:eastAsia="Arial" w:hAnsi="Arial"/>
          <w:sz w:val="27"/>
          <w:szCs w:val="27"/>
          <w:b w:val="1"/>
          <w:bCs w:val="1"/>
          <w:i w:val="1"/>
          <w:iCs w:val="1"/>
          <w:color w:val="auto"/>
        </w:rPr>
        <w:t>160</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и ДАД ниже </w:t>
      </w:r>
      <w:r>
        <w:rPr>
          <w:rFonts w:ascii="Arial" w:cs="Arial" w:eastAsia="Arial" w:hAnsi="Arial"/>
          <w:sz w:val="27"/>
          <w:szCs w:val="27"/>
          <w:b w:val="1"/>
          <w:bCs w:val="1"/>
          <w:i w:val="1"/>
          <w:iCs w:val="1"/>
          <w:color w:val="auto"/>
        </w:rPr>
        <w:t>105</w:t>
      </w:r>
      <w:r>
        <w:rPr>
          <w:rFonts w:ascii="Arial" w:cs="Arial" w:eastAsia="Arial" w:hAnsi="Arial"/>
          <w:sz w:val="27"/>
          <w:szCs w:val="27"/>
          <w:b w:val="1"/>
          <w:bCs w:val="1"/>
          <w:i w:val="1"/>
          <w:iCs w:val="1"/>
          <w:color w:val="auto"/>
        </w:rPr>
        <w:t xml:space="preserve"> мм рт</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ст</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-3425825</wp:posOffset>
            </wp:positionV>
            <wp:extent cx="82550" cy="8255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35">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-2682875</wp:posOffset>
            </wp:positionV>
            <wp:extent cx="82550" cy="8255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36">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-2187575</wp:posOffset>
            </wp:positionV>
            <wp:extent cx="82550" cy="8255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37">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-1691640</wp:posOffset>
            </wp:positionV>
            <wp:extent cx="82550" cy="8255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8">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-1196340</wp:posOffset>
            </wp:positionV>
            <wp:extent cx="82550" cy="8255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39">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4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jc w:val="both"/>
        <w:ind w:left="680" w:right="220"/>
        <w:spacing w:after="0" w:line="354" w:lineRule="auto"/>
        <w:rPr>
          <w:sz w:val="20"/>
          <w:szCs w:val="20"/>
          <w:color w:val="auto"/>
        </w:rPr>
      </w:pPr>
      <w:r>
        <w:rPr>
          <w:rFonts w:ascii="Arial" w:cs="Arial" w:eastAsia="Arial" w:hAnsi="Arial"/>
          <w:sz w:val="23"/>
          <w:szCs w:val="23"/>
          <w:b w:val="1"/>
          <w:bCs w:val="1"/>
          <w:i w:val="1"/>
          <w:iCs w:val="1"/>
          <w:color w:val="auto"/>
        </w:rPr>
        <w:t xml:space="preserve">Пациенты с ГК являются группой высокого риска </w:t>
      </w:r>
      <w:r>
        <w:rPr>
          <w:rFonts w:ascii="Arial" w:cs="Arial" w:eastAsia="Arial" w:hAnsi="Arial"/>
          <w:sz w:val="23"/>
          <w:szCs w:val="23"/>
          <w:b w:val="1"/>
          <w:bCs w:val="1"/>
          <w:i w:val="1"/>
          <w:iCs w:val="1"/>
          <w:color w:val="auto"/>
        </w:rPr>
        <w:t>[279, 280]</w:t>
      </w:r>
      <w:r>
        <w:rPr>
          <w:rFonts w:ascii="Arial" w:cs="Arial" w:eastAsia="Arial" w:hAnsi="Arial"/>
          <w:sz w:val="23"/>
          <w:szCs w:val="23"/>
          <w:b w:val="1"/>
          <w:bCs w:val="1"/>
          <w:i w:val="1"/>
          <w:iCs w:val="1"/>
          <w:color w:val="auto"/>
        </w:rPr>
        <w:t xml:space="preserve"> и должны быть скринированы на наличие вторичной АГ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Выписка из стационара осуществляется при достижении безопасного стабильного уровня АД на фоне перорального приема препаратов</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Наблюдение в амбулаторных условиях следует проводить хотя бы раз в месяц до достижения целевого АД</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Далее</w:t>
      </w:r>
    </w:p>
    <w:p>
      <w:pPr>
        <w:jc w:val="both"/>
        <w:ind w:left="680" w:right="220"/>
        <w:spacing w:after="0" w:line="334" w:lineRule="auto"/>
        <w:rPr>
          <w:sz w:val="20"/>
          <w:szCs w:val="20"/>
          <w:color w:val="auto"/>
        </w:rPr>
      </w:pPr>
      <w:r>
        <w:rPr>
          <w:rFonts w:ascii="Arial" w:cs="Arial" w:eastAsia="Arial" w:hAnsi="Arial"/>
          <w:sz w:val="27"/>
          <w:szCs w:val="27"/>
          <w:b w:val="1"/>
          <w:bCs w:val="1"/>
          <w:i w:val="1"/>
          <w:iCs w:val="1"/>
          <w:color w:val="auto"/>
        </w:rPr>
        <w:t>рекомендуется длительное регулярное наблюдение специалистом</w:t>
      </w:r>
      <w:r>
        <w:rPr>
          <w:rFonts w:ascii="Arial" w:cs="Arial" w:eastAsia="Arial" w:hAnsi="Arial"/>
          <w:sz w:val="27"/>
          <w:szCs w:val="27"/>
          <w:b w:val="1"/>
          <w:bCs w:val="1"/>
          <w:i w:val="1"/>
          <w:iCs w:val="1"/>
          <w:color w:val="auto"/>
        </w:rPr>
        <w:t>.</w:t>
      </w:r>
    </w:p>
    <w:p>
      <w:pPr>
        <w:sectPr>
          <w:pgSz w:w="11900" w:h="16840" w:orient="portrait"/>
          <w:cols w:equalWidth="0" w:num="1">
            <w:col w:w="9020"/>
          </w:cols>
          <w:pgMar w:left="1440" w:top="19" w:right="1440" w:bottom="1440" w:gutter="0" w:footer="0" w:header="0"/>
        </w:sectPr>
      </w:pPr>
    </w:p>
    <w:bookmarkStart w:id="79" w:name="page80"/>
    <w:bookmarkEnd w:id="79"/>
    <w:p>
      <w:pPr>
        <w:ind w:left="900" w:hanging="539"/>
        <w:spacing w:after="0"/>
        <w:tabs>
          <w:tab w:leader="none" w:pos="900" w:val="left"/>
        </w:tabs>
        <w:numPr>
          <w:ilvl w:val="0"/>
          <w:numId w:val="56"/>
        </w:numPr>
        <w:rPr>
          <w:rFonts w:ascii="Arial" w:cs="Arial" w:eastAsia="Arial" w:hAnsi="Arial"/>
          <w:sz w:val="48"/>
          <w:szCs w:val="48"/>
          <w:b w:val="1"/>
          <w:bCs w:val="1"/>
          <w:color w:val="auto"/>
        </w:rPr>
      </w:pPr>
      <w:r>
        <w:rPr>
          <w:rFonts w:ascii="Arial" w:cs="Arial" w:eastAsia="Arial" w:hAnsi="Arial"/>
          <w:sz w:val="48"/>
          <w:szCs w:val="48"/>
          <w:b w:val="1"/>
          <w:bCs w:val="1"/>
          <w:color w:val="auto"/>
        </w:rPr>
        <w:t>Реабилитация</w:t>
      </w:r>
    </w:p>
    <w:p>
      <w:pPr>
        <w:spacing w:after="0" w:line="200" w:lineRule="exact"/>
        <w:rPr>
          <w:sz w:val="20"/>
          <w:szCs w:val="20"/>
          <w:color w:val="auto"/>
        </w:rPr>
      </w:pPr>
    </w:p>
    <w:p>
      <w:pPr>
        <w:spacing w:after="0" w:line="277" w:lineRule="exact"/>
        <w:rPr>
          <w:sz w:val="20"/>
          <w:szCs w:val="20"/>
          <w:color w:val="auto"/>
        </w:rPr>
      </w:pPr>
    </w:p>
    <w:p>
      <w:pPr>
        <w:jc w:val="both"/>
        <w:ind w:left="680" w:right="220"/>
        <w:spacing w:after="0" w:line="310" w:lineRule="auto"/>
        <w:rPr>
          <w:sz w:val="20"/>
          <w:szCs w:val="20"/>
          <w:color w:val="auto"/>
        </w:rPr>
      </w:pPr>
      <w:r>
        <w:rPr>
          <w:rFonts w:ascii="Arial" w:cs="Arial" w:eastAsia="Arial" w:hAnsi="Arial"/>
          <w:sz w:val="27"/>
          <w:szCs w:val="27"/>
          <w:color w:val="auto"/>
        </w:rPr>
        <w:t>Для всех пациентов с АГ рекомендована разработка индивидуального плана реабилитационных мероприятий</w:t>
      </w:r>
      <w:r>
        <w:rPr>
          <w:rFonts w:ascii="Arial" w:cs="Arial" w:eastAsia="Arial" w:hAnsi="Arial"/>
          <w:sz w:val="27"/>
          <w:szCs w:val="27"/>
          <w:color w:val="auto"/>
        </w:rPr>
        <w:t>,</w:t>
      </w:r>
      <w:r>
        <w:rPr>
          <w:rFonts w:ascii="Arial" w:cs="Arial" w:eastAsia="Arial" w:hAnsi="Arial"/>
          <w:sz w:val="27"/>
          <w:szCs w:val="27"/>
          <w:color w:val="auto"/>
        </w:rPr>
        <w:t xml:space="preserve"> включающий в себя рекомендации по достижению целевого АД</w:t>
      </w:r>
      <w:r>
        <w:rPr>
          <w:rFonts w:ascii="Arial" w:cs="Arial" w:eastAsia="Arial" w:hAnsi="Arial"/>
          <w:sz w:val="27"/>
          <w:szCs w:val="27"/>
          <w:color w:val="auto"/>
        </w:rPr>
        <w:t>,</w:t>
      </w:r>
      <w:r>
        <w:rPr>
          <w:rFonts w:ascii="Arial" w:cs="Arial" w:eastAsia="Arial" w:hAnsi="Arial"/>
          <w:sz w:val="27"/>
          <w:szCs w:val="27"/>
          <w:color w:val="auto"/>
        </w:rPr>
        <w:t xml:space="preserve"> самоконтролю АД</w:t>
      </w:r>
      <w:r>
        <w:rPr>
          <w:rFonts w:ascii="Arial" w:cs="Arial" w:eastAsia="Arial" w:hAnsi="Arial"/>
          <w:sz w:val="27"/>
          <w:szCs w:val="27"/>
          <w:color w:val="auto"/>
        </w:rPr>
        <w:t>,</w:t>
      </w:r>
      <w:r>
        <w:rPr>
          <w:rFonts w:ascii="Arial" w:cs="Arial" w:eastAsia="Arial" w:hAnsi="Arial"/>
          <w:sz w:val="27"/>
          <w:szCs w:val="27"/>
          <w:color w:val="auto"/>
        </w:rPr>
        <w:t xml:space="preserve"> повышению приверженности к лечению</w:t>
      </w:r>
      <w:r>
        <w:rPr>
          <w:rFonts w:ascii="Arial" w:cs="Arial" w:eastAsia="Arial" w:hAnsi="Arial"/>
          <w:sz w:val="27"/>
          <w:szCs w:val="27"/>
          <w:color w:val="auto"/>
        </w:rPr>
        <w:t>,</w:t>
      </w:r>
      <w:r>
        <w:rPr>
          <w:rFonts w:ascii="Arial" w:cs="Arial" w:eastAsia="Arial" w:hAnsi="Arial"/>
          <w:sz w:val="27"/>
          <w:szCs w:val="27"/>
          <w:color w:val="auto"/>
        </w:rPr>
        <w:t xml:space="preserve"> питанию</w:t>
      </w:r>
      <w:r>
        <w:rPr>
          <w:rFonts w:ascii="Arial" w:cs="Arial" w:eastAsia="Arial" w:hAnsi="Arial"/>
          <w:sz w:val="27"/>
          <w:szCs w:val="27"/>
          <w:color w:val="auto"/>
        </w:rPr>
        <w:t>,</w:t>
      </w:r>
      <w:r>
        <w:rPr>
          <w:rFonts w:ascii="Arial" w:cs="Arial" w:eastAsia="Arial" w:hAnsi="Arial"/>
          <w:sz w:val="27"/>
          <w:szCs w:val="27"/>
          <w:color w:val="auto"/>
        </w:rPr>
        <w:t xml:space="preserve"> физической активности</w:t>
      </w:r>
      <w:r>
        <w:rPr>
          <w:rFonts w:ascii="Arial" w:cs="Arial" w:eastAsia="Arial" w:hAnsi="Arial"/>
          <w:sz w:val="27"/>
          <w:szCs w:val="27"/>
          <w:color w:val="auto"/>
        </w:rPr>
        <w:t>,</w:t>
      </w:r>
      <w:r>
        <w:rPr>
          <w:rFonts w:ascii="Arial" w:cs="Arial" w:eastAsia="Arial" w:hAnsi="Arial"/>
          <w:sz w:val="27"/>
          <w:szCs w:val="27"/>
          <w:color w:val="auto"/>
        </w:rPr>
        <w:t xml:space="preserve"> контролю веса </w:t>
      </w:r>
      <w:r>
        <w:rPr>
          <w:rFonts w:ascii="Arial" w:cs="Arial" w:eastAsia="Arial" w:hAnsi="Arial"/>
          <w:sz w:val="27"/>
          <w:szCs w:val="27"/>
          <w:color w:val="auto"/>
        </w:rPr>
        <w:t>[287].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-1193165</wp:posOffset>
            </wp:positionV>
            <wp:extent cx="82550" cy="8255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4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8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С целью снижения риска сердечно</w:t>
      </w:r>
      <w:r>
        <w:rPr>
          <w:rFonts w:ascii="Arial" w:cs="Arial" w:eastAsia="Arial" w:hAnsi="Arial"/>
          <w:sz w:val="27"/>
          <w:szCs w:val="27"/>
          <w:color w:val="auto"/>
        </w:rPr>
        <w:t>-</w:t>
      </w:r>
      <w:r>
        <w:rPr>
          <w:rFonts w:ascii="Arial" w:cs="Arial" w:eastAsia="Arial" w:hAnsi="Arial"/>
          <w:sz w:val="27"/>
          <w:szCs w:val="27"/>
          <w:color w:val="auto"/>
        </w:rPr>
        <w:t>сосудистых осложнений всем пациентам с АГ рекомендованы</w:t>
      </w:r>
      <w:r>
        <w:rPr>
          <w:rFonts w:ascii="Arial" w:cs="Arial" w:eastAsia="Arial" w:hAnsi="Arial"/>
          <w:sz w:val="27"/>
          <w:szCs w:val="27"/>
          <w:color w:val="auto"/>
        </w:rPr>
        <w:t>,</w:t>
      </w:r>
      <w:r>
        <w:rPr>
          <w:rFonts w:ascii="Arial" w:cs="Arial" w:eastAsia="Arial" w:hAnsi="Arial"/>
          <w:sz w:val="27"/>
          <w:szCs w:val="27"/>
          <w:color w:val="auto"/>
        </w:rPr>
        <w:t xml:space="preserve"> по крайней мере</w:t>
      </w:r>
      <w:r>
        <w:rPr>
          <w:rFonts w:ascii="Arial" w:cs="Arial" w:eastAsia="Arial" w:hAnsi="Arial"/>
          <w:sz w:val="27"/>
          <w:szCs w:val="27"/>
          <w:color w:val="auto"/>
        </w:rPr>
        <w:t>, 150</w:t>
      </w:r>
      <w:r>
        <w:rPr>
          <w:rFonts w:ascii="Arial" w:cs="Arial" w:eastAsia="Arial" w:hAnsi="Arial"/>
          <w:sz w:val="27"/>
          <w:szCs w:val="27"/>
          <w:color w:val="auto"/>
        </w:rPr>
        <w:t xml:space="preserve"> мин </w:t>
      </w:r>
      <w:r>
        <w:rPr>
          <w:rFonts w:ascii="Arial" w:cs="Arial" w:eastAsia="Arial" w:hAnsi="Arial"/>
          <w:sz w:val="27"/>
          <w:szCs w:val="27"/>
          <w:color w:val="auto"/>
        </w:rPr>
        <w:t>(2</w:t>
      </w:r>
      <w:r>
        <w:rPr>
          <w:rFonts w:ascii="Arial" w:cs="Arial" w:eastAsia="Arial" w:hAnsi="Arial"/>
          <w:sz w:val="27"/>
          <w:szCs w:val="27"/>
          <w:color w:val="auto"/>
        </w:rPr>
        <w:t xml:space="preserve"> часа </w:t>
      </w:r>
      <w:r>
        <w:rPr>
          <w:rFonts w:ascii="Arial" w:cs="Arial" w:eastAsia="Arial" w:hAnsi="Arial"/>
          <w:sz w:val="27"/>
          <w:szCs w:val="27"/>
          <w:color w:val="auto"/>
        </w:rPr>
        <w:t>30</w:t>
      </w:r>
      <w:r>
        <w:rPr>
          <w:rFonts w:ascii="Arial" w:cs="Arial" w:eastAsia="Arial" w:hAnsi="Arial"/>
          <w:sz w:val="27"/>
          <w:szCs w:val="27"/>
          <w:color w:val="auto"/>
        </w:rPr>
        <w:t xml:space="preserve"> мин</w:t>
      </w:r>
      <w:r>
        <w:rPr>
          <w:rFonts w:ascii="Arial" w:cs="Arial" w:eastAsia="Arial" w:hAnsi="Arial"/>
          <w:sz w:val="27"/>
          <w:szCs w:val="27"/>
          <w:color w:val="auto"/>
        </w:rPr>
        <w:t>)</w:t>
      </w:r>
      <w:r>
        <w:rPr>
          <w:rFonts w:ascii="Arial" w:cs="Arial" w:eastAsia="Arial" w:hAnsi="Arial"/>
          <w:sz w:val="27"/>
          <w:szCs w:val="27"/>
          <w:color w:val="auto"/>
        </w:rPr>
        <w:t xml:space="preserve"> в неделю аэробной физической активности умеренной интенсивности или </w:t>
      </w:r>
      <w:r>
        <w:rPr>
          <w:rFonts w:ascii="Arial" w:cs="Arial" w:eastAsia="Arial" w:hAnsi="Arial"/>
          <w:sz w:val="27"/>
          <w:szCs w:val="27"/>
          <w:color w:val="auto"/>
        </w:rPr>
        <w:t>75</w:t>
      </w:r>
      <w:r>
        <w:rPr>
          <w:rFonts w:ascii="Arial" w:cs="Arial" w:eastAsia="Arial" w:hAnsi="Arial"/>
          <w:sz w:val="27"/>
          <w:szCs w:val="27"/>
          <w:color w:val="auto"/>
        </w:rPr>
        <w:t xml:space="preserve"> мин </w:t>
      </w:r>
      <w:r>
        <w:rPr>
          <w:rFonts w:ascii="Arial" w:cs="Arial" w:eastAsia="Arial" w:hAnsi="Arial"/>
          <w:sz w:val="27"/>
          <w:szCs w:val="27"/>
          <w:color w:val="auto"/>
        </w:rPr>
        <w:t>(1</w:t>
      </w:r>
      <w:r>
        <w:rPr>
          <w:rFonts w:ascii="Arial" w:cs="Arial" w:eastAsia="Arial" w:hAnsi="Arial"/>
          <w:sz w:val="27"/>
          <w:szCs w:val="27"/>
          <w:color w:val="auto"/>
        </w:rPr>
        <w:t xml:space="preserve"> час </w:t>
      </w:r>
      <w:r>
        <w:rPr>
          <w:rFonts w:ascii="Arial" w:cs="Arial" w:eastAsia="Arial" w:hAnsi="Arial"/>
          <w:sz w:val="27"/>
          <w:szCs w:val="27"/>
          <w:color w:val="auto"/>
        </w:rPr>
        <w:t>15</w:t>
      </w:r>
      <w:r>
        <w:rPr>
          <w:rFonts w:ascii="Arial" w:cs="Arial" w:eastAsia="Arial" w:hAnsi="Arial"/>
          <w:sz w:val="27"/>
          <w:szCs w:val="27"/>
          <w:color w:val="auto"/>
        </w:rPr>
        <w:t xml:space="preserve"> мин</w:t>
      </w:r>
      <w:r>
        <w:rPr>
          <w:rFonts w:ascii="Arial" w:cs="Arial" w:eastAsia="Arial" w:hAnsi="Arial"/>
          <w:sz w:val="27"/>
          <w:szCs w:val="27"/>
          <w:color w:val="auto"/>
        </w:rPr>
        <w:t>)</w:t>
      </w:r>
      <w:r>
        <w:rPr>
          <w:rFonts w:ascii="Arial" w:cs="Arial" w:eastAsia="Arial" w:hAnsi="Arial"/>
          <w:sz w:val="27"/>
          <w:szCs w:val="27"/>
          <w:color w:val="auto"/>
        </w:rPr>
        <w:t xml:space="preserve"> в неделю аэробной физической активности высокой интенсивности </w:t>
      </w:r>
      <w:r>
        <w:rPr>
          <w:rFonts w:ascii="Arial" w:cs="Arial" w:eastAsia="Arial" w:hAnsi="Arial"/>
          <w:sz w:val="27"/>
          <w:szCs w:val="27"/>
          <w:color w:val="auto"/>
        </w:rPr>
        <w:t>[281,</w:t>
      </w:r>
      <w:r>
        <w:rPr>
          <w:rFonts w:ascii="Arial" w:cs="Arial" w:eastAsia="Arial" w:hAnsi="Arial"/>
          <w:sz w:val="27"/>
          <w:szCs w:val="27"/>
          <w:color w:val="auto"/>
        </w:rPr>
        <w:t xml:space="preserve"> </w:t>
      </w:r>
      <w:r>
        <w:rPr>
          <w:rFonts w:ascii="Arial" w:cs="Arial" w:eastAsia="Arial" w:hAnsi="Arial"/>
          <w:sz w:val="27"/>
          <w:szCs w:val="27"/>
          <w:color w:val="auto"/>
        </w:rPr>
        <w:t>300-301].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4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23"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Умеренная физическая нагрузка</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это такая</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нагрузка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которую можно выдержать в течение </w:t>
      </w:r>
      <w:r>
        <w:rPr>
          <w:rFonts w:ascii="Arial" w:cs="Arial" w:eastAsia="Arial" w:hAnsi="Arial"/>
          <w:sz w:val="26"/>
          <w:szCs w:val="26"/>
          <w:b w:val="1"/>
          <w:bCs w:val="1"/>
          <w:i w:val="1"/>
          <w:iCs w:val="1"/>
          <w:color w:val="auto"/>
        </w:rPr>
        <w:t>1</w:t>
      </w:r>
      <w:r>
        <w:rPr>
          <w:rFonts w:ascii="Arial" w:cs="Arial" w:eastAsia="Arial" w:hAnsi="Arial"/>
          <w:sz w:val="26"/>
          <w:szCs w:val="26"/>
          <w:b w:val="1"/>
          <w:bCs w:val="1"/>
          <w:i w:val="1"/>
          <w:iCs w:val="1"/>
          <w:color w:val="auto"/>
        </w:rPr>
        <w:t xml:space="preserve"> часа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а интенсивная физическая нагрузка та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при которой через </w:t>
      </w:r>
      <w:r>
        <w:rPr>
          <w:rFonts w:ascii="Arial" w:cs="Arial" w:eastAsia="Arial" w:hAnsi="Arial"/>
          <w:sz w:val="26"/>
          <w:szCs w:val="26"/>
          <w:b w:val="1"/>
          <w:bCs w:val="1"/>
          <w:i w:val="1"/>
          <w:iCs w:val="1"/>
          <w:color w:val="auto"/>
        </w:rPr>
        <w:t>30</w:t>
      </w:r>
      <w:r>
        <w:rPr>
          <w:rFonts w:ascii="Arial" w:cs="Arial" w:eastAsia="Arial" w:hAnsi="Arial"/>
          <w:sz w:val="26"/>
          <w:szCs w:val="26"/>
          <w:b w:val="1"/>
          <w:bCs w:val="1"/>
          <w:i w:val="1"/>
          <w:iCs w:val="1"/>
          <w:color w:val="auto"/>
        </w:rPr>
        <w:t xml:space="preserve"> минут появляется усталость </w:t>
      </w:r>
      <w:r>
        <w:rPr>
          <w:rFonts w:ascii="Arial" w:cs="Arial" w:eastAsia="Arial" w:hAnsi="Arial"/>
          <w:sz w:val="26"/>
          <w:szCs w:val="26"/>
          <w:b w:val="1"/>
          <w:bCs w:val="1"/>
          <w:i w:val="1"/>
          <w:iCs w:val="1"/>
          <w:color w:val="auto"/>
        </w:rPr>
        <w:t>[281].</w:t>
      </w:r>
      <w:r>
        <w:rPr>
          <w:rFonts w:ascii="Arial" w:cs="Arial" w:eastAsia="Arial" w:hAnsi="Arial"/>
          <w:sz w:val="26"/>
          <w:szCs w:val="26"/>
          <w:b w:val="1"/>
          <w:bCs w:val="1"/>
          <w:i w:val="1"/>
          <w:iCs w:val="1"/>
          <w:color w:val="auto"/>
        </w:rPr>
        <w:t xml:space="preserve"> Во время проведения физических нагрузок обязателен контроль АД</w:t>
      </w:r>
      <w:r>
        <w:rPr>
          <w:rFonts w:ascii="Arial" w:cs="Arial" w:eastAsia="Arial" w:hAnsi="Arial"/>
          <w:sz w:val="26"/>
          <w:szCs w:val="26"/>
          <w:b w:val="1"/>
          <w:bCs w:val="1"/>
          <w:i w:val="1"/>
          <w:iCs w:val="1"/>
          <w:color w:val="auto"/>
        </w:rPr>
        <w:t>.</w:t>
      </w:r>
    </w:p>
    <w:p>
      <w:pPr>
        <w:sectPr>
          <w:pgSz w:w="11900" w:h="16840" w:orient="portrait"/>
          <w:cols w:equalWidth="0" w:num="1">
            <w:col w:w="9020"/>
          </w:cols>
          <w:pgMar w:left="1440" w:top="671" w:right="1440" w:bottom="1440" w:gutter="0" w:footer="0" w:header="0"/>
        </w:sectPr>
      </w:pPr>
    </w:p>
    <w:bookmarkStart w:id="80" w:name="page81"/>
    <w:bookmarkEnd w:id="80"/>
    <w:p>
      <w:pPr>
        <w:spacing w:after="0" w:line="144" w:lineRule="exact"/>
        <w:rPr>
          <w:sz w:val="20"/>
          <w:szCs w:val="20"/>
          <w:color w:val="auto"/>
        </w:rPr>
      </w:pPr>
    </w:p>
    <w:p>
      <w:pPr>
        <w:ind w:left="900" w:hanging="539"/>
        <w:spacing w:after="0"/>
        <w:tabs>
          <w:tab w:leader="none" w:pos="900" w:val="left"/>
        </w:tabs>
        <w:numPr>
          <w:ilvl w:val="0"/>
          <w:numId w:val="57"/>
        </w:numPr>
        <w:rPr>
          <w:rFonts w:ascii="Arial" w:cs="Arial" w:eastAsia="Arial" w:hAnsi="Arial"/>
          <w:sz w:val="48"/>
          <w:szCs w:val="48"/>
          <w:b w:val="1"/>
          <w:bCs w:val="1"/>
          <w:color w:val="auto"/>
        </w:rPr>
      </w:pPr>
      <w:r>
        <w:rPr>
          <w:rFonts w:ascii="Arial" w:cs="Arial" w:eastAsia="Arial" w:hAnsi="Arial"/>
          <w:sz w:val="48"/>
          <w:szCs w:val="48"/>
          <w:b w:val="1"/>
          <w:bCs w:val="1"/>
          <w:color w:val="auto"/>
        </w:rPr>
        <w:t>Профилактика</w:t>
      </w:r>
    </w:p>
    <w:p>
      <w:pPr>
        <w:spacing w:after="0" w:line="200" w:lineRule="exact"/>
        <w:rPr>
          <w:sz w:val="20"/>
          <w:szCs w:val="20"/>
          <w:color w:val="auto"/>
        </w:rPr>
      </w:pPr>
    </w:p>
    <w:p>
      <w:pPr>
        <w:spacing w:after="0" w:line="277" w:lineRule="exact"/>
        <w:rPr>
          <w:sz w:val="20"/>
          <w:szCs w:val="20"/>
          <w:color w:val="auto"/>
        </w:rPr>
      </w:pPr>
    </w:p>
    <w:p>
      <w:pPr>
        <w:jc w:val="both"/>
        <w:ind w:left="680" w:right="220"/>
        <w:spacing w:after="0" w:line="308" w:lineRule="auto"/>
        <w:rPr>
          <w:sz w:val="20"/>
          <w:szCs w:val="20"/>
          <w:color w:val="auto"/>
        </w:rPr>
      </w:pPr>
      <w:r>
        <w:rPr>
          <w:rFonts w:ascii="Arial" w:cs="Arial" w:eastAsia="Arial" w:hAnsi="Arial"/>
          <w:sz w:val="27"/>
          <w:szCs w:val="27"/>
          <w:color w:val="auto"/>
        </w:rPr>
        <w:t xml:space="preserve">Динамическое наблюдение </w:t>
      </w:r>
      <w:r>
        <w:rPr>
          <w:rFonts w:ascii="Arial" w:cs="Arial" w:eastAsia="Arial" w:hAnsi="Arial"/>
          <w:sz w:val="27"/>
          <w:szCs w:val="27"/>
          <w:color w:val="auto"/>
        </w:rPr>
        <w:t>—</w:t>
      </w:r>
      <w:r>
        <w:rPr>
          <w:rFonts w:ascii="Arial" w:cs="Arial" w:eastAsia="Arial" w:hAnsi="Arial"/>
          <w:sz w:val="27"/>
          <w:szCs w:val="27"/>
          <w:color w:val="auto"/>
        </w:rPr>
        <w:t xml:space="preserve"> чрезвычайно важная составляющая медицинской помощи пациентам с АГ</w:t>
      </w:r>
      <w:r>
        <w:rPr>
          <w:rFonts w:ascii="Arial" w:cs="Arial" w:eastAsia="Arial" w:hAnsi="Arial"/>
          <w:sz w:val="27"/>
          <w:szCs w:val="27"/>
          <w:color w:val="auto"/>
        </w:rPr>
        <w:t>,</w:t>
      </w:r>
      <w:r>
        <w:rPr>
          <w:rFonts w:ascii="Arial" w:cs="Arial" w:eastAsia="Arial" w:hAnsi="Arial"/>
          <w:sz w:val="27"/>
          <w:szCs w:val="27"/>
          <w:color w:val="auto"/>
        </w:rPr>
        <w:t xml:space="preserve"> задачами которого являются</w:t>
      </w:r>
      <w:r>
        <w:rPr>
          <w:rFonts w:ascii="Arial" w:cs="Arial" w:eastAsia="Arial" w:hAnsi="Arial"/>
          <w:sz w:val="27"/>
          <w:szCs w:val="27"/>
          <w:color w:val="auto"/>
        </w:rPr>
        <w:t>:</w:t>
      </w:r>
      <w:r>
        <w:rPr>
          <w:rFonts w:ascii="Arial" w:cs="Arial" w:eastAsia="Arial" w:hAnsi="Arial"/>
          <w:sz w:val="27"/>
          <w:szCs w:val="27"/>
          <w:color w:val="auto"/>
        </w:rPr>
        <w:t xml:space="preserve"> поддержание целевых уровней АД</w:t>
      </w:r>
      <w:r>
        <w:rPr>
          <w:rFonts w:ascii="Arial" w:cs="Arial" w:eastAsia="Arial" w:hAnsi="Arial"/>
          <w:sz w:val="27"/>
          <w:szCs w:val="27"/>
          <w:color w:val="auto"/>
        </w:rPr>
        <w:t>,</w:t>
      </w:r>
      <w:r>
        <w:rPr>
          <w:rFonts w:ascii="Arial" w:cs="Arial" w:eastAsia="Arial" w:hAnsi="Arial"/>
          <w:sz w:val="27"/>
          <w:szCs w:val="27"/>
          <w:color w:val="auto"/>
        </w:rPr>
        <w:t xml:space="preserve"> контроль выполнения врачебных рекомендаций по коррекции ФР</w:t>
      </w:r>
      <w:r>
        <w:rPr>
          <w:rFonts w:ascii="Arial" w:cs="Arial" w:eastAsia="Arial" w:hAnsi="Arial"/>
          <w:sz w:val="27"/>
          <w:szCs w:val="27"/>
          <w:color w:val="auto"/>
        </w:rPr>
        <w:t>,</w:t>
      </w:r>
      <w:r>
        <w:rPr>
          <w:rFonts w:ascii="Arial" w:cs="Arial" w:eastAsia="Arial" w:hAnsi="Arial"/>
          <w:sz w:val="27"/>
          <w:szCs w:val="27"/>
          <w:color w:val="auto"/>
        </w:rPr>
        <w:t xml:space="preserve"> контроль за соблюдением режима приема АГП</w:t>
      </w:r>
      <w:r>
        <w:rPr>
          <w:rFonts w:ascii="Arial" w:cs="Arial" w:eastAsia="Arial" w:hAnsi="Arial"/>
          <w:sz w:val="27"/>
          <w:szCs w:val="27"/>
          <w:color w:val="auto"/>
        </w:rPr>
        <w:t>,</w:t>
      </w:r>
      <w:r>
        <w:rPr>
          <w:rFonts w:ascii="Arial" w:cs="Arial" w:eastAsia="Arial" w:hAnsi="Arial"/>
          <w:sz w:val="27"/>
          <w:szCs w:val="27"/>
          <w:color w:val="auto"/>
        </w:rPr>
        <w:t xml:space="preserve"> оценка состояния 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p>
    <w:p>
      <w:pPr>
        <w:spacing w:after="0" w:line="22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 xml:space="preserve">При стабильном течении АГ приемлемой альтернативой визитам в медицинское учреждение могут быть ДМАД </w:t>
      </w:r>
      <w:r>
        <w:rPr>
          <w:rFonts w:ascii="Arial" w:cs="Arial" w:eastAsia="Arial" w:hAnsi="Arial"/>
          <w:sz w:val="27"/>
          <w:szCs w:val="27"/>
          <w:color w:val="auto"/>
        </w:rPr>
        <w:t>[292,</w:t>
      </w:r>
      <w:r>
        <w:rPr>
          <w:rFonts w:ascii="Arial" w:cs="Arial" w:eastAsia="Arial" w:hAnsi="Arial"/>
          <w:sz w:val="27"/>
          <w:szCs w:val="27"/>
          <w:color w:val="auto"/>
        </w:rPr>
        <w:t xml:space="preserve"> </w:t>
      </w:r>
      <w:r>
        <w:rPr>
          <w:rFonts w:ascii="Arial" w:cs="Arial" w:eastAsia="Arial" w:hAnsi="Arial"/>
          <w:sz w:val="27"/>
          <w:szCs w:val="27"/>
          <w:color w:val="auto"/>
        </w:rPr>
        <w:t>294–296].</w:t>
      </w:r>
    </w:p>
    <w:p>
      <w:pPr>
        <w:spacing w:after="0" w:line="210"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Все рекомендации</w:t>
      </w:r>
      <w:r>
        <w:rPr>
          <w:rFonts w:ascii="Arial" w:cs="Arial" w:eastAsia="Arial" w:hAnsi="Arial"/>
          <w:sz w:val="27"/>
          <w:szCs w:val="27"/>
          <w:color w:val="auto"/>
        </w:rPr>
        <w:t>,</w:t>
      </w:r>
      <w:r>
        <w:rPr>
          <w:rFonts w:ascii="Arial" w:cs="Arial" w:eastAsia="Arial" w:hAnsi="Arial"/>
          <w:sz w:val="27"/>
          <w:szCs w:val="27"/>
          <w:color w:val="auto"/>
        </w:rPr>
        <w:t xml:space="preserve"> даваемые пациенту</w:t>
      </w:r>
      <w:r>
        <w:rPr>
          <w:rFonts w:ascii="Arial" w:cs="Arial" w:eastAsia="Arial" w:hAnsi="Arial"/>
          <w:sz w:val="27"/>
          <w:szCs w:val="27"/>
          <w:color w:val="auto"/>
        </w:rPr>
        <w:t>,</w:t>
      </w:r>
      <w:r>
        <w:rPr>
          <w:rFonts w:ascii="Arial" w:cs="Arial" w:eastAsia="Arial" w:hAnsi="Arial"/>
          <w:sz w:val="27"/>
          <w:szCs w:val="27"/>
          <w:color w:val="auto"/>
        </w:rPr>
        <w:t xml:space="preserve"> должны быть ясными</w:t>
      </w:r>
      <w:r>
        <w:rPr>
          <w:rFonts w:ascii="Arial" w:cs="Arial" w:eastAsia="Arial" w:hAnsi="Arial"/>
          <w:sz w:val="27"/>
          <w:szCs w:val="27"/>
          <w:color w:val="auto"/>
        </w:rPr>
        <w:t>,</w:t>
      </w:r>
      <w:r>
        <w:rPr>
          <w:rFonts w:ascii="Arial" w:cs="Arial" w:eastAsia="Arial" w:hAnsi="Arial"/>
          <w:sz w:val="27"/>
          <w:szCs w:val="27"/>
          <w:color w:val="auto"/>
        </w:rPr>
        <w:t xml:space="preserve"> четкими и соответствовать его интеллектуальному уровню</w:t>
      </w:r>
      <w:r>
        <w:rPr>
          <w:rFonts w:ascii="Arial" w:cs="Arial" w:eastAsia="Arial" w:hAnsi="Arial"/>
          <w:sz w:val="27"/>
          <w:szCs w:val="27"/>
          <w:color w:val="auto"/>
        </w:rPr>
        <w:t>.</w:t>
      </w:r>
    </w:p>
    <w:p>
      <w:pPr>
        <w:spacing w:after="0" w:line="186" w:lineRule="exact"/>
        <w:rPr>
          <w:sz w:val="20"/>
          <w:szCs w:val="20"/>
          <w:color w:val="auto"/>
        </w:rPr>
      </w:pPr>
    </w:p>
    <w:p>
      <w:pPr>
        <w:jc w:val="both"/>
        <w:ind w:left="680" w:right="220" w:hanging="4"/>
        <w:spacing w:after="0" w:line="309" w:lineRule="auto"/>
        <w:tabs>
          <w:tab w:leader="none" w:pos="967" w:val="left"/>
        </w:tabs>
        <w:numPr>
          <w:ilvl w:val="0"/>
          <w:numId w:val="58"/>
        </w:numPr>
        <w:rPr>
          <w:rFonts w:ascii="Arial" w:cs="Arial" w:eastAsia="Arial" w:hAnsi="Arial"/>
          <w:sz w:val="27"/>
          <w:szCs w:val="27"/>
          <w:color w:val="auto"/>
        </w:rPr>
      </w:pPr>
      <w:r>
        <w:rPr>
          <w:rFonts w:ascii="Arial" w:cs="Arial" w:eastAsia="Arial" w:hAnsi="Arial"/>
          <w:sz w:val="27"/>
          <w:szCs w:val="27"/>
          <w:color w:val="auto"/>
        </w:rPr>
        <w:t>целью обеспечить осознанное участие пациента в лечебно</w:t>
      </w:r>
      <w:r>
        <w:rPr>
          <w:rFonts w:ascii="Arial" w:cs="Arial" w:eastAsia="Arial" w:hAnsi="Arial"/>
          <w:sz w:val="27"/>
          <w:szCs w:val="27"/>
          <w:color w:val="auto"/>
        </w:rPr>
        <w:t>-</w:t>
      </w:r>
      <w:r>
        <w:rPr>
          <w:rFonts w:ascii="Arial" w:cs="Arial" w:eastAsia="Arial" w:hAnsi="Arial"/>
          <w:sz w:val="27"/>
          <w:szCs w:val="27"/>
          <w:color w:val="auto"/>
        </w:rPr>
        <w:t>профилактическом процессе и повысить эффективность лечения целесообразно для ряда пациентов</w:t>
      </w:r>
      <w:r>
        <w:rPr>
          <w:rFonts w:ascii="Arial" w:cs="Arial" w:eastAsia="Arial" w:hAnsi="Arial"/>
          <w:sz w:val="27"/>
          <w:szCs w:val="27"/>
          <w:color w:val="auto"/>
        </w:rPr>
        <w:t>,</w:t>
      </w:r>
      <w:r>
        <w:rPr>
          <w:rFonts w:ascii="Arial" w:cs="Arial" w:eastAsia="Arial" w:hAnsi="Arial"/>
          <w:sz w:val="27"/>
          <w:szCs w:val="27"/>
          <w:color w:val="auto"/>
        </w:rPr>
        <w:t xml:space="preserve"> для которых устных рекомендаций недостаточно</w:t>
      </w:r>
      <w:r>
        <w:rPr>
          <w:rFonts w:ascii="Arial" w:cs="Arial" w:eastAsia="Arial" w:hAnsi="Arial"/>
          <w:sz w:val="27"/>
          <w:szCs w:val="27"/>
          <w:color w:val="auto"/>
        </w:rPr>
        <w:t>,</w:t>
      </w:r>
      <w:r>
        <w:rPr>
          <w:rFonts w:ascii="Arial" w:cs="Arial" w:eastAsia="Arial" w:hAnsi="Arial"/>
          <w:sz w:val="27"/>
          <w:szCs w:val="27"/>
          <w:color w:val="auto"/>
        </w:rPr>
        <w:t xml:space="preserve"> продублировать их в письменном виде</w:t>
      </w:r>
      <w:r>
        <w:rPr>
          <w:rFonts w:ascii="Arial" w:cs="Arial" w:eastAsia="Arial" w:hAnsi="Arial"/>
          <w:sz w:val="27"/>
          <w:szCs w:val="27"/>
          <w:color w:val="auto"/>
        </w:rPr>
        <w:t>.</w:t>
      </w:r>
    </w:p>
    <w:p>
      <w:pPr>
        <w:spacing w:after="0" w:line="222" w:lineRule="exact"/>
        <w:rPr>
          <w:sz w:val="20"/>
          <w:szCs w:val="20"/>
          <w:color w:val="auto"/>
        </w:rPr>
      </w:pPr>
    </w:p>
    <w:p>
      <w:pPr>
        <w:jc w:val="both"/>
        <w:ind w:left="680" w:right="220"/>
        <w:spacing w:after="0" w:line="334" w:lineRule="auto"/>
        <w:rPr>
          <w:sz w:val="20"/>
          <w:szCs w:val="20"/>
          <w:color w:val="auto"/>
        </w:rPr>
      </w:pPr>
      <w:r>
        <w:rPr>
          <w:rFonts w:ascii="Arial" w:cs="Arial" w:eastAsia="Arial" w:hAnsi="Arial"/>
          <w:sz w:val="27"/>
          <w:szCs w:val="27"/>
          <w:color w:val="auto"/>
        </w:rPr>
        <w:t xml:space="preserve">Всем пациентам с высоким нормальным АД </w:t>
      </w:r>
      <w:r>
        <w:rPr>
          <w:rFonts w:ascii="Arial" w:cs="Arial" w:eastAsia="Arial" w:hAnsi="Arial"/>
          <w:sz w:val="27"/>
          <w:szCs w:val="27"/>
          <w:color w:val="auto"/>
        </w:rPr>
        <w:t>(130–139/85–89</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изменение образа жизни </w:t>
      </w:r>
      <w:r>
        <w:rPr>
          <w:rFonts w:ascii="Arial" w:cs="Arial" w:eastAsia="Arial" w:hAnsi="Arial"/>
          <w:sz w:val="27"/>
          <w:szCs w:val="27"/>
          <w:color w:val="auto"/>
        </w:rPr>
        <w:t>[21, 22, 98].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4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w:t>
      </w:r>
      <w:r>
        <w:rPr>
          <w:rFonts w:ascii="Arial" w:cs="Arial" w:eastAsia="Arial" w:hAnsi="Arial"/>
          <w:sz w:val="27"/>
          <w:szCs w:val="27"/>
          <w:b w:val="1"/>
          <w:bCs w:val="1"/>
          <w:color w:val="auto"/>
        </w:rPr>
        <w:t>I</w:t>
      </w:r>
      <w:r>
        <w:rPr>
          <w:rFonts w:ascii="Arial" w:cs="Arial" w:eastAsia="Arial" w:hAnsi="Arial"/>
          <w:sz w:val="27"/>
          <w:szCs w:val="27"/>
          <w:b w:val="1"/>
          <w:bCs w:val="1"/>
          <w:color w:val="auto"/>
        </w:rPr>
        <w:t xml:space="preserve">А </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7"/>
          <w:szCs w:val="27"/>
          <w:color w:val="auto"/>
        </w:rPr>
        <w:t>Рекомендуется всем пациентам с АГ в рамках диспансерного наблюдения проводить оценку факторов риска и ПОМ не реже</w:t>
      </w:r>
      <w:r>
        <w:rPr>
          <w:rFonts w:ascii="Arial" w:cs="Arial" w:eastAsia="Arial" w:hAnsi="Arial"/>
          <w:sz w:val="27"/>
          <w:szCs w:val="27"/>
          <w:color w:val="auto"/>
        </w:rPr>
        <w:t>,</w:t>
      </w:r>
      <w:r>
        <w:rPr>
          <w:rFonts w:ascii="Arial" w:cs="Arial" w:eastAsia="Arial" w:hAnsi="Arial"/>
          <w:sz w:val="27"/>
          <w:szCs w:val="27"/>
          <w:color w:val="auto"/>
        </w:rPr>
        <w:t xml:space="preserve"> чем </w:t>
      </w:r>
      <w:r>
        <w:rPr>
          <w:rFonts w:ascii="Arial" w:cs="Arial" w:eastAsia="Arial" w:hAnsi="Arial"/>
          <w:sz w:val="27"/>
          <w:szCs w:val="27"/>
          <w:color w:val="auto"/>
        </w:rPr>
        <w:t>1</w:t>
      </w:r>
      <w:r>
        <w:rPr>
          <w:rFonts w:ascii="Arial" w:cs="Arial" w:eastAsia="Arial" w:hAnsi="Arial"/>
          <w:sz w:val="27"/>
          <w:szCs w:val="27"/>
          <w:color w:val="auto"/>
        </w:rPr>
        <w:t xml:space="preserve"> раз в год </w:t>
      </w:r>
      <w:r>
        <w:rPr>
          <w:rFonts w:ascii="Arial" w:cs="Arial" w:eastAsia="Arial" w:hAnsi="Arial"/>
          <w:sz w:val="27"/>
          <w:szCs w:val="27"/>
          <w:color w:val="auto"/>
        </w:rPr>
        <w:t>[21].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4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5,</w:t>
      </w:r>
      <w:r>
        <w:rPr>
          <w:rFonts w:ascii="Arial" w:cs="Arial" w:eastAsia="Arial" w:hAnsi="Arial"/>
          <w:sz w:val="27"/>
          <w:szCs w:val="27"/>
          <w:b w:val="1"/>
          <w:bCs w:val="1"/>
          <w:color w:val="auto"/>
        </w:rPr>
        <w:t xml:space="preserve"> УДД С</w:t>
      </w:r>
      <w:r>
        <w:rPr>
          <w:rFonts w:ascii="Arial" w:cs="Arial" w:eastAsia="Arial" w:hAnsi="Arial"/>
          <w:sz w:val="27"/>
          <w:szCs w:val="27"/>
          <w:b w:val="1"/>
          <w:bCs w:val="1"/>
          <w:color w:val="auto"/>
        </w:rPr>
        <w:t>)</w:t>
      </w:r>
    </w:p>
    <w:p>
      <w:pPr>
        <w:spacing w:after="0" w:line="350" w:lineRule="exact"/>
        <w:rPr>
          <w:sz w:val="20"/>
          <w:szCs w:val="20"/>
          <w:color w:val="auto"/>
        </w:rPr>
      </w:pPr>
    </w:p>
    <w:p>
      <w:pPr>
        <w:jc w:val="both"/>
        <w:ind w:left="680" w:right="220"/>
        <w:spacing w:after="0" w:line="317"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У пациентов с высоким нормальным АД или АГ</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белого халата</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нередко выявляются дополнительные факторы</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риска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ПОМ</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а также высокий риск развития устойчивой АГ </w:t>
      </w:r>
      <w:r>
        <w:rPr>
          <w:rFonts w:ascii="Arial" w:cs="Arial" w:eastAsia="Arial" w:hAnsi="Arial"/>
          <w:sz w:val="26"/>
          <w:szCs w:val="26"/>
          <w:b w:val="1"/>
          <w:bCs w:val="1"/>
          <w:i w:val="1"/>
          <w:iCs w:val="1"/>
          <w:color w:val="auto"/>
        </w:rPr>
        <w:t xml:space="preserve">[282–286], </w:t>
      </w:r>
      <w:r>
        <w:rPr>
          <w:rFonts w:ascii="Arial" w:cs="Arial" w:eastAsia="Arial" w:hAnsi="Arial"/>
          <w:sz w:val="26"/>
          <w:szCs w:val="26"/>
          <w:b w:val="1"/>
          <w:bCs w:val="1"/>
          <w:i w:val="1"/>
          <w:iCs w:val="1"/>
          <w:color w:val="auto"/>
        </w:rPr>
        <w:t>поэтому даже при отсутствии лечения пациентов</w:t>
      </w:r>
      <w:r>
        <w:rPr>
          <w:rFonts w:ascii="Arial" w:cs="Arial" w:eastAsia="Arial" w:hAnsi="Arial"/>
          <w:sz w:val="26"/>
          <w:szCs w:val="26"/>
          <w:b w:val="1"/>
          <w:bCs w:val="1"/>
          <w:i w:val="1"/>
          <w:iCs w:val="1"/>
          <w:color w:val="auto"/>
        </w:rPr>
        <w:t xml:space="preserve"> </w:t>
      </w:r>
      <w:r>
        <w:rPr>
          <w:rFonts w:ascii="Arial" w:cs="Arial" w:eastAsia="Arial" w:hAnsi="Arial"/>
          <w:sz w:val="26"/>
          <w:szCs w:val="26"/>
          <w:b w:val="1"/>
          <w:bCs w:val="1"/>
          <w:i w:val="1"/>
          <w:iCs w:val="1"/>
          <w:color w:val="auto"/>
        </w:rPr>
        <w:t xml:space="preserve">необходимо регулярно наблюдать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по крайней мере</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ежегодно</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для оценки клинического АД</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АД</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измеренного вне медицинского учреждения и СС риска</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При ежегодных визитах следует обращать внимание на рекомендации по изменению образа жизни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которые являются методом адекватной терапии таких пациентов</w:t>
      </w:r>
      <w:r>
        <w:rPr>
          <w:rFonts w:ascii="Arial" w:cs="Arial" w:eastAsia="Arial" w:hAnsi="Arial"/>
          <w:sz w:val="26"/>
          <w:szCs w:val="26"/>
          <w:b w:val="1"/>
          <w:bCs w:val="1"/>
          <w:i w:val="1"/>
          <w:iCs w:val="1"/>
          <w:color w:val="auto"/>
        </w:rPr>
        <w:t>.</w:t>
      </w:r>
    </w:p>
    <w:p>
      <w:pPr>
        <w:sectPr>
          <w:pgSz w:w="11900" w:h="16984" w:orient="portrait"/>
          <w:cols w:equalWidth="0" w:num="1">
            <w:col w:w="9020"/>
          </w:cols>
          <w:pgMar w:left="1440" w:top="671" w:right="1440" w:bottom="0" w:gutter="0" w:footer="0" w:header="0"/>
        </w:sectPr>
      </w:pPr>
    </w:p>
    <w:bookmarkStart w:id="81" w:name="page82"/>
    <w:bookmarkEnd w:id="81"/>
    <w:p>
      <w:pPr>
        <w:jc w:val="both"/>
        <w:ind w:left="680" w:right="220"/>
        <w:spacing w:after="0" w:line="309" w:lineRule="auto"/>
        <w:rPr>
          <w:sz w:val="20"/>
          <w:szCs w:val="20"/>
          <w:color w:val="auto"/>
        </w:rPr>
      </w:pPr>
      <w:r>
        <w:rPr>
          <w:rFonts w:ascii="Arial" w:cs="Arial" w:eastAsia="Arial" w:hAnsi="Arial"/>
          <w:sz w:val="27"/>
          <w:szCs w:val="27"/>
          <w:color w:val="auto"/>
        </w:rPr>
        <w:t>Всем пациентам с АГ</w:t>
      </w:r>
      <w:r>
        <w:rPr>
          <w:rFonts w:ascii="Arial" w:cs="Arial" w:eastAsia="Arial" w:hAnsi="Arial"/>
          <w:sz w:val="27"/>
          <w:szCs w:val="27"/>
          <w:color w:val="auto"/>
        </w:rPr>
        <w:t>,</w:t>
      </w:r>
      <w:r>
        <w:rPr>
          <w:rFonts w:ascii="Arial" w:cs="Arial" w:eastAsia="Arial" w:hAnsi="Arial"/>
          <w:sz w:val="27"/>
          <w:szCs w:val="27"/>
          <w:color w:val="auto"/>
        </w:rPr>
        <w:t xml:space="preserve"> которым была назначена АГТ</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проводить плановые визиты к врачу для оценки переносимости</w:t>
      </w:r>
      <w:r>
        <w:rPr>
          <w:rFonts w:ascii="Arial" w:cs="Arial" w:eastAsia="Arial" w:hAnsi="Arial"/>
          <w:sz w:val="27"/>
          <w:szCs w:val="27"/>
          <w:color w:val="auto"/>
        </w:rPr>
        <w:t>,</w:t>
      </w:r>
      <w:r>
        <w:rPr>
          <w:rFonts w:ascii="Arial" w:cs="Arial" w:eastAsia="Arial" w:hAnsi="Arial"/>
          <w:sz w:val="27"/>
          <w:szCs w:val="27"/>
          <w:color w:val="auto"/>
        </w:rPr>
        <w:t xml:space="preserve"> эффективности и безопасности лечения</w:t>
      </w:r>
      <w:r>
        <w:rPr>
          <w:rFonts w:ascii="Arial" w:cs="Arial" w:eastAsia="Arial" w:hAnsi="Arial"/>
          <w:sz w:val="27"/>
          <w:szCs w:val="27"/>
          <w:color w:val="auto"/>
        </w:rPr>
        <w:t>,</w:t>
      </w:r>
      <w:r>
        <w:rPr>
          <w:rFonts w:ascii="Arial" w:cs="Arial" w:eastAsia="Arial" w:hAnsi="Arial"/>
          <w:sz w:val="27"/>
          <w:szCs w:val="27"/>
          <w:color w:val="auto"/>
        </w:rPr>
        <w:t xml:space="preserve"> а также контроля выполнения врачебных рекомендаций </w:t>
      </w:r>
      <w:r>
        <w:rPr>
          <w:rFonts w:ascii="Arial" w:cs="Arial" w:eastAsia="Arial" w:hAnsi="Arial"/>
          <w:sz w:val="27"/>
          <w:szCs w:val="27"/>
          <w:u w:val="single" w:color="auto"/>
          <w:color w:val="auto"/>
        </w:rPr>
        <w:t>[</w:t>
      </w:r>
      <w:r>
        <w:rPr>
          <w:rFonts w:ascii="Arial" w:cs="Arial" w:eastAsia="Arial" w:hAnsi="Arial"/>
          <w:sz w:val="27"/>
          <w:szCs w:val="27"/>
          <w:color w:val="auto"/>
        </w:rPr>
        <w:t>21, 289,</w:t>
      </w:r>
      <w:r>
        <w:rPr>
          <w:rFonts w:ascii="Arial" w:cs="Arial" w:eastAsia="Arial" w:hAnsi="Arial"/>
          <w:sz w:val="27"/>
          <w:szCs w:val="27"/>
          <w:color w:val="auto"/>
        </w:rPr>
        <w:t xml:space="preserve"> </w:t>
      </w:r>
      <w:r>
        <w:rPr>
          <w:rFonts w:ascii="Arial" w:cs="Arial" w:eastAsia="Arial" w:hAnsi="Arial"/>
          <w:sz w:val="27"/>
          <w:szCs w:val="27"/>
          <w:color w:val="auto"/>
        </w:rPr>
        <w:t>290].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-1188720</wp:posOffset>
            </wp:positionV>
            <wp:extent cx="82550" cy="82550"/>
            <wp:wrapNone/>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4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2"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27" w:lineRule="auto"/>
        <w:rPr>
          <w:sz w:val="20"/>
          <w:szCs w:val="20"/>
          <w:color w:val="auto"/>
        </w:rPr>
      </w:pPr>
      <w:r>
        <w:rPr>
          <w:rFonts w:ascii="Arial" w:cs="Arial" w:eastAsia="Arial" w:hAnsi="Arial"/>
          <w:sz w:val="26"/>
          <w:szCs w:val="26"/>
          <w:b w:val="1"/>
          <w:bCs w:val="1"/>
          <w:color w:val="auto"/>
        </w:rPr>
        <w:t>Комментарии</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Визиты проводятся с интервалом в</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3–4</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недели</w:t>
      </w:r>
      <w:r>
        <w:rPr>
          <w:rFonts w:ascii="Arial" w:cs="Arial" w:eastAsia="Arial" w:hAnsi="Arial"/>
          <w:sz w:val="26"/>
          <w:szCs w:val="26"/>
          <w:b w:val="1"/>
          <w:bCs w:val="1"/>
          <w:color w:val="auto"/>
        </w:rPr>
        <w:t xml:space="preserve"> </w:t>
      </w:r>
      <w:r>
        <w:rPr>
          <w:rFonts w:ascii="Arial" w:cs="Arial" w:eastAsia="Arial" w:hAnsi="Arial"/>
          <w:sz w:val="26"/>
          <w:szCs w:val="26"/>
          <w:b w:val="1"/>
          <w:bCs w:val="1"/>
          <w:i w:val="1"/>
          <w:iCs w:val="1"/>
          <w:color w:val="auto"/>
        </w:rPr>
        <w:t xml:space="preserve">до достижения целевого уровня АД </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при отсутствии других причин более частых визитов</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Целевое АД должно быть достигнуто в течение </w:t>
      </w:r>
      <w:r>
        <w:rPr>
          <w:rFonts w:ascii="Arial" w:cs="Arial" w:eastAsia="Arial" w:hAnsi="Arial"/>
          <w:sz w:val="26"/>
          <w:szCs w:val="26"/>
          <w:b w:val="1"/>
          <w:bCs w:val="1"/>
          <w:i w:val="1"/>
          <w:iCs w:val="1"/>
          <w:color w:val="auto"/>
        </w:rPr>
        <w:t>3</w:t>
      </w:r>
      <w:r>
        <w:rPr>
          <w:rFonts w:ascii="Arial" w:cs="Arial" w:eastAsia="Arial" w:hAnsi="Arial"/>
          <w:sz w:val="26"/>
          <w:szCs w:val="26"/>
          <w:b w:val="1"/>
          <w:bCs w:val="1"/>
          <w:i w:val="1"/>
          <w:iCs w:val="1"/>
          <w:color w:val="auto"/>
        </w:rPr>
        <w:t xml:space="preserve"> месяцев</w:t>
      </w:r>
      <w:r>
        <w:rPr>
          <w:rFonts w:ascii="Arial" w:cs="Arial" w:eastAsia="Arial" w:hAnsi="Arial"/>
          <w:sz w:val="26"/>
          <w:szCs w:val="26"/>
          <w:b w:val="1"/>
          <w:bCs w:val="1"/>
          <w:i w:val="1"/>
          <w:iCs w:val="1"/>
          <w:color w:val="auto"/>
        </w:rPr>
        <w:t>.</w:t>
      </w:r>
    </w:p>
    <w:p>
      <w:pPr>
        <w:spacing w:after="0" w:line="201" w:lineRule="exact"/>
        <w:rPr>
          <w:sz w:val="20"/>
          <w:szCs w:val="20"/>
          <w:color w:val="auto"/>
        </w:rPr>
      </w:pPr>
    </w:p>
    <w:p>
      <w:pPr>
        <w:jc w:val="both"/>
        <w:ind w:left="680" w:right="220"/>
        <w:spacing w:after="0" w:line="305" w:lineRule="auto"/>
        <w:rPr>
          <w:sz w:val="20"/>
          <w:szCs w:val="20"/>
          <w:color w:val="auto"/>
        </w:rPr>
      </w:pPr>
      <w:r>
        <w:rPr>
          <w:rFonts w:ascii="Arial" w:cs="Arial" w:eastAsia="Arial" w:hAnsi="Arial"/>
          <w:sz w:val="27"/>
          <w:szCs w:val="27"/>
          <w:color w:val="auto"/>
        </w:rPr>
        <w:t>Всем пациентам с АГ</w:t>
      </w:r>
      <w:r>
        <w:rPr>
          <w:rFonts w:ascii="Arial" w:cs="Arial" w:eastAsia="Arial" w:hAnsi="Arial"/>
          <w:sz w:val="27"/>
          <w:szCs w:val="27"/>
          <w:color w:val="auto"/>
        </w:rPr>
        <w:t>,</w:t>
      </w:r>
      <w:r>
        <w:rPr>
          <w:rFonts w:ascii="Arial" w:cs="Arial" w:eastAsia="Arial" w:hAnsi="Arial"/>
          <w:sz w:val="27"/>
          <w:szCs w:val="27"/>
          <w:color w:val="auto"/>
        </w:rPr>
        <w:t xml:space="preserve"> принимающим АГТ</w:t>
      </w:r>
      <w:r>
        <w:rPr>
          <w:rFonts w:ascii="Arial" w:cs="Arial" w:eastAsia="Arial" w:hAnsi="Arial"/>
          <w:sz w:val="27"/>
          <w:szCs w:val="27"/>
          <w:color w:val="auto"/>
        </w:rPr>
        <w:t>,</w:t>
      </w:r>
      <w:r>
        <w:rPr>
          <w:rFonts w:ascii="Arial" w:cs="Arial" w:eastAsia="Arial" w:hAnsi="Arial"/>
          <w:sz w:val="27"/>
          <w:szCs w:val="27"/>
          <w:color w:val="auto"/>
        </w:rPr>
        <w:t xml:space="preserve"> при ее недостаточной эффективности рекомендуется производить замену ранее назначенного АГП или присоединять другой АГП</w:t>
      </w:r>
      <w:r>
        <w:rPr>
          <w:rFonts w:ascii="Arial" w:cs="Arial" w:eastAsia="Arial" w:hAnsi="Arial"/>
          <w:sz w:val="27"/>
          <w:szCs w:val="27"/>
          <w:color w:val="auto"/>
        </w:rPr>
        <w:t>.</w:t>
      </w:r>
      <w:r>
        <w:rPr>
          <w:rFonts w:ascii="Arial" w:cs="Arial" w:eastAsia="Arial" w:hAnsi="Arial"/>
          <w:sz w:val="27"/>
          <w:szCs w:val="27"/>
          <w:color w:val="auto"/>
        </w:rPr>
        <w:t xml:space="preserve"> При отсутствии эффективного снижения АД на фоне </w:t>
      </w:r>
      <w:r>
        <w:rPr>
          <w:rFonts w:ascii="Arial" w:cs="Arial" w:eastAsia="Arial" w:hAnsi="Arial"/>
          <w:sz w:val="27"/>
          <w:szCs w:val="27"/>
          <w:color w:val="auto"/>
        </w:rPr>
        <w:t>2-</w:t>
      </w:r>
      <w:r>
        <w:rPr>
          <w:rFonts w:ascii="Arial" w:cs="Arial" w:eastAsia="Arial" w:hAnsi="Arial"/>
          <w:sz w:val="27"/>
          <w:szCs w:val="27"/>
          <w:color w:val="auto"/>
        </w:rPr>
        <w:t xml:space="preserve">компонентной терапии рекомендуется присоединение третьего препарата </w:t>
      </w:r>
      <w:r>
        <w:rPr>
          <w:rFonts w:ascii="Arial" w:cs="Arial" w:eastAsia="Arial" w:hAnsi="Arial"/>
          <w:sz w:val="27"/>
          <w:szCs w:val="27"/>
          <w:color w:val="auto"/>
        </w:rPr>
        <w:t>(</w:t>
      </w:r>
      <w:r>
        <w:rPr>
          <w:rFonts w:ascii="Arial" w:cs="Arial" w:eastAsia="Arial" w:hAnsi="Arial"/>
          <w:sz w:val="27"/>
          <w:szCs w:val="27"/>
          <w:color w:val="auto"/>
        </w:rPr>
        <w:t>одним из трех препаратов</w:t>
      </w:r>
      <w:r>
        <w:rPr>
          <w:rFonts w:ascii="Arial" w:cs="Arial" w:eastAsia="Arial" w:hAnsi="Arial"/>
          <w:sz w:val="27"/>
          <w:szCs w:val="27"/>
          <w:color w:val="auto"/>
        </w:rPr>
        <w:t>,</w:t>
      </w:r>
      <w:r>
        <w:rPr>
          <w:rFonts w:ascii="Arial" w:cs="Arial" w:eastAsia="Arial" w:hAnsi="Arial"/>
          <w:sz w:val="27"/>
          <w:szCs w:val="27"/>
          <w:color w:val="auto"/>
        </w:rPr>
        <w:t xml:space="preserve"> как правило</w:t>
      </w:r>
      <w:r>
        <w:rPr>
          <w:rFonts w:ascii="Arial" w:cs="Arial" w:eastAsia="Arial" w:hAnsi="Arial"/>
          <w:sz w:val="27"/>
          <w:szCs w:val="27"/>
          <w:color w:val="auto"/>
        </w:rPr>
        <w:t>,</w:t>
      </w:r>
      <w:r>
        <w:rPr>
          <w:rFonts w:ascii="Arial" w:cs="Arial" w:eastAsia="Arial" w:hAnsi="Arial"/>
          <w:sz w:val="27"/>
          <w:szCs w:val="27"/>
          <w:color w:val="auto"/>
        </w:rPr>
        <w:t xml:space="preserve"> должен быть диуретик</w:t>
      </w:r>
      <w:r>
        <w:rPr>
          <w:rFonts w:ascii="Arial" w:cs="Arial" w:eastAsia="Arial" w:hAnsi="Arial"/>
          <w:sz w:val="27"/>
          <w:szCs w:val="27"/>
          <w:color w:val="auto"/>
        </w:rPr>
        <w:t>)</w:t>
      </w:r>
      <w:r>
        <w:rPr>
          <w:rFonts w:ascii="Arial" w:cs="Arial" w:eastAsia="Arial" w:hAnsi="Arial"/>
          <w:sz w:val="27"/>
          <w:szCs w:val="27"/>
          <w:color w:val="auto"/>
        </w:rPr>
        <w:t xml:space="preserve"> с обязательным последующим контролем эффективности</w:t>
      </w:r>
      <w:r>
        <w:rPr>
          <w:rFonts w:ascii="Arial" w:cs="Arial" w:eastAsia="Arial" w:hAnsi="Arial"/>
          <w:sz w:val="27"/>
          <w:szCs w:val="27"/>
          <w:color w:val="auto"/>
        </w:rPr>
        <w:t>,</w:t>
      </w:r>
      <w:r>
        <w:rPr>
          <w:rFonts w:ascii="Arial" w:cs="Arial" w:eastAsia="Arial" w:hAnsi="Arial"/>
          <w:sz w:val="27"/>
          <w:szCs w:val="27"/>
          <w:color w:val="auto"/>
        </w:rPr>
        <w:t xml:space="preserve"> безопасности и переносимости комбинированной терапии </w:t>
      </w:r>
      <w:r>
        <w:rPr>
          <w:rFonts w:ascii="Arial" w:cs="Arial" w:eastAsia="Arial" w:hAnsi="Arial"/>
          <w:sz w:val="27"/>
          <w:szCs w:val="27"/>
          <w:u w:val="single" w:color="auto"/>
          <w:color w:val="auto"/>
        </w:rPr>
        <w:t>[</w:t>
      </w:r>
      <w:r>
        <w:rPr>
          <w:rFonts w:ascii="Arial" w:cs="Arial" w:eastAsia="Arial" w:hAnsi="Arial"/>
          <w:sz w:val="27"/>
          <w:szCs w:val="27"/>
          <w:color w:val="auto"/>
        </w:rPr>
        <w:t>21].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-2174240</wp:posOffset>
            </wp:positionV>
            <wp:extent cx="82550" cy="82550"/>
            <wp:wrapNone/>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4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1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C,</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5)</w:t>
      </w:r>
    </w:p>
    <w:p>
      <w:pPr>
        <w:spacing w:after="0" w:line="350" w:lineRule="exact"/>
        <w:rPr>
          <w:sz w:val="20"/>
          <w:szCs w:val="20"/>
          <w:color w:val="auto"/>
        </w:rPr>
      </w:pPr>
    </w:p>
    <w:p>
      <w:pPr>
        <w:jc w:val="both"/>
        <w:ind w:left="680" w:right="220"/>
        <w:spacing w:after="0" w:line="343" w:lineRule="auto"/>
        <w:rPr>
          <w:sz w:val="20"/>
          <w:szCs w:val="20"/>
          <w:color w:val="auto"/>
        </w:rPr>
      </w:pPr>
      <w:r>
        <w:rPr>
          <w:rFonts w:ascii="Arial" w:cs="Arial" w:eastAsia="Arial" w:hAnsi="Arial"/>
          <w:sz w:val="24"/>
          <w:szCs w:val="24"/>
          <w:b w:val="1"/>
          <w:bCs w:val="1"/>
          <w:color w:val="auto"/>
        </w:rPr>
        <w:t>Комментарии</w:t>
      </w:r>
      <w:r>
        <w:rPr>
          <w:rFonts w:ascii="Arial" w:cs="Arial" w:eastAsia="Arial" w:hAnsi="Arial"/>
          <w:sz w:val="24"/>
          <w:szCs w:val="24"/>
          <w:b w:val="1"/>
          <w:bCs w:val="1"/>
          <w:color w:val="auto"/>
        </w:rPr>
        <w:t>.</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Целевые уровни АД являются рекомендованными</w:t>
      </w:r>
      <w:r>
        <w:rPr>
          <w:rFonts w:ascii="Arial" w:cs="Arial" w:eastAsia="Arial" w:hAnsi="Arial"/>
          <w:sz w:val="24"/>
          <w:szCs w:val="24"/>
          <w:b w:val="1"/>
          <w:bCs w:val="1"/>
          <w:color w:val="auto"/>
        </w:rPr>
        <w:t xml:space="preserve"> </w:t>
      </w:r>
      <w:r>
        <w:rPr>
          <w:rFonts w:ascii="Arial" w:cs="Arial" w:eastAsia="Arial" w:hAnsi="Arial"/>
          <w:sz w:val="24"/>
          <w:szCs w:val="24"/>
          <w:b w:val="1"/>
          <w:bCs w:val="1"/>
          <w:i w:val="1"/>
          <w:iCs w:val="1"/>
          <w:color w:val="auto"/>
        </w:rPr>
        <w:t>для достижения в каждой подгруппе пациентов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но важнейшим принципом их достижения является соблюдение безопасности и сохранения качества жизни пациента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Поэтому скорость достижения целевых значений и степень снижения АД могут быть скорректированы у конкретного пациента в зависимости от конкретной клинической ситуации</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При этом плохая переносимость снижения АД может быть основанием для более медленной титрации доз и числа назначаемых препаратов</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равно как и при хорошей переносимости АД может быть снижено до более низких значений</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чем рекомендовано в среднем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Недостижение целевого АД в указанные сроки не является ошибочным</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если это продиктовано клинической необходимостью</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Если врач считает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что препятствием к достижению целевого АД является плохая приверженность пациента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это должно находить отражение в медицинской документации и должны быть предприняты и зафиксированы</w:t>
      </w:r>
    </w:p>
    <w:p>
      <w:pPr>
        <w:sectPr>
          <w:pgSz w:w="11900" w:h="16840" w:orient="portrait"/>
          <w:cols w:equalWidth="0" w:num="1">
            <w:col w:w="9020"/>
          </w:cols>
          <w:pgMar w:left="1440" w:top="19" w:right="1440" w:bottom="397" w:gutter="0" w:footer="0" w:header="0"/>
        </w:sectPr>
      </w:pPr>
    </w:p>
    <w:bookmarkStart w:id="82" w:name="page83"/>
    <w:bookmarkEnd w:id="82"/>
    <w:p>
      <w:pPr>
        <w:jc w:val="both"/>
        <w:ind w:left="680" w:right="220"/>
        <w:spacing w:after="0" w:line="317" w:lineRule="auto"/>
        <w:rPr>
          <w:sz w:val="20"/>
          <w:szCs w:val="20"/>
          <w:color w:val="auto"/>
        </w:rPr>
      </w:pPr>
      <w:r>
        <w:rPr>
          <w:rFonts w:ascii="Arial" w:cs="Arial" w:eastAsia="Arial" w:hAnsi="Arial"/>
          <w:sz w:val="27"/>
          <w:szCs w:val="27"/>
          <w:b w:val="1"/>
          <w:bCs w:val="1"/>
          <w:i w:val="1"/>
          <w:iCs w:val="1"/>
          <w:color w:val="auto"/>
        </w:rPr>
        <w:t>меры по повышению приверженности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В этих случаях недостижение целевого уровня не должно считаться дефектом оказания помощи</w:t>
      </w:r>
      <w:r>
        <w:rPr>
          <w:rFonts w:ascii="Arial" w:cs="Arial" w:eastAsia="Arial" w:hAnsi="Arial"/>
          <w:sz w:val="27"/>
          <w:szCs w:val="27"/>
          <w:b w:val="1"/>
          <w:bCs w:val="1"/>
          <w:i w:val="1"/>
          <w:iCs w:val="1"/>
          <w:color w:val="auto"/>
        </w:rPr>
        <w:t>.</w:t>
      </w:r>
    </w:p>
    <w:p>
      <w:pPr>
        <w:spacing w:after="0" w:line="210"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Пациентам с высоким и очень высоким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сосудистым риском </w:t>
      </w:r>
      <w:r>
        <w:rPr>
          <w:rFonts w:ascii="Arial" w:cs="Arial" w:eastAsia="Arial" w:hAnsi="Arial"/>
          <w:sz w:val="27"/>
          <w:szCs w:val="27"/>
          <w:color w:val="auto"/>
        </w:rPr>
        <w:t>(</w:t>
      </w:r>
      <w:r>
        <w:rPr>
          <w:rFonts w:ascii="Arial" w:cs="Arial" w:eastAsia="Arial" w:hAnsi="Arial"/>
          <w:sz w:val="27"/>
          <w:szCs w:val="27"/>
          <w:color w:val="auto"/>
        </w:rPr>
        <w:t>таблица П</w:t>
      </w:r>
      <w:r>
        <w:rPr>
          <w:rFonts w:ascii="Arial" w:cs="Arial" w:eastAsia="Arial" w:hAnsi="Arial"/>
          <w:sz w:val="27"/>
          <w:szCs w:val="27"/>
          <w:color w:val="auto"/>
        </w:rPr>
        <w:t>10,</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и таблица П</w:t>
      </w:r>
      <w:r>
        <w:rPr>
          <w:rFonts w:ascii="Arial" w:cs="Arial" w:eastAsia="Arial" w:hAnsi="Arial"/>
          <w:sz w:val="27"/>
          <w:szCs w:val="27"/>
          <w:color w:val="auto"/>
        </w:rPr>
        <w:t>12,</w:t>
      </w:r>
      <w:r>
        <w:rPr>
          <w:rFonts w:ascii="Arial" w:cs="Arial" w:eastAsia="Arial" w:hAnsi="Arial"/>
          <w:sz w:val="27"/>
          <w:szCs w:val="27"/>
          <w:color w:val="auto"/>
        </w:rPr>
        <w:t xml:space="preserve"> Приложение Г</w:t>
      </w:r>
      <w:r>
        <w:rPr>
          <w:rFonts w:ascii="Arial" w:cs="Arial" w:eastAsia="Arial" w:hAnsi="Arial"/>
          <w:sz w:val="27"/>
          <w:szCs w:val="27"/>
          <w:color w:val="auto"/>
        </w:rPr>
        <w:t>2),</w:t>
      </w:r>
      <w:r>
        <w:rPr>
          <w:rFonts w:ascii="Arial" w:cs="Arial" w:eastAsia="Arial" w:hAnsi="Arial"/>
          <w:sz w:val="27"/>
          <w:szCs w:val="27"/>
          <w:color w:val="auto"/>
        </w:rPr>
        <w:t xml:space="preserve"> а также для пациентов</w:t>
      </w:r>
      <w:r>
        <w:rPr>
          <w:rFonts w:ascii="Arial" w:cs="Arial" w:eastAsia="Arial" w:hAnsi="Arial"/>
          <w:sz w:val="27"/>
          <w:szCs w:val="27"/>
          <w:color w:val="auto"/>
        </w:rPr>
        <w:t>,</w:t>
      </w:r>
      <w:r>
        <w:rPr>
          <w:rFonts w:ascii="Arial" w:cs="Arial" w:eastAsia="Arial" w:hAnsi="Arial"/>
          <w:sz w:val="27"/>
          <w:szCs w:val="27"/>
          <w:color w:val="auto"/>
        </w:rPr>
        <w:t xml:space="preserve"> получающих только немедикаментозное лечение</w:t>
      </w:r>
      <w:r>
        <w:rPr>
          <w:rFonts w:ascii="Arial" w:cs="Arial" w:eastAsia="Arial" w:hAnsi="Arial"/>
          <w:sz w:val="27"/>
          <w:szCs w:val="27"/>
          <w:color w:val="auto"/>
        </w:rPr>
        <w:t>,</w:t>
      </w:r>
      <w:r>
        <w:rPr>
          <w:rFonts w:ascii="Arial" w:cs="Arial" w:eastAsia="Arial" w:hAnsi="Arial"/>
          <w:sz w:val="27"/>
          <w:szCs w:val="27"/>
          <w:color w:val="auto"/>
        </w:rPr>
        <w:t xml:space="preserve"> и для лиц с низкой приверженностью к лечению после достижения целевого уровня АД на фоне проводимой терапии последующие визиты</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-1403350</wp:posOffset>
            </wp:positionV>
            <wp:extent cx="82550" cy="82550"/>
            <wp:wrapNone/>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4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hanging="4"/>
        <w:spacing w:after="0" w:line="312" w:lineRule="auto"/>
        <w:tabs>
          <w:tab w:leader="none" w:pos="946" w:val="left"/>
        </w:tabs>
        <w:numPr>
          <w:ilvl w:val="0"/>
          <w:numId w:val="59"/>
        </w:numPr>
        <w:rPr>
          <w:rFonts w:ascii="Arial" w:cs="Arial" w:eastAsia="Arial" w:hAnsi="Arial"/>
          <w:sz w:val="27"/>
          <w:szCs w:val="27"/>
          <w:color w:val="auto"/>
        </w:rPr>
      </w:pPr>
      <w:r>
        <w:rPr>
          <w:rFonts w:ascii="Arial" w:cs="Arial" w:eastAsia="Arial" w:hAnsi="Arial"/>
          <w:sz w:val="27"/>
          <w:szCs w:val="27"/>
          <w:color w:val="auto"/>
        </w:rPr>
        <w:t>врачу рекомендуется проводить не реже</w:t>
      </w:r>
      <w:r>
        <w:rPr>
          <w:rFonts w:ascii="Arial" w:cs="Arial" w:eastAsia="Arial" w:hAnsi="Arial"/>
          <w:sz w:val="27"/>
          <w:szCs w:val="27"/>
          <w:color w:val="auto"/>
        </w:rPr>
        <w:t>,</w:t>
      </w:r>
      <w:r>
        <w:rPr>
          <w:rFonts w:ascii="Arial" w:cs="Arial" w:eastAsia="Arial" w:hAnsi="Arial"/>
          <w:sz w:val="27"/>
          <w:szCs w:val="27"/>
          <w:color w:val="auto"/>
        </w:rPr>
        <w:t xml:space="preserve"> чем один раз в </w:t>
      </w:r>
      <w:r>
        <w:rPr>
          <w:rFonts w:ascii="Arial" w:cs="Arial" w:eastAsia="Arial" w:hAnsi="Arial"/>
          <w:sz w:val="27"/>
          <w:szCs w:val="27"/>
          <w:color w:val="auto"/>
        </w:rPr>
        <w:t>3</w:t>
      </w:r>
      <w:r>
        <w:rPr>
          <w:rFonts w:ascii="Arial" w:cs="Arial" w:eastAsia="Arial" w:hAnsi="Arial"/>
          <w:sz w:val="27"/>
          <w:szCs w:val="27"/>
          <w:color w:val="auto"/>
        </w:rPr>
        <w:t xml:space="preserve"> месяца</w:t>
      </w:r>
      <w:r>
        <w:rPr>
          <w:rFonts w:ascii="Arial" w:cs="Arial" w:eastAsia="Arial" w:hAnsi="Arial"/>
          <w:sz w:val="27"/>
          <w:szCs w:val="27"/>
          <w:color w:val="auto"/>
        </w:rPr>
        <w:t>;</w:t>
      </w:r>
      <w:r>
        <w:rPr>
          <w:rFonts w:ascii="Arial" w:cs="Arial" w:eastAsia="Arial" w:hAnsi="Arial"/>
          <w:sz w:val="27"/>
          <w:szCs w:val="27"/>
          <w:color w:val="auto"/>
        </w:rPr>
        <w:t xml:space="preserve"> визиты для пациентов со средним и низким риском</w:t>
      </w:r>
      <w:r>
        <w:rPr>
          <w:rFonts w:ascii="Arial" w:cs="Arial" w:eastAsia="Arial" w:hAnsi="Arial"/>
          <w:sz w:val="27"/>
          <w:szCs w:val="27"/>
          <w:color w:val="auto"/>
        </w:rPr>
        <w:t>,</w:t>
      </w:r>
      <w:r>
        <w:rPr>
          <w:rFonts w:ascii="Arial" w:cs="Arial" w:eastAsia="Arial" w:hAnsi="Arial"/>
          <w:sz w:val="27"/>
          <w:szCs w:val="27"/>
          <w:color w:val="auto"/>
        </w:rPr>
        <w:t xml:space="preserve"> которые регулярно измеряют АД дома</w:t>
      </w:r>
      <w:r>
        <w:rPr>
          <w:rFonts w:ascii="Arial" w:cs="Arial" w:eastAsia="Arial" w:hAnsi="Arial"/>
          <w:sz w:val="27"/>
          <w:szCs w:val="27"/>
          <w:color w:val="auto"/>
        </w:rPr>
        <w:t>,</w:t>
      </w:r>
      <w:r>
        <w:rPr>
          <w:rFonts w:ascii="Arial" w:cs="Arial" w:eastAsia="Arial" w:hAnsi="Arial"/>
          <w:sz w:val="27"/>
          <w:szCs w:val="27"/>
          <w:color w:val="auto"/>
        </w:rPr>
        <w:t xml:space="preserve"> рекомендуется проводить с интервалом в </w:t>
      </w:r>
      <w:r>
        <w:rPr>
          <w:rFonts w:ascii="Arial" w:cs="Arial" w:eastAsia="Arial" w:hAnsi="Arial"/>
          <w:sz w:val="27"/>
          <w:szCs w:val="27"/>
          <w:color w:val="auto"/>
        </w:rPr>
        <w:t>4–6</w:t>
      </w:r>
      <w:r>
        <w:rPr>
          <w:rFonts w:ascii="Arial" w:cs="Arial" w:eastAsia="Arial" w:hAnsi="Arial"/>
          <w:sz w:val="27"/>
          <w:szCs w:val="27"/>
          <w:color w:val="auto"/>
        </w:rPr>
        <w:t xml:space="preserve"> месяцев </w:t>
      </w:r>
      <w:r>
        <w:rPr>
          <w:rFonts w:ascii="Arial" w:cs="Arial" w:eastAsia="Arial" w:hAnsi="Arial"/>
          <w:sz w:val="27"/>
          <w:szCs w:val="27"/>
          <w:color w:val="auto"/>
        </w:rPr>
        <w:t>[288].</w:t>
      </w:r>
    </w:p>
    <w:p>
      <w:pPr>
        <w:spacing w:after="0" w:line="21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pacing w:after="0" w:line="35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 xml:space="preserve">Пациентам с АГ для повышения приверженности к проводимой АГТ рекомендуется проведение ДМАД и ведение дневников с указанием доз принимаемых препаратов и уровня АД </w:t>
      </w:r>
      <w:r>
        <w:rPr>
          <w:rFonts w:ascii="Arial" w:cs="Arial" w:eastAsia="Arial" w:hAnsi="Arial"/>
          <w:sz w:val="27"/>
          <w:szCs w:val="27"/>
          <w:color w:val="auto"/>
        </w:rPr>
        <w:t>[21, 289, 290].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4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6"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 xml:space="preserve">УУР </w:t>
      </w:r>
      <w:r>
        <w:rPr>
          <w:rFonts w:ascii="Arial" w:cs="Arial" w:eastAsia="Arial" w:hAnsi="Arial"/>
          <w:sz w:val="27"/>
          <w:szCs w:val="27"/>
          <w:b w:val="1"/>
          <w:bCs w:val="1"/>
          <w:color w:val="auto"/>
        </w:rPr>
        <w:t>B,</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Пациентам с АГ для повышения эффективности и приверженности к проводимой АГТ рекомендуется проведение телемониторинга показателей системной гемодинамики с телеметрической передачей результатов измерения АД непосредственно в лечебное учреждение для оперативной обработки информации и оперативного принятия решения </w:t>
      </w:r>
      <w:r>
        <w:rPr>
          <w:rFonts w:ascii="Arial" w:cs="Arial" w:eastAsia="Arial" w:hAnsi="Arial"/>
          <w:sz w:val="27"/>
          <w:szCs w:val="27"/>
          <w:color w:val="auto"/>
        </w:rPr>
        <w:t>[291–293].</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4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1)</w:t>
      </w:r>
    </w:p>
    <w:p>
      <w:pPr>
        <w:spacing w:after="0" w:line="350" w:lineRule="exact"/>
        <w:rPr>
          <w:sz w:val="20"/>
          <w:szCs w:val="20"/>
          <w:color w:val="auto"/>
        </w:rPr>
      </w:pPr>
    </w:p>
    <w:p>
      <w:pPr>
        <w:jc w:val="both"/>
        <w:ind w:left="680" w:right="220"/>
        <w:spacing w:after="0" w:line="307" w:lineRule="auto"/>
        <w:rPr>
          <w:sz w:val="20"/>
          <w:szCs w:val="20"/>
          <w:color w:val="auto"/>
        </w:rPr>
      </w:pPr>
      <w:r>
        <w:rPr>
          <w:rFonts w:ascii="Arial" w:cs="Arial" w:eastAsia="Arial" w:hAnsi="Arial"/>
          <w:sz w:val="27"/>
          <w:szCs w:val="27"/>
          <w:color w:val="auto"/>
        </w:rPr>
        <w:t xml:space="preserve">Рекомендуется при динамическом наблюдении особое внимание уделять показателям АД в ночные часы </w:t>
      </w:r>
      <w:r>
        <w:rPr>
          <w:rFonts w:ascii="Arial" w:cs="Arial" w:eastAsia="Arial" w:hAnsi="Arial"/>
          <w:sz w:val="27"/>
          <w:szCs w:val="27"/>
          <w:color w:val="auto"/>
        </w:rPr>
        <w:t>(</w:t>
      </w:r>
      <w:r>
        <w:rPr>
          <w:rFonts w:ascii="Arial" w:cs="Arial" w:eastAsia="Arial" w:hAnsi="Arial"/>
          <w:sz w:val="27"/>
          <w:szCs w:val="27"/>
          <w:color w:val="auto"/>
        </w:rPr>
        <w:t xml:space="preserve">особенно у пациентов с метаболическим синдромом </w:t>
      </w:r>
      <w:r>
        <w:rPr>
          <w:rFonts w:ascii="Arial" w:cs="Arial" w:eastAsia="Arial" w:hAnsi="Arial"/>
          <w:sz w:val="27"/>
          <w:szCs w:val="27"/>
          <w:color w:val="auto"/>
        </w:rPr>
        <w:t>(</w:t>
      </w:r>
      <w:r>
        <w:rPr>
          <w:rFonts w:ascii="Arial" w:cs="Arial" w:eastAsia="Arial" w:hAnsi="Arial"/>
          <w:sz w:val="27"/>
          <w:szCs w:val="27"/>
          <w:color w:val="auto"/>
        </w:rPr>
        <w:t>МС</w:t>
      </w:r>
      <w:r>
        <w:rPr>
          <w:rFonts w:ascii="Arial" w:cs="Arial" w:eastAsia="Arial" w:hAnsi="Arial"/>
          <w:sz w:val="27"/>
          <w:szCs w:val="27"/>
          <w:color w:val="auto"/>
        </w:rPr>
        <w:t>),</w:t>
      </w:r>
      <w:r>
        <w:rPr>
          <w:rFonts w:ascii="Arial" w:cs="Arial" w:eastAsia="Arial" w:hAnsi="Arial"/>
          <w:sz w:val="27"/>
          <w:szCs w:val="27"/>
          <w:color w:val="auto"/>
        </w:rPr>
        <w:t xml:space="preserve"> сахарным диабетом </w:t>
      </w:r>
      <w:r>
        <w:rPr>
          <w:rFonts w:ascii="Arial" w:cs="Arial" w:eastAsia="Arial" w:hAnsi="Arial"/>
          <w:sz w:val="27"/>
          <w:szCs w:val="27"/>
          <w:color w:val="auto"/>
        </w:rPr>
        <w:t>(</w:t>
      </w:r>
      <w:r>
        <w:rPr>
          <w:rFonts w:ascii="Arial" w:cs="Arial" w:eastAsia="Arial" w:hAnsi="Arial"/>
          <w:sz w:val="27"/>
          <w:szCs w:val="27"/>
          <w:color w:val="auto"/>
        </w:rPr>
        <w:t>СД</w:t>
      </w:r>
      <w:r>
        <w:rPr>
          <w:rFonts w:ascii="Arial" w:cs="Arial" w:eastAsia="Arial" w:hAnsi="Arial"/>
          <w:sz w:val="27"/>
          <w:szCs w:val="27"/>
          <w:color w:val="auto"/>
        </w:rPr>
        <w:t>),</w:t>
      </w:r>
      <w:r>
        <w:rPr>
          <w:rFonts w:ascii="Arial" w:cs="Arial" w:eastAsia="Arial" w:hAnsi="Arial"/>
          <w:sz w:val="27"/>
          <w:szCs w:val="27"/>
          <w:color w:val="auto"/>
        </w:rPr>
        <w:t xml:space="preserve"> синдромом обструктивного апноэ во время сна </w:t>
      </w:r>
      <w:r>
        <w:rPr>
          <w:rFonts w:ascii="Arial" w:cs="Arial" w:eastAsia="Arial" w:hAnsi="Arial"/>
          <w:sz w:val="27"/>
          <w:szCs w:val="27"/>
          <w:color w:val="auto"/>
        </w:rPr>
        <w:t>(</w:t>
      </w:r>
      <w:r>
        <w:rPr>
          <w:rFonts w:ascii="Arial" w:cs="Arial" w:eastAsia="Arial" w:hAnsi="Arial"/>
          <w:sz w:val="27"/>
          <w:szCs w:val="27"/>
          <w:color w:val="auto"/>
        </w:rPr>
        <w:t>СОАС</w:t>
      </w:r>
      <w:r>
        <w:rPr>
          <w:rFonts w:ascii="Arial" w:cs="Arial" w:eastAsia="Arial" w:hAnsi="Arial"/>
          <w:sz w:val="27"/>
          <w:szCs w:val="27"/>
          <w:color w:val="auto"/>
        </w:rPr>
        <w:t xml:space="preserve">), </w:t>
      </w:r>
      <w:r>
        <w:rPr>
          <w:rFonts w:ascii="Arial" w:cs="Arial" w:eastAsia="Arial" w:hAnsi="Arial"/>
          <w:sz w:val="27"/>
          <w:szCs w:val="27"/>
          <w:color w:val="auto"/>
        </w:rPr>
        <w:t>хронической болезнью почек</w:t>
      </w:r>
      <w:r>
        <w:rPr>
          <w:rFonts w:ascii="Arial" w:cs="Arial" w:eastAsia="Arial" w:hAnsi="Arial"/>
          <w:sz w:val="27"/>
          <w:szCs w:val="27"/>
          <w:color w:val="auto"/>
        </w:rPr>
        <w:t xml:space="preserve"> (</w:t>
      </w:r>
      <w:r>
        <w:rPr>
          <w:rFonts w:ascii="Arial" w:cs="Arial" w:eastAsia="Arial" w:hAnsi="Arial"/>
          <w:sz w:val="27"/>
          <w:szCs w:val="27"/>
          <w:color w:val="auto"/>
        </w:rPr>
        <w:t>ХБП</w:t>
      </w:r>
      <w:r>
        <w:rPr>
          <w:rFonts w:ascii="Arial" w:cs="Arial" w:eastAsia="Arial" w:hAnsi="Arial"/>
          <w:sz w:val="27"/>
          <w:szCs w:val="27"/>
          <w:color w:val="auto"/>
        </w:rPr>
        <w:t>) 3–5-</w:t>
      </w:r>
      <w:r>
        <w:rPr>
          <w:rFonts w:ascii="Arial" w:cs="Arial" w:eastAsia="Arial" w:hAnsi="Arial"/>
          <w:sz w:val="27"/>
          <w:szCs w:val="27"/>
          <w:color w:val="auto"/>
        </w:rPr>
        <w:t>й ст</w:t>
      </w:r>
      <w:r>
        <w:rPr>
          <w:rFonts w:ascii="Arial" w:cs="Arial" w:eastAsia="Arial" w:hAnsi="Arial"/>
          <w:sz w:val="27"/>
          <w:szCs w:val="27"/>
          <w:color w:val="auto"/>
        </w:rPr>
        <w:t xml:space="preserve">.) </w:t>
      </w:r>
      <w:r>
        <w:rPr>
          <w:rFonts w:ascii="Arial" w:cs="Arial" w:eastAsia="Arial" w:hAnsi="Arial"/>
          <w:sz w:val="27"/>
          <w:szCs w:val="27"/>
          <w:color w:val="auto"/>
        </w:rPr>
        <w:t>и ранние</w:t>
      </w:r>
      <w:r>
        <w:rPr>
          <w:rFonts w:ascii="Arial" w:cs="Arial" w:eastAsia="Arial" w:hAnsi="Arial"/>
          <w:sz w:val="27"/>
          <w:szCs w:val="27"/>
          <w:color w:val="auto"/>
        </w:rPr>
        <w:t xml:space="preserve"> </w:t>
      </w:r>
      <w:r>
        <w:rPr>
          <w:rFonts w:ascii="Arial" w:cs="Arial" w:eastAsia="Arial" w:hAnsi="Arial"/>
          <w:sz w:val="27"/>
          <w:szCs w:val="27"/>
          <w:color w:val="auto"/>
        </w:rPr>
        <w:t>утренние часы с целью снижения риска таких осложнений</w:t>
      </w:r>
      <w:r>
        <w:rPr>
          <w:rFonts w:ascii="Arial" w:cs="Arial" w:eastAsia="Arial" w:hAnsi="Arial"/>
          <w:sz w:val="27"/>
          <w:szCs w:val="27"/>
          <w:color w:val="auto"/>
        </w:rPr>
        <w:t>,</w:t>
      </w:r>
      <w:r>
        <w:rPr>
          <w:rFonts w:ascii="Arial" w:cs="Arial" w:eastAsia="Arial" w:hAnsi="Arial"/>
          <w:sz w:val="27"/>
          <w:szCs w:val="27"/>
          <w:color w:val="auto"/>
        </w:rPr>
        <w:t xml:space="preserve"> как ИМ</w:t>
      </w:r>
      <w:r>
        <w:rPr>
          <w:rFonts w:ascii="Arial" w:cs="Arial" w:eastAsia="Arial" w:hAnsi="Arial"/>
          <w:sz w:val="27"/>
          <w:szCs w:val="27"/>
          <w:color w:val="auto"/>
        </w:rPr>
        <w:t>,</w:t>
      </w:r>
      <w:r>
        <w:rPr>
          <w:rFonts w:ascii="Arial" w:cs="Arial" w:eastAsia="Arial" w:hAnsi="Arial"/>
          <w:sz w:val="27"/>
          <w:szCs w:val="27"/>
          <w:color w:val="auto"/>
        </w:rPr>
        <w:t xml:space="preserve"> инсульт </w:t>
      </w:r>
      <w:r>
        <w:rPr>
          <w:rFonts w:ascii="Arial" w:cs="Arial" w:eastAsia="Arial" w:hAnsi="Arial"/>
          <w:sz w:val="27"/>
          <w:szCs w:val="27"/>
          <w:color w:val="auto"/>
        </w:rPr>
        <w:t>[21, 34, 35].</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-1684655</wp:posOffset>
            </wp:positionV>
            <wp:extent cx="82550" cy="8255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5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1" w:lineRule="exact"/>
        <w:rPr>
          <w:sz w:val="20"/>
          <w:szCs w:val="20"/>
          <w:color w:val="auto"/>
        </w:rPr>
      </w:pPr>
    </w:p>
    <w:p>
      <w:pPr>
        <w:ind w:left="680"/>
        <w:spacing w:after="0"/>
        <w:rPr>
          <w:sz w:val="20"/>
          <w:szCs w:val="20"/>
          <w:color w:val="auto"/>
        </w:rPr>
      </w:pP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ЕОАГ нет </w:t>
      </w:r>
      <w:r>
        <w:rPr>
          <w:rFonts w:ascii="Arial" w:cs="Arial" w:eastAsia="Arial" w:hAnsi="Arial"/>
          <w:sz w:val="27"/>
          <w:szCs w:val="27"/>
          <w:color w:val="auto"/>
        </w:rPr>
        <w:t>(</w:t>
      </w:r>
      <w:r>
        <w:rPr>
          <w:rFonts w:ascii="Arial" w:cs="Arial" w:eastAsia="Arial" w:hAnsi="Arial"/>
          <w:sz w:val="27"/>
          <w:szCs w:val="27"/>
          <w:b w:val="1"/>
          <w:bCs w:val="1"/>
          <w:color w:val="auto"/>
        </w:rPr>
        <w:t>УУР 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УДД </w:t>
      </w:r>
      <w:r>
        <w:rPr>
          <w:rFonts w:ascii="Arial" w:cs="Arial" w:eastAsia="Arial" w:hAnsi="Arial"/>
          <w:sz w:val="27"/>
          <w:szCs w:val="27"/>
          <w:b w:val="1"/>
          <w:bCs w:val="1"/>
          <w:color w:val="auto"/>
        </w:rPr>
        <w:t>2)</w:t>
      </w:r>
    </w:p>
    <w:p>
      <w:pPr>
        <w:sectPr>
          <w:pgSz w:w="11900" w:h="16840" w:orient="portrait"/>
          <w:cols w:equalWidth="0" w:num="1">
            <w:col w:w="9020"/>
          </w:cols>
          <w:pgMar w:left="1440" w:top="19" w:right="1440" w:bottom="519" w:gutter="0" w:footer="0" w:header="0"/>
        </w:sectPr>
      </w:pPr>
    </w:p>
    <w:bookmarkStart w:id="83" w:name="page84"/>
    <w:bookmarkEnd w:id="83"/>
    <w:p>
      <w:pPr>
        <w:ind w:left="360" w:right="2540" w:firstLine="1"/>
        <w:spacing w:after="0" w:line="225" w:lineRule="auto"/>
        <w:tabs>
          <w:tab w:leader="none" w:pos="878" w:val="left"/>
        </w:tabs>
        <w:numPr>
          <w:ilvl w:val="0"/>
          <w:numId w:val="60"/>
        </w:numPr>
        <w:rPr>
          <w:rFonts w:ascii="Arial" w:cs="Arial" w:eastAsia="Arial" w:hAnsi="Arial"/>
          <w:sz w:val="48"/>
          <w:szCs w:val="48"/>
          <w:b w:val="1"/>
          <w:bCs w:val="1"/>
          <w:color w:val="auto"/>
        </w:rPr>
      </w:pPr>
      <w:r>
        <w:rPr>
          <w:rFonts w:ascii="Arial" w:cs="Arial" w:eastAsia="Arial" w:hAnsi="Arial"/>
          <w:sz w:val="48"/>
          <w:szCs w:val="48"/>
          <w:b w:val="1"/>
          <w:bCs w:val="1"/>
          <w:color w:val="auto"/>
        </w:rPr>
        <w:t>Организация оказания медицинской помощи</w:t>
      </w:r>
    </w:p>
    <w:p>
      <w:pPr>
        <w:spacing w:after="0" w:line="200" w:lineRule="exact"/>
        <w:rPr>
          <w:sz w:val="20"/>
          <w:szCs w:val="20"/>
          <w:color w:val="auto"/>
        </w:rPr>
      </w:pPr>
    </w:p>
    <w:p>
      <w:pPr>
        <w:spacing w:after="0" w:line="200" w:lineRule="exact"/>
        <w:rPr>
          <w:sz w:val="20"/>
          <w:szCs w:val="20"/>
          <w:color w:val="auto"/>
        </w:rPr>
      </w:pPr>
    </w:p>
    <w:p>
      <w:pPr>
        <w:spacing w:after="0" w:line="218"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7.1. </w:t>
      </w:r>
      <w:r>
        <w:rPr>
          <w:rFonts w:ascii="Arial" w:cs="Arial" w:eastAsia="Arial" w:hAnsi="Arial"/>
          <w:sz w:val="33"/>
          <w:szCs w:val="33"/>
          <w:b w:val="1"/>
          <w:bCs w:val="1"/>
          <w:color w:val="auto"/>
        </w:rPr>
        <w:t>Показания для плановой госпитализации</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78"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неясность диагноза и необходимость в специальных методах</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5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2700" w:val="left"/>
          <w:tab w:leader="none" w:pos="5020" w:val="left"/>
          <w:tab w:leader="none" w:pos="7500" w:val="left"/>
        </w:tabs>
        <w:rPr>
          <w:sz w:val="20"/>
          <w:szCs w:val="20"/>
          <w:color w:val="auto"/>
        </w:rPr>
      </w:pPr>
      <w:r>
        <w:rPr>
          <w:rFonts w:ascii="Arial" w:cs="Arial" w:eastAsia="Arial" w:hAnsi="Arial"/>
          <w:sz w:val="27"/>
          <w:szCs w:val="27"/>
          <w:color w:val="auto"/>
        </w:rPr>
        <w:t>исследования</w:t>
      </w:r>
      <w:r>
        <w:rPr>
          <w:sz w:val="20"/>
          <w:szCs w:val="20"/>
          <w:color w:val="auto"/>
        </w:rPr>
        <w:tab/>
      </w:r>
      <w:r>
        <w:rPr>
          <w:rFonts w:ascii="Arial" w:cs="Arial" w:eastAsia="Arial" w:hAnsi="Arial"/>
          <w:sz w:val="27"/>
          <w:szCs w:val="27"/>
          <w:color w:val="auto"/>
        </w:rPr>
        <w:t>(</w:t>
      </w:r>
      <w:r>
        <w:rPr>
          <w:rFonts w:ascii="Arial" w:cs="Arial" w:eastAsia="Arial" w:hAnsi="Arial"/>
          <w:sz w:val="27"/>
          <w:szCs w:val="27"/>
          <w:color w:val="auto"/>
        </w:rPr>
        <w:t>использование</w:t>
      </w:r>
      <w:r>
        <w:rPr>
          <w:sz w:val="20"/>
          <w:szCs w:val="20"/>
          <w:color w:val="auto"/>
        </w:rPr>
        <w:tab/>
      </w:r>
      <w:r>
        <w:rPr>
          <w:rFonts w:ascii="Arial" w:cs="Arial" w:eastAsia="Arial" w:hAnsi="Arial"/>
          <w:sz w:val="27"/>
          <w:szCs w:val="27"/>
          <w:color w:val="auto"/>
        </w:rPr>
        <w:t>диагностических</w:t>
        <w:tab/>
        <w:t>процедур</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400" w:val="left"/>
          <w:tab w:leader="none" w:pos="3700" w:val="left"/>
          <w:tab w:leader="none" w:pos="5500" w:val="left"/>
          <w:tab w:leader="none" w:pos="6220" w:val="left"/>
          <w:tab w:leader="none" w:pos="8640" w:val="left"/>
        </w:tabs>
        <w:rPr>
          <w:sz w:val="20"/>
          <w:szCs w:val="20"/>
          <w:color w:val="auto"/>
        </w:rPr>
      </w:pPr>
      <w:r>
        <w:rPr>
          <w:rFonts w:ascii="Arial" w:cs="Arial" w:eastAsia="Arial" w:hAnsi="Arial"/>
          <w:sz w:val="27"/>
          <w:szCs w:val="27"/>
          <w:color w:val="auto"/>
        </w:rPr>
        <w:t>проведение</w:t>
        <w:tab/>
        <w:t>которых</w:t>
        <w:tab/>
        <w:t>невозможно</w:t>
        <w:tab/>
        <w:t>или</w:t>
        <w:tab/>
        <w:t>нецелесообразно</w:t>
      </w:r>
      <w:r>
        <w:rPr>
          <w:sz w:val="20"/>
          <w:szCs w:val="20"/>
          <w:color w:val="auto"/>
        </w:rPr>
        <w:tab/>
      </w:r>
      <w:r>
        <w:rPr>
          <w:rFonts w:ascii="Arial" w:cs="Arial" w:eastAsia="Arial" w:hAnsi="Arial"/>
          <w:sz w:val="26"/>
          <w:szCs w:val="26"/>
          <w:color w:val="auto"/>
        </w:rPr>
        <w:t>в</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условиях поликлиники</w:t>
      </w:r>
      <w:r>
        <w:rPr>
          <w:rFonts w:ascii="Arial" w:cs="Arial" w:eastAsia="Arial" w:hAnsi="Arial"/>
          <w:sz w:val="27"/>
          <w:szCs w:val="27"/>
          <w:color w:val="auto"/>
        </w:rPr>
        <w:t>)</w:t>
      </w:r>
      <w:r>
        <w:rPr>
          <w:rFonts w:ascii="Arial" w:cs="Arial" w:eastAsia="Arial" w:hAnsi="Arial"/>
          <w:sz w:val="27"/>
          <w:szCs w:val="27"/>
          <w:color w:val="auto"/>
        </w:rPr>
        <w:t xml:space="preserve"> для уточнения причины повышения</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АД </w:t>
      </w:r>
      <w:r>
        <w:rPr>
          <w:rFonts w:ascii="Arial" w:cs="Arial" w:eastAsia="Arial" w:hAnsi="Arial"/>
          <w:sz w:val="27"/>
          <w:szCs w:val="27"/>
          <w:color w:val="auto"/>
        </w:rPr>
        <w:t>(</w:t>
      </w:r>
      <w:r>
        <w:rPr>
          <w:rFonts w:ascii="Arial" w:cs="Arial" w:eastAsia="Arial" w:hAnsi="Arial"/>
          <w:sz w:val="27"/>
          <w:szCs w:val="27"/>
          <w:color w:val="auto"/>
        </w:rPr>
        <w:t>исключение симптоматических АГ</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трудности в подборе медикаментозной терапии </w:t>
      </w:r>
      <w:r>
        <w:rPr>
          <w:rFonts w:ascii="Arial" w:cs="Arial" w:eastAsia="Arial" w:hAnsi="Arial"/>
          <w:sz w:val="27"/>
          <w:szCs w:val="27"/>
          <w:color w:val="auto"/>
        </w:rPr>
        <w:t>(</w:t>
      </w:r>
      <w:r>
        <w:rPr>
          <w:rFonts w:ascii="Arial" w:cs="Arial" w:eastAsia="Arial" w:hAnsi="Arial"/>
          <w:sz w:val="27"/>
          <w:szCs w:val="27"/>
          <w:color w:val="auto"/>
        </w:rPr>
        <w:t>сочетанная</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5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патология</w:t>
      </w:r>
      <w:r>
        <w:rPr>
          <w:rFonts w:ascii="Arial" w:cs="Arial" w:eastAsia="Arial" w:hAnsi="Arial"/>
          <w:sz w:val="27"/>
          <w:szCs w:val="27"/>
          <w:color w:val="auto"/>
        </w:rPr>
        <w:t>,</w:t>
      </w:r>
      <w:r>
        <w:rPr>
          <w:rFonts w:ascii="Arial" w:cs="Arial" w:eastAsia="Arial" w:hAnsi="Arial"/>
          <w:sz w:val="27"/>
          <w:szCs w:val="27"/>
          <w:color w:val="auto"/>
        </w:rPr>
        <w:t xml:space="preserve"> частые гипертонические кризы</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рефрактерная АГ</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5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333"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 xml:space="preserve">7.2. </w:t>
      </w:r>
      <w:r>
        <w:rPr>
          <w:rFonts w:ascii="Arial" w:cs="Arial" w:eastAsia="Arial" w:hAnsi="Arial"/>
          <w:sz w:val="33"/>
          <w:szCs w:val="33"/>
          <w:b w:val="1"/>
          <w:bCs w:val="1"/>
          <w:color w:val="auto"/>
        </w:rPr>
        <w:t>Показания для экстренной госпитализации</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78"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гипертонический криз</w:t>
      </w:r>
      <w:r>
        <w:rPr>
          <w:rFonts w:ascii="Arial" w:cs="Arial" w:eastAsia="Arial" w:hAnsi="Arial"/>
          <w:sz w:val="27"/>
          <w:szCs w:val="27"/>
          <w:color w:val="auto"/>
        </w:rPr>
        <w:t>,</w:t>
      </w:r>
      <w:r>
        <w:rPr>
          <w:rFonts w:ascii="Arial" w:cs="Arial" w:eastAsia="Arial" w:hAnsi="Arial"/>
          <w:sz w:val="27"/>
          <w:szCs w:val="27"/>
          <w:color w:val="auto"/>
        </w:rPr>
        <w:t xml:space="preserve"> не купирующийся на догоспитальном</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5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этапе</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гипертонический криз при феохромоцитоме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5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3360" w:val="left"/>
          <w:tab w:leader="none" w:pos="4440" w:val="left"/>
          <w:tab w:leader="none" w:pos="5040" w:val="left"/>
          <w:tab w:leader="none" w:pos="7380" w:val="left"/>
        </w:tabs>
        <w:rPr>
          <w:sz w:val="20"/>
          <w:szCs w:val="20"/>
          <w:color w:val="auto"/>
        </w:rPr>
      </w:pPr>
      <w:r>
        <w:rPr>
          <w:rFonts w:ascii="Arial" w:cs="Arial" w:eastAsia="Arial" w:hAnsi="Arial"/>
          <w:sz w:val="27"/>
          <w:szCs w:val="27"/>
          <w:color w:val="auto"/>
        </w:rPr>
        <w:t>гипертонический</w:t>
      </w:r>
      <w:r>
        <w:rPr>
          <w:sz w:val="20"/>
          <w:szCs w:val="20"/>
          <w:color w:val="auto"/>
        </w:rPr>
        <w:tab/>
      </w:r>
      <w:r>
        <w:rPr>
          <w:rFonts w:ascii="Arial" w:cs="Arial" w:eastAsia="Arial" w:hAnsi="Arial"/>
          <w:sz w:val="27"/>
          <w:szCs w:val="27"/>
          <w:color w:val="auto"/>
        </w:rPr>
        <w:t>криз</w:t>
      </w:r>
      <w:r>
        <w:rPr>
          <w:sz w:val="20"/>
          <w:szCs w:val="20"/>
          <w:color w:val="auto"/>
        </w:rPr>
        <w:tab/>
      </w:r>
      <w:r>
        <w:rPr>
          <w:rFonts w:ascii="Arial" w:cs="Arial" w:eastAsia="Arial" w:hAnsi="Arial"/>
          <w:sz w:val="27"/>
          <w:szCs w:val="27"/>
          <w:color w:val="auto"/>
        </w:rPr>
        <w:t>с</w:t>
      </w:r>
      <w:r>
        <w:rPr>
          <w:sz w:val="20"/>
          <w:szCs w:val="20"/>
          <w:color w:val="auto"/>
        </w:rPr>
        <w:tab/>
      </w:r>
      <w:r>
        <w:rPr>
          <w:rFonts w:ascii="Arial" w:cs="Arial" w:eastAsia="Arial" w:hAnsi="Arial"/>
          <w:sz w:val="27"/>
          <w:szCs w:val="27"/>
          <w:color w:val="auto"/>
        </w:rPr>
        <w:t>выраженными</w:t>
      </w:r>
      <w:r>
        <w:rPr>
          <w:sz w:val="20"/>
          <w:szCs w:val="20"/>
          <w:color w:val="auto"/>
        </w:rPr>
        <w:tab/>
      </w:r>
      <w:r>
        <w:rPr>
          <w:rFonts w:ascii="Arial" w:cs="Arial" w:eastAsia="Arial" w:hAnsi="Arial"/>
          <w:sz w:val="27"/>
          <w:szCs w:val="27"/>
          <w:color w:val="auto"/>
        </w:rPr>
        <w:t>явлениями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5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гипертонической энцефалопатии</w:t>
      </w:r>
      <w:r>
        <w:rPr>
          <w:rFonts w:ascii="Arial" w:cs="Arial" w:eastAsia="Arial" w:hAnsi="Arial"/>
          <w:sz w:val="27"/>
          <w:szCs w:val="27"/>
          <w:color w:val="auto"/>
        </w:rPr>
        <w:t>;</w:t>
      </w:r>
    </w:p>
    <w:p>
      <w:pPr>
        <w:spacing w:after="0" w:line="80" w:lineRule="exact"/>
        <w:rPr>
          <w:sz w:val="20"/>
          <w:szCs w:val="20"/>
          <w:color w:val="auto"/>
        </w:rPr>
      </w:pPr>
    </w:p>
    <w:p>
      <w:pPr>
        <w:jc w:val="both"/>
        <w:ind w:left="680" w:right="220"/>
        <w:spacing w:after="0" w:line="312" w:lineRule="auto"/>
        <w:rPr>
          <w:sz w:val="20"/>
          <w:szCs w:val="20"/>
          <w:color w:val="auto"/>
        </w:rPr>
      </w:pPr>
      <w:r>
        <w:rPr>
          <w:rFonts w:ascii="Arial" w:cs="Arial" w:eastAsia="Arial" w:hAnsi="Arial"/>
          <w:sz w:val="27"/>
          <w:szCs w:val="27"/>
          <w:color w:val="auto"/>
        </w:rPr>
        <w:t>осложнения АГ</w:t>
      </w:r>
      <w:r>
        <w:rPr>
          <w:rFonts w:ascii="Arial" w:cs="Arial" w:eastAsia="Arial" w:hAnsi="Arial"/>
          <w:sz w:val="27"/>
          <w:szCs w:val="27"/>
          <w:color w:val="auto"/>
        </w:rPr>
        <w:t>,</w:t>
      </w:r>
      <w:r>
        <w:rPr>
          <w:rFonts w:ascii="Arial" w:cs="Arial" w:eastAsia="Arial" w:hAnsi="Arial"/>
          <w:sz w:val="27"/>
          <w:szCs w:val="27"/>
          <w:color w:val="auto"/>
        </w:rPr>
        <w:t xml:space="preserve"> требующие интенсивной терапии</w:t>
      </w:r>
      <w:r>
        <w:rPr>
          <w:rFonts w:ascii="Arial" w:cs="Arial" w:eastAsia="Arial" w:hAnsi="Arial"/>
          <w:sz w:val="27"/>
          <w:szCs w:val="27"/>
          <w:color w:val="auto"/>
        </w:rPr>
        <w:t>:</w:t>
      </w:r>
      <w:r>
        <w:rPr>
          <w:rFonts w:ascii="Arial" w:cs="Arial" w:eastAsia="Arial" w:hAnsi="Arial"/>
          <w:sz w:val="27"/>
          <w:szCs w:val="27"/>
          <w:color w:val="auto"/>
        </w:rPr>
        <w:t xml:space="preserve"> инсульт</w:t>
      </w:r>
      <w:r>
        <w:rPr>
          <w:rFonts w:ascii="Arial" w:cs="Arial" w:eastAsia="Arial" w:hAnsi="Arial"/>
          <w:sz w:val="27"/>
          <w:szCs w:val="27"/>
          <w:color w:val="auto"/>
        </w:rPr>
        <w:t>,</w:t>
      </w:r>
      <w:r>
        <w:rPr>
          <w:rFonts w:ascii="Arial" w:cs="Arial" w:eastAsia="Arial" w:hAnsi="Arial"/>
          <w:sz w:val="27"/>
          <w:szCs w:val="27"/>
          <w:color w:val="auto"/>
        </w:rPr>
        <w:t xml:space="preserve"> ОКС</w:t>
      </w:r>
      <w:r>
        <w:rPr>
          <w:rFonts w:ascii="Arial" w:cs="Arial" w:eastAsia="Arial" w:hAnsi="Arial"/>
          <w:sz w:val="27"/>
          <w:szCs w:val="27"/>
          <w:color w:val="auto"/>
        </w:rPr>
        <w:t>,</w:t>
      </w:r>
      <w:r>
        <w:rPr>
          <w:rFonts w:ascii="Arial" w:cs="Arial" w:eastAsia="Arial" w:hAnsi="Arial"/>
          <w:sz w:val="27"/>
          <w:szCs w:val="27"/>
          <w:color w:val="auto"/>
        </w:rPr>
        <w:t xml:space="preserve"> субарахноидальное кровоизлияние</w:t>
      </w:r>
      <w:r>
        <w:rPr>
          <w:rFonts w:ascii="Arial" w:cs="Arial" w:eastAsia="Arial" w:hAnsi="Arial"/>
          <w:sz w:val="27"/>
          <w:szCs w:val="27"/>
          <w:color w:val="auto"/>
        </w:rPr>
        <w:t>,</w:t>
      </w:r>
      <w:r>
        <w:rPr>
          <w:rFonts w:ascii="Arial" w:cs="Arial" w:eastAsia="Arial" w:hAnsi="Arial"/>
          <w:sz w:val="27"/>
          <w:szCs w:val="27"/>
          <w:color w:val="auto"/>
        </w:rPr>
        <w:t xml:space="preserve"> острые нарушения зрения</w:t>
      </w:r>
      <w:r>
        <w:rPr>
          <w:rFonts w:ascii="Arial" w:cs="Arial" w:eastAsia="Arial" w:hAnsi="Arial"/>
          <w:sz w:val="27"/>
          <w:szCs w:val="27"/>
          <w:color w:val="auto"/>
        </w:rPr>
        <w:t>,</w:t>
      </w:r>
      <w:r>
        <w:rPr>
          <w:rFonts w:ascii="Arial" w:cs="Arial" w:eastAsia="Arial" w:hAnsi="Arial"/>
          <w:sz w:val="27"/>
          <w:szCs w:val="27"/>
          <w:color w:val="auto"/>
        </w:rPr>
        <w:t xml:space="preserve"> отек легких</w:t>
      </w:r>
      <w:r>
        <w:rPr>
          <w:rFonts w:ascii="Arial" w:cs="Arial" w:eastAsia="Arial" w:hAnsi="Arial"/>
          <w:sz w:val="27"/>
          <w:szCs w:val="27"/>
          <w:color w:val="auto"/>
        </w:rPr>
        <w:t>,</w:t>
      </w:r>
      <w:r>
        <w:rPr>
          <w:rFonts w:ascii="Arial" w:cs="Arial" w:eastAsia="Arial" w:hAnsi="Arial"/>
          <w:sz w:val="27"/>
          <w:szCs w:val="27"/>
          <w:color w:val="auto"/>
        </w:rPr>
        <w:t xml:space="preserve"> расслоение аорты</w:t>
      </w:r>
      <w:r>
        <w:rPr>
          <w:rFonts w:ascii="Arial" w:cs="Arial" w:eastAsia="Arial" w:hAnsi="Arial"/>
          <w:sz w:val="27"/>
          <w:szCs w:val="27"/>
          <w:color w:val="auto"/>
        </w:rPr>
        <w:t>,</w:t>
      </w:r>
      <w:r>
        <w:rPr>
          <w:rFonts w:ascii="Arial" w:cs="Arial" w:eastAsia="Arial" w:hAnsi="Arial"/>
          <w:sz w:val="27"/>
          <w:szCs w:val="27"/>
          <w:color w:val="auto"/>
        </w:rPr>
        <w:t xml:space="preserve"> почечная недостаточность</w:t>
      </w:r>
      <w:r>
        <w:rPr>
          <w:rFonts w:ascii="Arial" w:cs="Arial" w:eastAsia="Arial" w:hAnsi="Arial"/>
          <w:sz w:val="27"/>
          <w:szCs w:val="27"/>
          <w:color w:val="auto"/>
        </w:rPr>
        <w:t>,</w:t>
      </w:r>
      <w:r>
        <w:rPr>
          <w:rFonts w:ascii="Arial" w:cs="Arial" w:eastAsia="Arial" w:hAnsi="Arial"/>
          <w:sz w:val="27"/>
          <w:szCs w:val="27"/>
          <w:color w:val="auto"/>
        </w:rPr>
        <w:t xml:space="preserve"> эклампсия</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5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399" w:lineRule="exact"/>
        <w:rPr>
          <w:sz w:val="20"/>
          <w:szCs w:val="20"/>
          <w:color w:val="auto"/>
        </w:rPr>
      </w:pPr>
    </w:p>
    <w:p>
      <w:pPr>
        <w:ind w:left="360" w:right="2240"/>
        <w:spacing w:after="0" w:line="245" w:lineRule="auto"/>
        <w:rPr>
          <w:sz w:val="20"/>
          <w:szCs w:val="20"/>
          <w:color w:val="auto"/>
        </w:rPr>
      </w:pPr>
      <w:r>
        <w:rPr>
          <w:rFonts w:ascii="Arial" w:cs="Arial" w:eastAsia="Arial" w:hAnsi="Arial"/>
          <w:sz w:val="33"/>
          <w:szCs w:val="33"/>
          <w:b w:val="1"/>
          <w:bCs w:val="1"/>
          <w:color w:val="auto"/>
        </w:rPr>
        <w:t xml:space="preserve">7.3. </w:t>
      </w:r>
      <w:r>
        <w:rPr>
          <w:rFonts w:ascii="Arial" w:cs="Arial" w:eastAsia="Arial" w:hAnsi="Arial"/>
          <w:sz w:val="33"/>
          <w:szCs w:val="33"/>
          <w:b w:val="1"/>
          <w:bCs w:val="1"/>
          <w:color w:val="auto"/>
        </w:rPr>
        <w:t>Показания к выписке пациента из</w:t>
      </w:r>
      <w:r>
        <w:rPr>
          <w:rFonts w:ascii="Arial" w:cs="Arial" w:eastAsia="Arial" w:hAnsi="Arial"/>
          <w:sz w:val="33"/>
          <w:szCs w:val="33"/>
          <w:b w:val="1"/>
          <w:bCs w:val="1"/>
          <w:color w:val="auto"/>
        </w:rPr>
        <w:t xml:space="preserve"> </w:t>
      </w:r>
      <w:r>
        <w:rPr>
          <w:rFonts w:ascii="Arial" w:cs="Arial" w:eastAsia="Arial" w:hAnsi="Arial"/>
          <w:sz w:val="33"/>
          <w:szCs w:val="33"/>
          <w:b w:val="1"/>
          <w:bCs w:val="1"/>
          <w:color w:val="auto"/>
        </w:rPr>
        <w:t>стационара</w:t>
      </w:r>
      <w:r>
        <w:rPr>
          <w:rFonts w:ascii="Arial" w:cs="Arial" w:eastAsia="Arial" w:hAnsi="Arial"/>
          <w:sz w:val="33"/>
          <w:szCs w:val="33"/>
          <w:b w:val="1"/>
          <w:bCs w:val="1"/>
          <w:color w:val="auto"/>
        </w:rPr>
        <w:t>:</w:t>
      </w:r>
    </w:p>
    <w:p>
      <w:pPr>
        <w:spacing w:after="0" w:line="200" w:lineRule="exact"/>
        <w:rPr>
          <w:sz w:val="20"/>
          <w:szCs w:val="20"/>
          <w:color w:val="auto"/>
        </w:rPr>
      </w:pPr>
    </w:p>
    <w:p>
      <w:pPr>
        <w:spacing w:after="0" w:line="213" w:lineRule="exact"/>
        <w:rPr>
          <w:sz w:val="20"/>
          <w:szCs w:val="20"/>
          <w:color w:val="auto"/>
        </w:rPr>
      </w:pPr>
    </w:p>
    <w:p>
      <w:pPr>
        <w:ind w:left="680"/>
        <w:spacing w:after="0"/>
        <w:tabs>
          <w:tab w:leader="none" w:pos="2860" w:val="left"/>
          <w:tab w:leader="none" w:pos="4140" w:val="left"/>
          <w:tab w:leader="none" w:pos="6820" w:val="left"/>
          <w:tab w:leader="none" w:pos="7380" w:val="left"/>
          <w:tab w:leader="none" w:pos="8120" w:val="left"/>
          <w:tab w:leader="none" w:pos="8660" w:val="left"/>
        </w:tabs>
        <w:rPr>
          <w:sz w:val="20"/>
          <w:szCs w:val="20"/>
          <w:color w:val="auto"/>
        </w:rPr>
      </w:pPr>
      <w:r>
        <w:rPr>
          <w:rFonts w:ascii="Arial" w:cs="Arial" w:eastAsia="Arial" w:hAnsi="Arial"/>
          <w:sz w:val="27"/>
          <w:szCs w:val="27"/>
          <w:color w:val="auto"/>
        </w:rPr>
        <w:t>установленный</w:t>
        <w:tab/>
        <w:t>диагноз</w:t>
        <w:tab/>
        <w:t>симптоматической</w:t>
        <w:tab/>
        <w:t>АГ</w:t>
        <w:tab/>
        <w:t>или</w:t>
        <w:tab/>
        <w:t>ГБ</w:t>
      </w:r>
      <w:r>
        <w:rPr>
          <w:sz w:val="20"/>
          <w:szCs w:val="20"/>
          <w:color w:val="auto"/>
        </w:rPr>
        <w:tab/>
      </w:r>
      <w:r>
        <w:rPr>
          <w:rFonts w:ascii="Arial" w:cs="Arial" w:eastAsia="Arial" w:hAnsi="Arial"/>
          <w:sz w:val="24"/>
          <w:szCs w:val="24"/>
          <w:color w:val="auto"/>
        </w:rPr>
        <w:t>с</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5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tabs>
          <w:tab w:leader="none" w:pos="3020" w:val="left"/>
          <w:tab w:leader="none" w:pos="4980" w:val="left"/>
          <w:tab w:leader="none" w:pos="6300" w:val="left"/>
          <w:tab w:leader="none" w:pos="8300" w:val="left"/>
        </w:tabs>
        <w:rPr>
          <w:sz w:val="20"/>
          <w:szCs w:val="20"/>
          <w:color w:val="auto"/>
        </w:rPr>
      </w:pPr>
      <w:r>
        <w:rPr>
          <w:rFonts w:ascii="Arial" w:cs="Arial" w:eastAsia="Arial" w:hAnsi="Arial"/>
          <w:sz w:val="27"/>
          <w:szCs w:val="27"/>
          <w:color w:val="auto"/>
        </w:rPr>
        <w:t>использованием</w:t>
        <w:tab/>
        <w:t>специальных</w:t>
        <w:tab/>
        <w:t>методов</w:t>
        <w:tab/>
        <w:t>исследования</w:t>
        <w:tab/>
        <w:t>при</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уточнении причины повышения АД</w:t>
      </w:r>
      <w:r>
        <w:rPr>
          <w:rFonts w:ascii="Arial" w:cs="Arial" w:eastAsia="Arial" w:hAnsi="Arial"/>
          <w:sz w:val="27"/>
          <w:szCs w:val="27"/>
          <w:color w:val="auto"/>
        </w:rPr>
        <w:t>;</w:t>
      </w:r>
    </w:p>
    <w:p>
      <w:pPr>
        <w:spacing w:after="0" w:line="80" w:lineRule="exact"/>
        <w:rPr>
          <w:sz w:val="20"/>
          <w:szCs w:val="20"/>
          <w:color w:val="auto"/>
        </w:rPr>
      </w:pPr>
    </w:p>
    <w:p>
      <w:pPr>
        <w:ind w:left="680" w:right="220"/>
        <w:spacing w:after="0" w:line="308" w:lineRule="auto"/>
        <w:rPr>
          <w:sz w:val="20"/>
          <w:szCs w:val="20"/>
          <w:color w:val="auto"/>
        </w:rPr>
      </w:pPr>
      <w:r>
        <w:rPr>
          <w:rFonts w:ascii="Arial" w:cs="Arial" w:eastAsia="Arial" w:hAnsi="Arial"/>
          <w:sz w:val="27"/>
          <w:szCs w:val="27"/>
          <w:color w:val="auto"/>
        </w:rPr>
        <w:t>подобранная медикаментозная терапия при сочетанной патологии и</w:t>
      </w:r>
      <w:r>
        <w:rPr>
          <w:rFonts w:ascii="Arial" w:cs="Arial" w:eastAsia="Arial" w:hAnsi="Arial"/>
          <w:sz w:val="27"/>
          <w:szCs w:val="27"/>
          <w:color w:val="auto"/>
        </w:rPr>
        <w:t>/</w:t>
      </w:r>
      <w:r>
        <w:rPr>
          <w:rFonts w:ascii="Arial" w:cs="Arial" w:eastAsia="Arial" w:hAnsi="Arial"/>
          <w:sz w:val="27"/>
          <w:szCs w:val="27"/>
          <w:color w:val="auto"/>
        </w:rPr>
        <w:t xml:space="preserve">или частых гипертонических кризах с достижением целевого уровняАД или снижение АД на </w:t>
      </w:r>
      <w:r>
        <w:rPr>
          <w:rFonts w:ascii="Arial" w:cs="Arial" w:eastAsia="Arial" w:hAnsi="Arial"/>
          <w:sz w:val="27"/>
          <w:szCs w:val="27"/>
          <w:color w:val="auto"/>
        </w:rPr>
        <w:t>25–30%</w:t>
      </w:r>
      <w:r>
        <w:rPr>
          <w:rFonts w:ascii="Arial" w:cs="Arial" w:eastAsia="Arial" w:hAnsi="Arial"/>
          <w:sz w:val="27"/>
          <w:szCs w:val="27"/>
          <w:color w:val="auto"/>
        </w:rPr>
        <w:t xml:space="preserve"> от исходных значений на момент выписки из стационара</w:t>
      </w:r>
      <w:r>
        <w:rPr>
          <w:rFonts w:ascii="Arial" w:cs="Arial" w:eastAsia="Arial" w:hAnsi="Arial"/>
          <w:sz w:val="27"/>
          <w:szCs w:val="27"/>
          <w:color w:val="auto"/>
        </w:rPr>
        <w:t>;</w:t>
      </w:r>
      <w:r>
        <w:rPr>
          <w:rFonts w:ascii="Arial" w:cs="Arial" w:eastAsia="Arial" w:hAnsi="Arial"/>
          <w:sz w:val="27"/>
          <w:szCs w:val="27"/>
          <w:color w:val="auto"/>
        </w:rPr>
        <w:t xml:space="preserve"> купированный гипертонический криз</w:t>
      </w:r>
      <w:r>
        <w:rPr>
          <w:rFonts w:ascii="Arial" w:cs="Arial" w:eastAsia="Arial" w:hAnsi="Arial"/>
          <w:sz w:val="27"/>
          <w:szCs w:val="27"/>
          <w:color w:val="auto"/>
        </w:rPr>
        <w:t>,</w:t>
      </w:r>
      <w:r>
        <w:rPr>
          <w:rFonts w:ascii="Arial" w:cs="Arial" w:eastAsia="Arial" w:hAnsi="Arial"/>
          <w:sz w:val="27"/>
          <w:szCs w:val="27"/>
          <w:color w:val="auto"/>
        </w:rPr>
        <w:t xml:space="preserve"> отсутствие осложнений</w:t>
      </w:r>
      <w:r>
        <w:rPr>
          <w:rFonts w:ascii="Arial" w:cs="Arial" w:eastAsia="Arial" w:hAnsi="Arial"/>
          <w:sz w:val="27"/>
          <w:szCs w:val="27"/>
          <w:color w:val="auto"/>
        </w:rPr>
        <w:t>,</w:t>
      </w:r>
      <w:r>
        <w:rPr>
          <w:rFonts w:ascii="Arial" w:cs="Arial" w:eastAsia="Arial" w:hAnsi="Arial"/>
          <w:sz w:val="27"/>
          <w:szCs w:val="27"/>
          <w:color w:val="auto"/>
        </w:rPr>
        <w:t xml:space="preserve"> требующих интенсивной терапии</w:t>
      </w:r>
      <w:r>
        <w:rPr>
          <w:rFonts w:ascii="Arial" w:cs="Arial" w:eastAsia="Arial" w:hAnsi="Arial"/>
          <w:sz w:val="27"/>
          <w:szCs w:val="27"/>
          <w:color w:val="auto"/>
        </w:rPr>
        <w:t>,</w:t>
      </w:r>
      <w:r>
        <w:rPr>
          <w:rFonts w:ascii="Arial" w:cs="Arial" w:eastAsia="Arial" w:hAnsi="Arial"/>
          <w:sz w:val="27"/>
          <w:szCs w:val="27"/>
          <w:color w:val="auto"/>
        </w:rPr>
        <w:t xml:space="preserve"> стабилизация уровня АД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-1437640</wp:posOffset>
            </wp:positionV>
            <wp:extent cx="82550" cy="8255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9">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-446405</wp:posOffset>
            </wp:positionV>
            <wp:extent cx="82550" cy="82550"/>
            <wp:wrapNone/>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6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0" w:right="1440" w:bottom="180" w:gutter="0" w:footer="0" w:header="0"/>
        </w:sectPr>
      </w:pPr>
    </w:p>
    <w:bookmarkStart w:id="84" w:name="page85"/>
    <w:bookmarkEnd w:id="84"/>
    <w:p>
      <w:pPr>
        <w:ind w:left="360"/>
        <w:spacing w:after="0"/>
        <w:rPr>
          <w:sz w:val="20"/>
          <w:szCs w:val="20"/>
          <w:color w:val="auto"/>
        </w:rPr>
      </w:pPr>
      <w:r>
        <w:rPr>
          <w:rFonts w:ascii="Arial" w:cs="Arial" w:eastAsia="Arial" w:hAnsi="Arial"/>
          <w:sz w:val="33"/>
          <w:szCs w:val="33"/>
          <w:b w:val="1"/>
          <w:bCs w:val="1"/>
          <w:color w:val="auto"/>
        </w:rPr>
        <w:t xml:space="preserve">7.4. </w:t>
      </w:r>
      <w:r>
        <w:rPr>
          <w:rFonts w:ascii="Arial" w:cs="Arial" w:eastAsia="Arial" w:hAnsi="Arial"/>
          <w:sz w:val="33"/>
          <w:szCs w:val="33"/>
          <w:b w:val="1"/>
          <w:bCs w:val="1"/>
          <w:color w:val="auto"/>
        </w:rPr>
        <w:t>Иные организационные технологии</w:t>
      </w:r>
    </w:p>
    <w:p>
      <w:pPr>
        <w:spacing w:after="0" w:line="200" w:lineRule="exact"/>
        <w:rPr>
          <w:sz w:val="20"/>
          <w:szCs w:val="20"/>
          <w:color w:val="auto"/>
        </w:rPr>
      </w:pPr>
    </w:p>
    <w:p>
      <w:pPr>
        <w:spacing w:after="0" w:line="220"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color w:val="auto"/>
        </w:rPr>
        <w:t>При анализе работы медицинской организации с пациентами с АГ целесообразно анализировать следующие показатели</w:t>
      </w:r>
      <w:r>
        <w:rPr>
          <w:rFonts w:ascii="Arial" w:cs="Arial" w:eastAsia="Arial" w:hAnsi="Arial"/>
          <w:sz w:val="27"/>
          <w:szCs w:val="27"/>
          <w:color w:val="auto"/>
        </w:rPr>
        <w:t>:</w:t>
      </w:r>
    </w:p>
    <w:p>
      <w:pPr>
        <w:spacing w:after="0" w:line="186" w:lineRule="exact"/>
        <w:rPr>
          <w:sz w:val="20"/>
          <w:szCs w:val="20"/>
          <w:color w:val="auto"/>
        </w:rPr>
      </w:pPr>
    </w:p>
    <w:p>
      <w:pPr>
        <w:ind w:left="680" w:right="220"/>
        <w:spacing w:after="0" w:line="312" w:lineRule="auto"/>
        <w:rPr>
          <w:sz w:val="20"/>
          <w:szCs w:val="20"/>
          <w:color w:val="auto"/>
        </w:rPr>
      </w:pPr>
      <w:r>
        <w:rPr>
          <w:rFonts w:ascii="Arial" w:cs="Arial" w:eastAsia="Arial" w:hAnsi="Arial"/>
          <w:sz w:val="27"/>
          <w:szCs w:val="27"/>
          <w:color w:val="auto"/>
        </w:rPr>
        <w:t>процент пациентов</w:t>
      </w:r>
      <w:r>
        <w:rPr>
          <w:rFonts w:ascii="Arial" w:cs="Arial" w:eastAsia="Arial" w:hAnsi="Arial"/>
          <w:sz w:val="27"/>
          <w:szCs w:val="27"/>
          <w:color w:val="auto"/>
        </w:rPr>
        <w:t>,</w:t>
      </w:r>
      <w:r>
        <w:rPr>
          <w:rFonts w:ascii="Arial" w:cs="Arial" w:eastAsia="Arial" w:hAnsi="Arial"/>
          <w:sz w:val="27"/>
          <w:szCs w:val="27"/>
          <w:color w:val="auto"/>
        </w:rPr>
        <w:t xml:space="preserve"> достигших целевого АД менее </w:t>
      </w:r>
      <w:r>
        <w:rPr>
          <w:rFonts w:ascii="Arial" w:cs="Arial" w:eastAsia="Arial" w:hAnsi="Arial"/>
          <w:sz w:val="27"/>
          <w:szCs w:val="27"/>
          <w:color w:val="auto"/>
        </w:rPr>
        <w: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и </w:t>
      </w:r>
      <w:r>
        <w:rPr>
          <w:rFonts w:ascii="Arial" w:cs="Arial" w:eastAsia="Arial" w:hAnsi="Arial"/>
          <w:sz w:val="27"/>
          <w:szCs w:val="27"/>
          <w:color w:val="auto"/>
        </w:rPr>
        <w:t>130/80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через </w:t>
      </w:r>
      <w:r>
        <w:rPr>
          <w:rFonts w:ascii="Arial" w:cs="Arial" w:eastAsia="Arial" w:hAnsi="Arial"/>
          <w:sz w:val="27"/>
          <w:szCs w:val="27"/>
          <w:color w:val="auto"/>
        </w:rPr>
        <w:t>3, 6</w:t>
      </w:r>
      <w:r>
        <w:rPr>
          <w:rFonts w:ascii="Arial" w:cs="Arial" w:eastAsia="Arial" w:hAnsi="Arial"/>
          <w:sz w:val="27"/>
          <w:szCs w:val="27"/>
          <w:color w:val="auto"/>
        </w:rPr>
        <w:t xml:space="preserve"> и </w:t>
      </w:r>
      <w:r>
        <w:rPr>
          <w:rFonts w:ascii="Arial" w:cs="Arial" w:eastAsia="Arial" w:hAnsi="Arial"/>
          <w:sz w:val="27"/>
          <w:szCs w:val="27"/>
          <w:color w:val="auto"/>
        </w:rPr>
        <w:t>12</w:t>
      </w:r>
      <w:r>
        <w:rPr>
          <w:rFonts w:ascii="Arial" w:cs="Arial" w:eastAsia="Arial" w:hAnsi="Arial"/>
          <w:sz w:val="27"/>
          <w:szCs w:val="27"/>
          <w:color w:val="auto"/>
        </w:rPr>
        <w:t xml:space="preserve"> месяцев наблюдения</w:t>
      </w:r>
      <w:r>
        <w:rPr>
          <w:rFonts w:ascii="Arial" w:cs="Arial" w:eastAsia="Arial" w:hAnsi="Arial"/>
          <w:sz w:val="27"/>
          <w:szCs w:val="27"/>
          <w:color w:val="auto"/>
        </w:rPr>
        <w:t>;</w:t>
      </w:r>
      <w:r>
        <w:rPr>
          <w:rFonts w:ascii="Arial" w:cs="Arial" w:eastAsia="Arial" w:hAnsi="Arial"/>
          <w:sz w:val="27"/>
          <w:szCs w:val="27"/>
          <w:color w:val="auto"/>
        </w:rPr>
        <w:t xml:space="preserve"> процент пациентов</w:t>
      </w:r>
      <w:r>
        <w:rPr>
          <w:rFonts w:ascii="Arial" w:cs="Arial" w:eastAsia="Arial" w:hAnsi="Arial"/>
          <w:sz w:val="27"/>
          <w:szCs w:val="27"/>
          <w:color w:val="auto"/>
        </w:rPr>
        <w:t>,</w:t>
      </w:r>
      <w:r>
        <w:rPr>
          <w:rFonts w:ascii="Arial" w:cs="Arial" w:eastAsia="Arial" w:hAnsi="Arial"/>
          <w:sz w:val="27"/>
          <w:szCs w:val="27"/>
          <w:color w:val="auto"/>
        </w:rPr>
        <w:t xml:space="preserve"> получающих комбинированную антигипертензивную терапию</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-944880</wp:posOffset>
            </wp:positionV>
            <wp:extent cx="82550" cy="82550"/>
            <wp:wrapNone/>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61">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-449580</wp:posOffset>
            </wp:positionV>
            <wp:extent cx="82550" cy="82550"/>
            <wp:wrapNone/>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6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0" w:right="1440" w:bottom="1440" w:gutter="0" w:footer="0" w:header="0"/>
        </w:sectPr>
      </w:pPr>
    </w:p>
    <w:bookmarkStart w:id="85" w:name="page86"/>
    <w:bookmarkEnd w:id="85"/>
    <w:p>
      <w:pPr>
        <w:ind w:left="360" w:right="600" w:firstLine="1"/>
        <w:spacing w:after="0" w:line="231" w:lineRule="auto"/>
        <w:tabs>
          <w:tab w:leader="none" w:pos="903" w:val="left"/>
        </w:tabs>
        <w:numPr>
          <w:ilvl w:val="0"/>
          <w:numId w:val="61"/>
        </w:numPr>
        <w:rPr>
          <w:rFonts w:ascii="Arial" w:cs="Arial" w:eastAsia="Arial" w:hAnsi="Arial"/>
          <w:sz w:val="48"/>
          <w:szCs w:val="48"/>
          <w:b w:val="1"/>
          <w:bCs w:val="1"/>
          <w:color w:val="auto"/>
        </w:rPr>
      </w:pPr>
      <w:r>
        <w:rPr>
          <w:rFonts w:ascii="Arial" w:cs="Arial" w:eastAsia="Arial" w:hAnsi="Arial"/>
          <w:sz w:val="48"/>
          <w:szCs w:val="48"/>
          <w:b w:val="1"/>
          <w:bCs w:val="1"/>
          <w:color w:val="auto"/>
        </w:rPr>
        <w:t>Дополнительная информация</w:t>
      </w:r>
      <w:r>
        <w:rPr>
          <w:rFonts w:ascii="Arial" w:cs="Arial" w:eastAsia="Arial" w:hAnsi="Arial"/>
          <w:sz w:val="48"/>
          <w:szCs w:val="48"/>
          <w:b w:val="1"/>
          <w:bCs w:val="1"/>
          <w:color w:val="auto"/>
        </w:rPr>
        <w:t>,</w:t>
      </w:r>
      <w:r>
        <w:rPr>
          <w:rFonts w:ascii="Arial" w:cs="Arial" w:eastAsia="Arial" w:hAnsi="Arial"/>
          <w:sz w:val="48"/>
          <w:szCs w:val="48"/>
          <w:b w:val="1"/>
          <w:bCs w:val="1"/>
          <w:color w:val="auto"/>
        </w:rPr>
        <w:t xml:space="preserve"> влияющая на течение и исход заболевания</w:t>
      </w:r>
    </w:p>
    <w:p>
      <w:pPr>
        <w:spacing w:after="0" w:line="395"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Снижение АД</w:t>
      </w:r>
      <w:r>
        <w:rPr>
          <w:rFonts w:ascii="Arial" w:cs="Arial" w:eastAsia="Arial" w:hAnsi="Arial"/>
          <w:sz w:val="27"/>
          <w:szCs w:val="27"/>
          <w:color w:val="auto"/>
        </w:rPr>
        <w:t>,</w:t>
      </w:r>
      <w:r>
        <w:rPr>
          <w:rFonts w:ascii="Arial" w:cs="Arial" w:eastAsia="Arial" w:hAnsi="Arial"/>
          <w:sz w:val="27"/>
          <w:szCs w:val="27"/>
          <w:color w:val="auto"/>
        </w:rPr>
        <w:t xml:space="preserve"> достижение и удержание его на целевом уровне является ключевым фактором</w:t>
      </w:r>
      <w:r>
        <w:rPr>
          <w:rFonts w:ascii="Arial" w:cs="Arial" w:eastAsia="Arial" w:hAnsi="Arial"/>
          <w:sz w:val="27"/>
          <w:szCs w:val="27"/>
          <w:color w:val="auto"/>
        </w:rPr>
        <w:t>,</w:t>
      </w:r>
      <w:r>
        <w:rPr>
          <w:rFonts w:ascii="Arial" w:cs="Arial" w:eastAsia="Arial" w:hAnsi="Arial"/>
          <w:sz w:val="27"/>
          <w:szCs w:val="27"/>
          <w:color w:val="auto"/>
        </w:rPr>
        <w:t xml:space="preserve"> влияющим на прогноз и улучшающим сердечно</w:t>
      </w:r>
      <w:r>
        <w:rPr>
          <w:rFonts w:ascii="Arial" w:cs="Arial" w:eastAsia="Arial" w:hAnsi="Arial"/>
          <w:sz w:val="27"/>
          <w:szCs w:val="27"/>
          <w:color w:val="auto"/>
        </w:rPr>
        <w:t>-</w:t>
      </w:r>
      <w:r>
        <w:rPr>
          <w:rFonts w:ascii="Arial" w:cs="Arial" w:eastAsia="Arial" w:hAnsi="Arial"/>
          <w:sz w:val="27"/>
          <w:szCs w:val="27"/>
          <w:color w:val="auto"/>
        </w:rPr>
        <w:t>сосудистые исходы у пациентов с АГ</w:t>
      </w:r>
      <w:r>
        <w:rPr>
          <w:rFonts w:ascii="Arial" w:cs="Arial" w:eastAsia="Arial" w:hAnsi="Arial"/>
          <w:sz w:val="27"/>
          <w:szCs w:val="27"/>
          <w:color w:val="auto"/>
        </w:rPr>
        <w:t>.</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Другими важными целями при лечении АГ являются</w:t>
      </w:r>
      <w:r>
        <w:rPr>
          <w:rFonts w:ascii="Arial" w:cs="Arial" w:eastAsia="Arial" w:hAnsi="Arial"/>
          <w:sz w:val="27"/>
          <w:szCs w:val="27"/>
          <w:color w:val="auto"/>
        </w:rPr>
        <w:t>:</w:t>
      </w:r>
    </w:p>
    <w:p>
      <w:pPr>
        <w:spacing w:after="0" w:line="350" w:lineRule="exact"/>
        <w:rPr>
          <w:sz w:val="20"/>
          <w:szCs w:val="20"/>
          <w:color w:val="auto"/>
        </w:rPr>
      </w:pPr>
    </w:p>
    <w:p>
      <w:pPr>
        <w:ind w:left="540" w:hanging="179"/>
        <w:spacing w:after="0"/>
        <w:tabs>
          <w:tab w:leader="none" w:pos="540" w:val="left"/>
        </w:tabs>
        <w:numPr>
          <w:ilvl w:val="0"/>
          <w:numId w:val="62"/>
        </w:numPr>
        <w:rPr>
          <w:rFonts w:ascii="Arial" w:cs="Arial" w:eastAsia="Arial" w:hAnsi="Arial"/>
          <w:sz w:val="27"/>
          <w:szCs w:val="27"/>
          <w:color w:val="auto"/>
        </w:rPr>
      </w:pPr>
      <w:r>
        <w:rPr>
          <w:rFonts w:ascii="Arial" w:cs="Arial" w:eastAsia="Arial" w:hAnsi="Arial"/>
          <w:sz w:val="27"/>
          <w:szCs w:val="27"/>
          <w:color w:val="auto"/>
        </w:rPr>
        <w:t>максимальное снижение риска развития ССО и смерти</w:t>
      </w:r>
      <w:r>
        <w:rPr>
          <w:rFonts w:ascii="Arial" w:cs="Arial" w:eastAsia="Arial" w:hAnsi="Arial"/>
          <w:sz w:val="27"/>
          <w:szCs w:val="27"/>
          <w:color w:val="auto"/>
        </w:rPr>
        <w:t>;</w:t>
      </w:r>
    </w:p>
    <w:p>
      <w:pPr>
        <w:spacing w:after="0" w:line="349" w:lineRule="exact"/>
        <w:rPr>
          <w:rFonts w:ascii="Arial" w:cs="Arial" w:eastAsia="Arial" w:hAnsi="Arial"/>
          <w:sz w:val="27"/>
          <w:szCs w:val="27"/>
          <w:color w:val="auto"/>
        </w:rPr>
      </w:pPr>
    </w:p>
    <w:p>
      <w:pPr>
        <w:ind w:left="360" w:right="220" w:firstLine="1"/>
        <w:spacing w:after="0" w:line="334" w:lineRule="auto"/>
        <w:tabs>
          <w:tab w:leader="none" w:pos="573" w:val="left"/>
        </w:tabs>
        <w:numPr>
          <w:ilvl w:val="0"/>
          <w:numId w:val="62"/>
        </w:numPr>
        <w:rPr>
          <w:rFonts w:ascii="Arial" w:cs="Arial" w:eastAsia="Arial" w:hAnsi="Arial"/>
          <w:sz w:val="27"/>
          <w:szCs w:val="27"/>
          <w:color w:val="auto"/>
        </w:rPr>
      </w:pPr>
      <w:r>
        <w:rPr>
          <w:rFonts w:ascii="Arial" w:cs="Arial" w:eastAsia="Arial" w:hAnsi="Arial"/>
          <w:sz w:val="27"/>
          <w:szCs w:val="27"/>
          <w:color w:val="auto"/>
        </w:rPr>
        <w:t xml:space="preserve">коррекция всех модифицируемых ФР </w:t>
      </w:r>
      <w:r>
        <w:rPr>
          <w:rFonts w:ascii="Arial" w:cs="Arial" w:eastAsia="Arial" w:hAnsi="Arial"/>
          <w:sz w:val="27"/>
          <w:szCs w:val="27"/>
          <w:color w:val="auto"/>
        </w:rPr>
        <w:t>(</w:t>
      </w:r>
      <w:r>
        <w:rPr>
          <w:rFonts w:ascii="Arial" w:cs="Arial" w:eastAsia="Arial" w:hAnsi="Arial"/>
          <w:sz w:val="27"/>
          <w:szCs w:val="27"/>
          <w:color w:val="auto"/>
        </w:rPr>
        <w:t>курение</w:t>
      </w:r>
      <w:r>
        <w:rPr>
          <w:rFonts w:ascii="Arial" w:cs="Arial" w:eastAsia="Arial" w:hAnsi="Arial"/>
          <w:sz w:val="27"/>
          <w:szCs w:val="27"/>
          <w:color w:val="auto"/>
        </w:rPr>
        <w:t>,</w:t>
      </w:r>
      <w:r>
        <w:rPr>
          <w:rFonts w:ascii="Arial" w:cs="Arial" w:eastAsia="Arial" w:hAnsi="Arial"/>
          <w:sz w:val="27"/>
          <w:szCs w:val="27"/>
          <w:color w:val="auto"/>
        </w:rPr>
        <w:t xml:space="preserve"> дислипидемия</w:t>
      </w:r>
      <w:r>
        <w:rPr>
          <w:rFonts w:ascii="Arial" w:cs="Arial" w:eastAsia="Arial" w:hAnsi="Arial"/>
          <w:sz w:val="27"/>
          <w:szCs w:val="27"/>
          <w:color w:val="auto"/>
        </w:rPr>
        <w:t>,</w:t>
      </w:r>
      <w:r>
        <w:rPr>
          <w:rFonts w:ascii="Arial" w:cs="Arial" w:eastAsia="Arial" w:hAnsi="Arial"/>
          <w:sz w:val="27"/>
          <w:szCs w:val="27"/>
          <w:color w:val="auto"/>
        </w:rPr>
        <w:t xml:space="preserve"> гипергликемия</w:t>
      </w:r>
      <w:r>
        <w:rPr>
          <w:rFonts w:ascii="Arial" w:cs="Arial" w:eastAsia="Arial" w:hAnsi="Arial"/>
          <w:sz w:val="27"/>
          <w:szCs w:val="27"/>
          <w:color w:val="auto"/>
        </w:rPr>
        <w:t>,</w:t>
      </w:r>
      <w:r>
        <w:rPr>
          <w:rFonts w:ascii="Arial" w:cs="Arial" w:eastAsia="Arial" w:hAnsi="Arial"/>
          <w:sz w:val="27"/>
          <w:szCs w:val="27"/>
          <w:color w:val="auto"/>
        </w:rPr>
        <w:t xml:space="preserve"> ожирение</w:t>
      </w:r>
      <w:r>
        <w:rPr>
          <w:rFonts w:ascii="Arial" w:cs="Arial" w:eastAsia="Arial" w:hAnsi="Arial"/>
          <w:sz w:val="27"/>
          <w:szCs w:val="27"/>
          <w:color w:val="auto"/>
        </w:rPr>
        <w:t>);</w:t>
      </w:r>
    </w:p>
    <w:p>
      <w:pPr>
        <w:spacing w:after="0" w:line="186" w:lineRule="exact"/>
        <w:rPr>
          <w:rFonts w:ascii="Arial" w:cs="Arial" w:eastAsia="Arial" w:hAnsi="Arial"/>
          <w:sz w:val="27"/>
          <w:szCs w:val="27"/>
          <w:color w:val="auto"/>
        </w:rPr>
      </w:pPr>
    </w:p>
    <w:p>
      <w:pPr>
        <w:ind w:left="360" w:right="220" w:firstLine="1"/>
        <w:spacing w:after="0" w:line="334" w:lineRule="auto"/>
        <w:tabs>
          <w:tab w:leader="none" w:pos="627" w:val="left"/>
        </w:tabs>
        <w:numPr>
          <w:ilvl w:val="0"/>
          <w:numId w:val="62"/>
        </w:numPr>
        <w:rPr>
          <w:rFonts w:ascii="Arial" w:cs="Arial" w:eastAsia="Arial" w:hAnsi="Arial"/>
          <w:sz w:val="27"/>
          <w:szCs w:val="27"/>
          <w:color w:val="auto"/>
        </w:rPr>
      </w:pPr>
      <w:r>
        <w:rPr>
          <w:rFonts w:ascii="Arial" w:cs="Arial" w:eastAsia="Arial" w:hAnsi="Arial"/>
          <w:sz w:val="27"/>
          <w:szCs w:val="27"/>
          <w:color w:val="auto"/>
        </w:rPr>
        <w:t>предупреждение</w:t>
      </w:r>
      <w:r>
        <w:rPr>
          <w:rFonts w:ascii="Arial" w:cs="Arial" w:eastAsia="Arial" w:hAnsi="Arial"/>
          <w:sz w:val="27"/>
          <w:szCs w:val="27"/>
          <w:color w:val="auto"/>
        </w:rPr>
        <w:t>,</w:t>
      </w:r>
      <w:r>
        <w:rPr>
          <w:rFonts w:ascii="Arial" w:cs="Arial" w:eastAsia="Arial" w:hAnsi="Arial"/>
          <w:sz w:val="27"/>
          <w:szCs w:val="27"/>
          <w:color w:val="auto"/>
        </w:rPr>
        <w:t xml:space="preserve"> замедление темпа прогрессирования и</w:t>
      </w:r>
      <w:r>
        <w:rPr>
          <w:rFonts w:ascii="Arial" w:cs="Arial" w:eastAsia="Arial" w:hAnsi="Arial"/>
          <w:sz w:val="27"/>
          <w:szCs w:val="27"/>
          <w:color w:val="auto"/>
        </w:rPr>
        <w:t>/</w:t>
      </w:r>
      <w:r>
        <w:rPr>
          <w:rFonts w:ascii="Arial" w:cs="Arial" w:eastAsia="Arial" w:hAnsi="Arial"/>
          <w:sz w:val="27"/>
          <w:szCs w:val="27"/>
          <w:color w:val="auto"/>
        </w:rPr>
        <w:t>или уменьшение ПОМ</w:t>
      </w:r>
      <w:r>
        <w:rPr>
          <w:rFonts w:ascii="Arial" w:cs="Arial" w:eastAsia="Arial" w:hAnsi="Arial"/>
          <w:sz w:val="27"/>
          <w:szCs w:val="27"/>
          <w:color w:val="auto"/>
        </w:rPr>
        <w:t>;</w:t>
      </w:r>
    </w:p>
    <w:p>
      <w:pPr>
        <w:spacing w:after="0" w:line="186" w:lineRule="exact"/>
        <w:rPr>
          <w:rFonts w:ascii="Arial" w:cs="Arial" w:eastAsia="Arial" w:hAnsi="Arial"/>
          <w:sz w:val="27"/>
          <w:szCs w:val="27"/>
          <w:color w:val="auto"/>
        </w:rPr>
      </w:pPr>
    </w:p>
    <w:p>
      <w:pPr>
        <w:ind w:left="540" w:hanging="179"/>
        <w:spacing w:after="0"/>
        <w:tabs>
          <w:tab w:leader="none" w:pos="540" w:val="left"/>
        </w:tabs>
        <w:numPr>
          <w:ilvl w:val="0"/>
          <w:numId w:val="62"/>
        </w:numPr>
        <w:rPr>
          <w:rFonts w:ascii="Arial" w:cs="Arial" w:eastAsia="Arial" w:hAnsi="Arial"/>
          <w:sz w:val="27"/>
          <w:szCs w:val="27"/>
          <w:color w:val="auto"/>
        </w:rPr>
      </w:pPr>
      <w:r>
        <w:rPr>
          <w:rFonts w:ascii="Arial" w:cs="Arial" w:eastAsia="Arial" w:hAnsi="Arial"/>
          <w:sz w:val="27"/>
          <w:szCs w:val="27"/>
          <w:color w:val="auto"/>
        </w:rPr>
        <w:t xml:space="preserve">лечение сопутствующих заболеваний </w:t>
      </w:r>
      <w:r>
        <w:rPr>
          <w:rFonts w:ascii="Arial" w:cs="Arial" w:eastAsia="Arial" w:hAnsi="Arial"/>
          <w:sz w:val="27"/>
          <w:szCs w:val="27"/>
          <w:color w:val="auto"/>
        </w:rPr>
        <w:t>(</w:t>
      </w:r>
      <w:r>
        <w:rPr>
          <w:rFonts w:ascii="Arial" w:cs="Arial" w:eastAsia="Arial" w:hAnsi="Arial"/>
          <w:sz w:val="27"/>
          <w:szCs w:val="27"/>
          <w:color w:val="auto"/>
        </w:rPr>
        <w:t>ИБС</w:t>
      </w:r>
      <w:r>
        <w:rPr>
          <w:rFonts w:ascii="Arial" w:cs="Arial" w:eastAsia="Arial" w:hAnsi="Arial"/>
          <w:sz w:val="27"/>
          <w:szCs w:val="27"/>
          <w:color w:val="auto"/>
        </w:rPr>
        <w:t>,</w:t>
      </w:r>
      <w:r>
        <w:rPr>
          <w:rFonts w:ascii="Arial" w:cs="Arial" w:eastAsia="Arial" w:hAnsi="Arial"/>
          <w:sz w:val="27"/>
          <w:szCs w:val="27"/>
          <w:color w:val="auto"/>
        </w:rPr>
        <w:t xml:space="preserve"> ХСН</w:t>
      </w:r>
      <w:r>
        <w:rPr>
          <w:rFonts w:ascii="Arial" w:cs="Arial" w:eastAsia="Arial" w:hAnsi="Arial"/>
          <w:sz w:val="27"/>
          <w:szCs w:val="27"/>
          <w:color w:val="auto"/>
        </w:rPr>
        <w:t>,</w:t>
      </w:r>
      <w:r>
        <w:rPr>
          <w:rFonts w:ascii="Arial" w:cs="Arial" w:eastAsia="Arial" w:hAnsi="Arial"/>
          <w:sz w:val="27"/>
          <w:szCs w:val="27"/>
          <w:color w:val="auto"/>
        </w:rPr>
        <w:t xml:space="preserve"> СД</w:t>
      </w:r>
      <w:r>
        <w:rPr>
          <w:rFonts w:ascii="Arial" w:cs="Arial" w:eastAsia="Arial" w:hAnsi="Arial"/>
          <w:sz w:val="27"/>
          <w:szCs w:val="27"/>
          <w:color w:val="auto"/>
        </w:rPr>
        <w:t>,</w:t>
      </w:r>
      <w:r>
        <w:rPr>
          <w:rFonts w:ascii="Arial" w:cs="Arial" w:eastAsia="Arial" w:hAnsi="Arial"/>
          <w:sz w:val="27"/>
          <w:szCs w:val="27"/>
          <w:color w:val="auto"/>
        </w:rPr>
        <w:t xml:space="preserve"> ФП</w:t>
      </w:r>
      <w:r>
        <w:rPr>
          <w:rFonts w:ascii="Arial" w:cs="Arial" w:eastAsia="Arial" w:hAnsi="Arial"/>
          <w:sz w:val="27"/>
          <w:szCs w:val="27"/>
          <w:color w:val="auto"/>
        </w:rPr>
        <w:t>,</w:t>
      </w:r>
      <w:r>
        <w:rPr>
          <w:rFonts w:ascii="Arial" w:cs="Arial" w:eastAsia="Arial" w:hAnsi="Arial"/>
          <w:sz w:val="27"/>
          <w:szCs w:val="27"/>
          <w:color w:val="auto"/>
        </w:rPr>
        <w:t xml:space="preserve"> ХБП</w:t>
      </w:r>
      <w:r>
        <w:rPr>
          <w:rFonts w:ascii="Arial" w:cs="Arial" w:eastAsia="Arial" w:hAnsi="Arial"/>
          <w:sz w:val="27"/>
          <w:szCs w:val="27"/>
          <w:color w:val="auto"/>
        </w:rPr>
        <w:t>).</w:t>
      </w:r>
    </w:p>
    <w:p>
      <w:pPr>
        <w:sectPr>
          <w:pgSz w:w="11900" w:h="16840" w:orient="portrait"/>
          <w:cols w:equalWidth="0" w:num="1">
            <w:col w:w="9020"/>
          </w:cols>
          <w:pgMar w:left="1440" w:top="671" w:right="1440" w:bottom="1440" w:gutter="0" w:footer="0" w:header="0"/>
        </w:sectPr>
      </w:pPr>
    </w:p>
    <w:bookmarkStart w:id="86" w:name="page87"/>
    <w:bookmarkEnd w:id="86"/>
    <w:p>
      <w:pPr>
        <w:ind w:left="360" w:right="2060"/>
        <w:spacing w:after="0" w:line="244" w:lineRule="auto"/>
        <w:rPr>
          <w:sz w:val="20"/>
          <w:szCs w:val="20"/>
          <w:color w:val="auto"/>
        </w:rPr>
      </w:pPr>
      <w:r>
        <w:rPr>
          <w:rFonts w:ascii="Arial" w:cs="Arial" w:eastAsia="Arial" w:hAnsi="Arial"/>
          <w:sz w:val="48"/>
          <w:szCs w:val="48"/>
          <w:b w:val="1"/>
          <w:bCs w:val="1"/>
          <w:color w:val="auto"/>
        </w:rPr>
        <w:t>Критерии оценки качества медицинской помощи</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7"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7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w:t>
            </w:r>
          </w:p>
        </w:tc>
        <w:tc>
          <w:tcPr>
            <w:tcW w:w="198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b w:val="1"/>
                <w:bCs w:val="1"/>
                <w:color w:val="auto"/>
                <w:w w:val="96"/>
              </w:rPr>
              <w:t>Критерий качества</w:t>
            </w:r>
          </w:p>
        </w:tc>
        <w:tc>
          <w:tcPr>
            <w:tcW w:w="1260" w:type="dxa"/>
            <w:vAlign w:val="bottom"/>
            <w:tcBorders>
              <w:top w:val="single" w:sz="8" w:color="auto"/>
            </w:tcBorders>
          </w:tcPr>
          <w:p>
            <w:pPr>
              <w:spacing w:after="0"/>
              <w:rPr>
                <w:sz w:val="24"/>
                <w:szCs w:val="24"/>
                <w:color w:val="auto"/>
              </w:rPr>
            </w:pPr>
          </w:p>
        </w:tc>
        <w:tc>
          <w:tcPr>
            <w:tcW w:w="440" w:type="dxa"/>
            <w:vAlign w:val="bottom"/>
            <w:tcBorders>
              <w:top w:val="single" w:sz="8" w:color="auto"/>
            </w:tcBorders>
          </w:tcPr>
          <w:p>
            <w:pPr>
              <w:spacing w:after="0"/>
              <w:rPr>
                <w:sz w:val="24"/>
                <w:szCs w:val="24"/>
                <w:color w:val="auto"/>
              </w:rPr>
            </w:pPr>
          </w:p>
        </w:tc>
        <w:tc>
          <w:tcPr>
            <w:tcW w:w="380" w:type="dxa"/>
            <w:vAlign w:val="bottom"/>
            <w:tcBorders>
              <w:top w:val="single" w:sz="8" w:color="auto"/>
            </w:tcBorders>
          </w:tcPr>
          <w:p>
            <w:pPr>
              <w:spacing w:after="0"/>
              <w:rPr>
                <w:sz w:val="24"/>
                <w:szCs w:val="24"/>
                <w:color w:val="auto"/>
              </w:rPr>
            </w:pPr>
          </w:p>
        </w:tc>
        <w:tc>
          <w:tcPr>
            <w:tcW w:w="980" w:type="dxa"/>
            <w:vAlign w:val="bottom"/>
            <w:tcBorders>
              <w:top w:val="single" w:sz="8" w:color="auto"/>
              <w:right w:val="single" w:sz="8" w:color="auto"/>
            </w:tcBorders>
          </w:tcPr>
          <w:p>
            <w:pPr>
              <w:spacing w:after="0"/>
              <w:rPr>
                <w:sz w:val="24"/>
                <w:szCs w:val="24"/>
                <w:color w:val="auto"/>
              </w:rPr>
            </w:pPr>
          </w:p>
        </w:tc>
        <w:tc>
          <w:tcPr>
            <w:tcW w:w="122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b w:val="1"/>
                <w:bCs w:val="1"/>
                <w:color w:val="auto"/>
              </w:rPr>
              <w:t>EОК</w:t>
            </w:r>
          </w:p>
        </w:tc>
        <w:tc>
          <w:tcPr>
            <w:tcW w:w="600" w:type="dxa"/>
            <w:vAlign w:val="bottom"/>
            <w:tcBorders>
              <w:top w:val="single" w:sz="8" w:color="auto"/>
              <w:right w:val="single" w:sz="8" w:color="auto"/>
            </w:tcBorders>
            <w:vMerge w:val="restart"/>
          </w:tcPr>
          <w:p>
            <w:pPr>
              <w:ind w:left="320"/>
              <w:spacing w:after="0"/>
              <w:rPr>
                <w:sz w:val="20"/>
                <w:szCs w:val="20"/>
                <w:color w:val="auto"/>
              </w:rPr>
            </w:pPr>
            <w:r>
              <w:rPr>
                <w:rFonts w:ascii="Verdana" w:cs="Verdana" w:eastAsia="Verdana" w:hAnsi="Verdana"/>
                <w:sz w:val="17"/>
                <w:szCs w:val="17"/>
                <w:b w:val="1"/>
                <w:bCs w:val="1"/>
                <w:color w:val="auto"/>
              </w:rPr>
              <w:t>и</w:t>
            </w:r>
          </w:p>
        </w:tc>
        <w:tc>
          <w:tcPr>
            <w:tcW w:w="90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1220" w:type="dxa"/>
            <w:vAlign w:val="bottom"/>
          </w:tcPr>
          <w:p>
            <w:pPr>
              <w:spacing w:after="0"/>
              <w:rPr>
                <w:sz w:val="14"/>
                <w:szCs w:val="14"/>
                <w:color w:val="auto"/>
              </w:rPr>
            </w:pPr>
          </w:p>
        </w:tc>
        <w:tc>
          <w:tcPr>
            <w:tcW w:w="760" w:type="dxa"/>
            <w:vAlign w:val="bottom"/>
          </w:tcPr>
          <w:p>
            <w:pPr>
              <w:spacing w:after="0"/>
              <w:rPr>
                <w:sz w:val="14"/>
                <w:szCs w:val="14"/>
                <w:color w:val="auto"/>
              </w:rPr>
            </w:pPr>
          </w:p>
        </w:tc>
        <w:tc>
          <w:tcPr>
            <w:tcW w:w="12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80" w:type="dxa"/>
            <w:vAlign w:val="bottom"/>
          </w:tcPr>
          <w:p>
            <w:pPr>
              <w:spacing w:after="0"/>
              <w:rPr>
                <w:sz w:val="14"/>
                <w:szCs w:val="14"/>
                <w:color w:val="auto"/>
              </w:rPr>
            </w:pPr>
          </w:p>
        </w:tc>
        <w:tc>
          <w:tcPr>
            <w:tcW w:w="980" w:type="dxa"/>
            <w:vAlign w:val="bottom"/>
            <w:tcBorders>
              <w:right w:val="single" w:sz="8" w:color="auto"/>
            </w:tcBorders>
          </w:tcPr>
          <w:p>
            <w:pPr>
              <w:spacing w:after="0"/>
              <w:rPr>
                <w:sz w:val="14"/>
                <w:szCs w:val="14"/>
                <w:color w:val="auto"/>
              </w:rPr>
            </w:pPr>
          </w:p>
        </w:tc>
        <w:tc>
          <w:tcPr>
            <w:tcW w:w="1220" w:type="dxa"/>
            <w:vAlign w:val="bottom"/>
          </w:tcPr>
          <w:p>
            <w:pPr>
              <w:ind w:left="140"/>
              <w:spacing w:after="0" w:line="165" w:lineRule="exact"/>
              <w:rPr>
                <w:sz w:val="20"/>
                <w:szCs w:val="20"/>
                <w:color w:val="auto"/>
              </w:rPr>
            </w:pPr>
            <w:r>
              <w:rPr>
                <w:rFonts w:ascii="Verdana" w:cs="Verdana" w:eastAsia="Verdana" w:hAnsi="Verdana"/>
                <w:sz w:val="17"/>
                <w:szCs w:val="17"/>
                <w:b w:val="1"/>
                <w:bCs w:val="1"/>
                <w:color w:val="auto"/>
              </w:rPr>
              <w:t>Класс</w:t>
            </w:r>
          </w:p>
        </w:tc>
        <w:tc>
          <w:tcPr>
            <w:tcW w:w="600" w:type="dxa"/>
            <w:vAlign w:val="bottom"/>
            <w:tcBorders>
              <w:right w:val="single" w:sz="8" w:color="auto"/>
            </w:tcBorders>
            <w:vMerge w:val="continue"/>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224"/>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b w:val="1"/>
                <w:bCs w:val="1"/>
                <w:color w:val="auto"/>
              </w:rPr>
              <w:t>уровень</w:t>
            </w: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06"/>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1</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Установлен  диагноз  АГ  согласно  рекомендациям</w:t>
            </w:r>
            <w:r>
              <w:rPr>
                <w:rFonts w:ascii="Verdana" w:cs="Verdana" w:eastAsia="Verdana" w:hAnsi="Verdana"/>
                <w:sz w:val="17"/>
                <w:szCs w:val="17"/>
                <w:color w:val="auto"/>
              </w:rPr>
              <w:t>.</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IA</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Зафиксировано повышение офисного </w:t>
            </w:r>
            <w:r>
              <w:rPr>
                <w:rFonts w:ascii="Verdana" w:cs="Verdana" w:eastAsia="Verdana" w:hAnsi="Verdana"/>
                <w:sz w:val="17"/>
                <w:szCs w:val="17"/>
                <w:color w:val="auto"/>
              </w:rPr>
              <w:t>(</w:t>
            </w:r>
            <w:r>
              <w:rPr>
                <w:rFonts w:ascii="Verdana" w:cs="Verdana" w:eastAsia="Verdana" w:hAnsi="Verdana"/>
                <w:sz w:val="17"/>
                <w:szCs w:val="17"/>
                <w:color w:val="auto"/>
              </w:rPr>
              <w:t>клинического</w:t>
            </w:r>
            <w:r>
              <w:rPr>
                <w:rFonts w:ascii="Verdana" w:cs="Verdana" w:eastAsia="Verdana" w:hAnsi="Verdana"/>
                <w:sz w:val="17"/>
                <w:szCs w:val="17"/>
                <w:color w:val="auto"/>
              </w:rPr>
              <w:t>)</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АД выше </w:t>
            </w:r>
            <w:r>
              <w:rPr>
                <w:rFonts w:ascii="Verdana" w:cs="Verdana" w:eastAsia="Verdana" w:hAnsi="Verdana"/>
                <w:sz w:val="17"/>
                <w:szCs w:val="17"/>
                <w:color w:val="auto"/>
              </w:rPr>
              <w:t>140</w:t>
            </w:r>
            <w:r>
              <w:rPr>
                <w:rFonts w:ascii="Verdana" w:cs="Verdana" w:eastAsia="Verdana" w:hAnsi="Verdana"/>
                <w:sz w:val="17"/>
                <w:szCs w:val="17"/>
                <w:color w:val="auto"/>
              </w:rPr>
              <w:t xml:space="preserve"> и</w:t>
            </w:r>
            <w:r>
              <w:rPr>
                <w:rFonts w:ascii="Verdana" w:cs="Verdana" w:eastAsia="Verdana" w:hAnsi="Verdana"/>
                <w:sz w:val="17"/>
                <w:szCs w:val="17"/>
                <w:color w:val="auto"/>
              </w:rPr>
              <w:t>/</w:t>
            </w:r>
            <w:r>
              <w:rPr>
                <w:rFonts w:ascii="Verdana" w:cs="Verdana" w:eastAsia="Verdana" w:hAnsi="Verdana"/>
                <w:sz w:val="17"/>
                <w:szCs w:val="17"/>
                <w:color w:val="auto"/>
              </w:rPr>
              <w:t xml:space="preserve">или </w:t>
            </w:r>
            <w:r>
              <w:rPr>
                <w:rFonts w:ascii="Verdana" w:cs="Verdana" w:eastAsia="Verdana" w:hAnsi="Verdana"/>
                <w:sz w:val="17"/>
                <w:szCs w:val="17"/>
                <w:color w:val="auto"/>
              </w:rPr>
              <w:t>90</w:t>
            </w:r>
            <w:r>
              <w:rPr>
                <w:rFonts w:ascii="Verdana" w:cs="Verdana" w:eastAsia="Verdana" w:hAnsi="Verdana"/>
                <w:sz w:val="17"/>
                <w:szCs w:val="17"/>
                <w:color w:val="auto"/>
              </w:rPr>
              <w:t xml:space="preserve"> 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r>
              <w:rPr>
                <w:rFonts w:ascii="Verdana" w:cs="Verdana" w:eastAsia="Verdana" w:hAnsi="Verdana"/>
                <w:sz w:val="17"/>
                <w:szCs w:val="17"/>
                <w:color w:val="auto"/>
              </w:rPr>
              <w:t xml:space="preserve"> на повторных</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визитах</w:t>
            </w:r>
            <w:r>
              <w:rPr>
                <w:rFonts w:ascii="Verdana" w:cs="Verdana" w:eastAsia="Verdana" w:hAnsi="Verdana"/>
                <w:sz w:val="17"/>
                <w:szCs w:val="17"/>
                <w:color w:val="auto"/>
              </w:rPr>
              <w:t>,</w:t>
            </w:r>
            <w:r>
              <w:rPr>
                <w:rFonts w:ascii="Verdana" w:cs="Verdana" w:eastAsia="Verdana" w:hAnsi="Verdana"/>
                <w:sz w:val="17"/>
                <w:szCs w:val="17"/>
                <w:color w:val="auto"/>
              </w:rPr>
              <w:t xml:space="preserve"> либо на основании СМАД </w:t>
            </w:r>
            <w:r>
              <w:rPr>
                <w:rFonts w:ascii="Verdana" w:cs="Verdana" w:eastAsia="Verdana" w:hAnsi="Verdana"/>
                <w:sz w:val="17"/>
                <w:szCs w:val="17"/>
                <w:i w:val="1"/>
                <w:iCs w:val="1"/>
                <w:color w:val="auto"/>
              </w:rPr>
              <w:t>(</w:t>
            </w:r>
            <w:r>
              <w:rPr>
                <w:rFonts w:ascii="Verdana" w:cs="Verdana" w:eastAsia="Verdana" w:hAnsi="Verdana"/>
                <w:sz w:val="17"/>
                <w:szCs w:val="17"/>
                <w:color w:val="auto"/>
              </w:rPr>
              <w:t xml:space="preserve">среднее за </w:t>
            </w:r>
            <w:r>
              <w:rPr>
                <w:rFonts w:ascii="Verdana" w:cs="Verdana" w:eastAsia="Verdana" w:hAnsi="Verdana"/>
                <w:sz w:val="17"/>
                <w:szCs w:val="17"/>
                <w:color w:val="auto"/>
              </w:rPr>
              <w:t>24</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w w:val="96"/>
              </w:rPr>
              <w:t xml:space="preserve">часа </w:t>
            </w:r>
            <w:r>
              <w:rPr>
                <w:rFonts w:ascii="Verdana" w:cs="Verdana" w:eastAsia="Verdana" w:hAnsi="Verdana"/>
                <w:sz w:val="17"/>
                <w:szCs w:val="17"/>
                <w:color w:val="auto"/>
                <w:w w:val="96"/>
              </w:rPr>
              <w:t>≥130</w:t>
            </w:r>
            <w:r>
              <w:rPr>
                <w:rFonts w:ascii="Verdana" w:cs="Verdana" w:eastAsia="Verdana" w:hAnsi="Verdana"/>
                <w:sz w:val="17"/>
                <w:szCs w:val="17"/>
                <w:color w:val="auto"/>
                <w:w w:val="96"/>
              </w:rPr>
              <w:t xml:space="preserve"> мм и</w:t>
            </w:r>
            <w:r>
              <w:rPr>
                <w:rFonts w:ascii="Verdana" w:cs="Verdana" w:eastAsia="Verdana" w:hAnsi="Verdana"/>
                <w:sz w:val="17"/>
                <w:szCs w:val="17"/>
                <w:color w:val="auto"/>
                <w:w w:val="96"/>
              </w:rPr>
              <w:t>/</w:t>
            </w:r>
            <w:r>
              <w:rPr>
                <w:rFonts w:ascii="Verdana" w:cs="Verdana" w:eastAsia="Verdana" w:hAnsi="Verdana"/>
                <w:sz w:val="17"/>
                <w:szCs w:val="17"/>
                <w:color w:val="auto"/>
                <w:w w:val="96"/>
              </w:rPr>
              <w:t xml:space="preserve">или </w:t>
            </w:r>
            <w:r>
              <w:rPr>
                <w:rFonts w:ascii="Verdana" w:cs="Verdana" w:eastAsia="Verdana" w:hAnsi="Verdana"/>
                <w:sz w:val="17"/>
                <w:szCs w:val="17"/>
                <w:color w:val="auto"/>
                <w:w w:val="96"/>
              </w:rPr>
              <w:t>≥80</w:t>
            </w:r>
            <w:r>
              <w:rPr>
                <w:rFonts w:ascii="Verdana" w:cs="Verdana" w:eastAsia="Verdana" w:hAnsi="Verdana"/>
                <w:sz w:val="17"/>
                <w:szCs w:val="17"/>
                <w:color w:val="auto"/>
                <w:w w:val="96"/>
              </w:rPr>
              <w:t xml:space="preserve"> мм рт</w:t>
            </w:r>
            <w:r>
              <w:rPr>
                <w:rFonts w:ascii="Verdana" w:cs="Verdana" w:eastAsia="Verdana" w:hAnsi="Verdana"/>
                <w:sz w:val="17"/>
                <w:szCs w:val="17"/>
                <w:color w:val="auto"/>
                <w:w w:val="96"/>
              </w:rPr>
              <w:t>.</w:t>
            </w:r>
            <w:r>
              <w:rPr>
                <w:rFonts w:ascii="Verdana" w:cs="Verdana" w:eastAsia="Verdana" w:hAnsi="Verdana"/>
                <w:sz w:val="17"/>
                <w:szCs w:val="17"/>
                <w:color w:val="auto"/>
                <w:w w:val="96"/>
              </w:rPr>
              <w:t xml:space="preserve"> ст</w:t>
            </w:r>
            <w:r>
              <w:rPr>
                <w:rFonts w:ascii="Verdana" w:cs="Verdana" w:eastAsia="Verdana" w:hAnsi="Verdana"/>
                <w:sz w:val="17"/>
                <w:szCs w:val="17"/>
                <w:color w:val="auto"/>
                <w:w w:val="96"/>
              </w:rPr>
              <w:t>.)</w:t>
            </w: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3240" w:type="dxa"/>
            <w:vAlign w:val="bottom"/>
            <w:tcBorders>
              <w:bottom w:val="single" w:sz="8" w:color="auto"/>
            </w:tcBorders>
            <w:gridSpan w:val="3"/>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80" w:type="dxa"/>
            <w:vAlign w:val="bottom"/>
            <w:tcBorders>
              <w:bottom w:val="single" w:sz="8" w:color="auto"/>
            </w:tcBorders>
          </w:tcPr>
          <w:p>
            <w:pPr>
              <w:spacing w:after="0"/>
              <w:rPr>
                <w:sz w:val="9"/>
                <w:szCs w:val="9"/>
                <w:color w:val="auto"/>
              </w:rPr>
            </w:pPr>
          </w:p>
        </w:tc>
        <w:tc>
          <w:tcPr>
            <w:tcW w:w="98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2</w:t>
            </w: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rPr>
              <w:t>Выполнен общий анализ крови</w:t>
            </w:r>
          </w:p>
        </w:tc>
        <w:tc>
          <w:tcPr>
            <w:tcW w:w="440" w:type="dxa"/>
            <w:vAlign w:val="bottom"/>
          </w:tcPr>
          <w:p>
            <w:pPr>
              <w:spacing w:after="0"/>
              <w:rPr>
                <w:sz w:val="24"/>
                <w:szCs w:val="24"/>
                <w:color w:val="auto"/>
              </w:rPr>
            </w:pPr>
          </w:p>
        </w:tc>
        <w:tc>
          <w:tcPr>
            <w:tcW w:w="380" w:type="dxa"/>
            <w:vAlign w:val="bottom"/>
          </w:tcPr>
          <w:p>
            <w:pPr>
              <w:spacing w:after="0"/>
              <w:rPr>
                <w:sz w:val="24"/>
                <w:szCs w:val="24"/>
                <w:color w:val="auto"/>
              </w:rPr>
            </w:pPr>
          </w:p>
        </w:tc>
        <w:tc>
          <w:tcPr>
            <w:tcW w:w="980" w:type="dxa"/>
            <w:vAlign w:val="bottom"/>
            <w:tcBorders>
              <w:right w:val="single" w:sz="8" w:color="auto"/>
            </w:tcBorders>
          </w:tcPr>
          <w:p>
            <w:pPr>
              <w:spacing w:after="0"/>
              <w:rPr>
                <w:sz w:val="24"/>
                <w:szCs w:val="24"/>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224"/>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06"/>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3</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 xml:space="preserve">Выполнен биохимический анализ крови </w:t>
            </w:r>
            <w:r>
              <w:rPr>
                <w:rFonts w:ascii="Verdana" w:cs="Verdana" w:eastAsia="Verdana" w:hAnsi="Verdana"/>
                <w:sz w:val="17"/>
                <w:szCs w:val="17"/>
                <w:color w:val="auto"/>
              </w:rPr>
              <w:t>(</w:t>
            </w:r>
            <w:r>
              <w:rPr>
                <w:rFonts w:ascii="Verdana" w:cs="Verdana" w:eastAsia="Verdana" w:hAnsi="Verdana"/>
                <w:sz w:val="17"/>
                <w:szCs w:val="17"/>
                <w:color w:val="auto"/>
              </w:rPr>
              <w:t>креатинин</w:t>
            </w:r>
            <w:r>
              <w:rPr>
                <w:rFonts w:ascii="Verdana" w:cs="Verdana" w:eastAsia="Verdana" w:hAnsi="Verdana"/>
                <w:sz w:val="17"/>
                <w:szCs w:val="17"/>
                <w:color w:val="auto"/>
              </w:rPr>
              <w:t>,</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IB</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расчетная   скорость   клубочковой   фильтрации</w:t>
            </w:r>
            <w:r>
              <w:rPr>
                <w:rFonts w:ascii="Verdana" w:cs="Verdana" w:eastAsia="Verdana" w:hAnsi="Verdana"/>
                <w:sz w:val="17"/>
                <w:szCs w:val="17"/>
                <w:color w:val="auto"/>
              </w:rPr>
              <w:t>,</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глюкоза</w:t>
            </w:r>
            <w:r>
              <w:rPr>
                <w:rFonts w:ascii="Verdana" w:cs="Verdana" w:eastAsia="Verdana" w:hAnsi="Verdana"/>
                <w:sz w:val="17"/>
                <w:szCs w:val="17"/>
                <w:color w:val="auto"/>
              </w:rPr>
              <w:t>,</w:t>
            </w:r>
            <w:r>
              <w:rPr>
                <w:rFonts w:ascii="Verdana" w:cs="Verdana" w:eastAsia="Verdana" w:hAnsi="Verdana"/>
                <w:sz w:val="17"/>
                <w:szCs w:val="17"/>
                <w:color w:val="auto"/>
              </w:rPr>
              <w:t xml:space="preserve"> калий</w:t>
            </w:r>
            <w:r>
              <w:rPr>
                <w:rFonts w:ascii="Verdana" w:cs="Verdana" w:eastAsia="Verdana" w:hAnsi="Verdana"/>
                <w:sz w:val="17"/>
                <w:szCs w:val="17"/>
                <w:color w:val="auto"/>
              </w:rPr>
              <w:t>,</w:t>
            </w:r>
            <w:r>
              <w:rPr>
                <w:rFonts w:ascii="Verdana" w:cs="Verdana" w:eastAsia="Verdana" w:hAnsi="Verdana"/>
                <w:sz w:val="17"/>
                <w:szCs w:val="17"/>
                <w:color w:val="auto"/>
              </w:rPr>
              <w:t xml:space="preserve"> натрий</w:t>
            </w:r>
            <w:r>
              <w:rPr>
                <w:rFonts w:ascii="Verdana" w:cs="Verdana" w:eastAsia="Verdana" w:hAnsi="Verdana"/>
                <w:sz w:val="17"/>
                <w:szCs w:val="17"/>
                <w:color w:val="auto"/>
              </w:rPr>
              <w:t>,</w:t>
            </w:r>
            <w:r>
              <w:rPr>
                <w:rFonts w:ascii="Verdana" w:cs="Verdana" w:eastAsia="Verdana" w:hAnsi="Verdana"/>
                <w:sz w:val="17"/>
                <w:szCs w:val="17"/>
                <w:color w:val="auto"/>
              </w:rPr>
              <w:t xml:space="preserve"> мочевая кислота</w:t>
            </w:r>
            <w:r>
              <w:rPr>
                <w:rFonts w:ascii="Verdana" w:cs="Verdana" w:eastAsia="Verdana" w:hAnsi="Verdana"/>
                <w:sz w:val="17"/>
                <w:szCs w:val="17"/>
                <w:color w:val="auto"/>
              </w:rPr>
              <w:t>,</w:t>
            </w:r>
            <w:r>
              <w:rPr>
                <w:rFonts w:ascii="Verdana" w:cs="Verdana" w:eastAsia="Verdana" w:hAnsi="Verdana"/>
                <w:sz w:val="17"/>
                <w:szCs w:val="17"/>
                <w:color w:val="auto"/>
              </w:rPr>
              <w:t xml:space="preserve"> ОХ</w:t>
            </w:r>
            <w:r>
              <w:rPr>
                <w:rFonts w:ascii="Verdana" w:cs="Verdana" w:eastAsia="Verdana" w:hAnsi="Verdana"/>
                <w:sz w:val="17"/>
                <w:szCs w:val="17"/>
                <w:color w:val="auto"/>
              </w:rPr>
              <w:t>,</w:t>
            </w:r>
            <w:r>
              <w:rPr>
                <w:rFonts w:ascii="Verdana" w:cs="Verdana" w:eastAsia="Verdana" w:hAnsi="Verdana"/>
                <w:sz w:val="17"/>
                <w:szCs w:val="17"/>
                <w:color w:val="auto"/>
              </w:rPr>
              <w:t xml:space="preserve"> ЛПНП</w:t>
            </w:r>
            <w:r>
              <w:rPr>
                <w:rFonts w:ascii="Verdana" w:cs="Verdana" w:eastAsia="Verdana" w:hAnsi="Verdana"/>
                <w:sz w:val="17"/>
                <w:szCs w:val="17"/>
                <w:color w:val="auto"/>
              </w:rPr>
              <w:t>,</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ТГ</w:t>
            </w:r>
            <w:r>
              <w:rPr>
                <w:rFonts w:ascii="Verdana" w:cs="Verdana" w:eastAsia="Verdana" w:hAnsi="Verdana"/>
                <w:sz w:val="17"/>
                <w:szCs w:val="17"/>
                <w:color w:val="auto"/>
              </w:rPr>
              <w:t>,</w:t>
            </w:r>
            <w:r>
              <w:rPr>
                <w:rFonts w:ascii="Verdana" w:cs="Verdana" w:eastAsia="Verdana" w:hAnsi="Verdana"/>
                <w:sz w:val="17"/>
                <w:szCs w:val="17"/>
                <w:color w:val="auto"/>
              </w:rPr>
              <w:t xml:space="preserve"> ЛПВП</w:t>
            </w:r>
            <w:r>
              <w:rPr>
                <w:rFonts w:ascii="Verdana" w:cs="Verdana" w:eastAsia="Verdana" w:hAnsi="Verdana"/>
                <w:sz w:val="17"/>
                <w:szCs w:val="17"/>
                <w:color w:val="auto"/>
              </w:rPr>
              <w:t>)</w:t>
            </w: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3240" w:type="dxa"/>
            <w:vAlign w:val="bottom"/>
            <w:tcBorders>
              <w:bottom w:val="single" w:sz="8" w:color="auto"/>
            </w:tcBorders>
            <w:gridSpan w:val="3"/>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80" w:type="dxa"/>
            <w:vAlign w:val="bottom"/>
            <w:tcBorders>
              <w:bottom w:val="single" w:sz="8" w:color="auto"/>
            </w:tcBorders>
          </w:tcPr>
          <w:p>
            <w:pPr>
              <w:spacing w:after="0"/>
              <w:rPr>
                <w:sz w:val="9"/>
                <w:szCs w:val="9"/>
                <w:color w:val="auto"/>
              </w:rPr>
            </w:pPr>
          </w:p>
        </w:tc>
        <w:tc>
          <w:tcPr>
            <w:tcW w:w="98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4</w:t>
            </w: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rPr>
              <w:t>Выполнен общий анализ мочи</w:t>
            </w:r>
          </w:p>
        </w:tc>
        <w:tc>
          <w:tcPr>
            <w:tcW w:w="440" w:type="dxa"/>
            <w:vAlign w:val="bottom"/>
          </w:tcPr>
          <w:p>
            <w:pPr>
              <w:spacing w:after="0"/>
              <w:rPr>
                <w:sz w:val="24"/>
                <w:szCs w:val="24"/>
                <w:color w:val="auto"/>
              </w:rPr>
            </w:pPr>
          </w:p>
        </w:tc>
        <w:tc>
          <w:tcPr>
            <w:tcW w:w="380" w:type="dxa"/>
            <w:vAlign w:val="bottom"/>
          </w:tcPr>
          <w:p>
            <w:pPr>
              <w:spacing w:after="0"/>
              <w:rPr>
                <w:sz w:val="24"/>
                <w:szCs w:val="24"/>
                <w:color w:val="auto"/>
              </w:rPr>
            </w:pPr>
          </w:p>
        </w:tc>
        <w:tc>
          <w:tcPr>
            <w:tcW w:w="980" w:type="dxa"/>
            <w:vAlign w:val="bottom"/>
            <w:tcBorders>
              <w:right w:val="single" w:sz="8" w:color="auto"/>
            </w:tcBorders>
          </w:tcPr>
          <w:p>
            <w:pPr>
              <w:spacing w:after="0"/>
              <w:rPr>
                <w:sz w:val="24"/>
                <w:szCs w:val="24"/>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I</w:t>
            </w:r>
            <w:r>
              <w:rPr>
                <w:rFonts w:ascii="Verdana" w:cs="Verdana" w:eastAsia="Verdana" w:hAnsi="Verdana"/>
                <w:sz w:val="17"/>
                <w:szCs w:val="17"/>
                <w:color w:val="auto"/>
              </w:rPr>
              <w:t>В</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224"/>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06"/>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5</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Выполнена качественная оценка протеинурии тест</w:t>
            </w:r>
            <w:r>
              <w:rPr>
                <w:rFonts w:ascii="Verdana" w:cs="Verdana" w:eastAsia="Verdana" w:hAnsi="Verdana"/>
                <w:sz w:val="17"/>
                <w:szCs w:val="17"/>
                <w:color w:val="auto"/>
              </w:rPr>
              <w:t>-</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w:t>
            </w:r>
            <w:r>
              <w:rPr>
                <w:rFonts w:ascii="Verdana" w:cs="Verdana" w:eastAsia="Verdana" w:hAnsi="Verdana"/>
                <w:sz w:val="17"/>
                <w:szCs w:val="17"/>
                <w:color w:val="auto"/>
              </w:rPr>
              <w:t>В</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1220" w:type="dxa"/>
            <w:vAlign w:val="bottom"/>
          </w:tcPr>
          <w:p>
            <w:pPr>
              <w:ind w:left="140"/>
              <w:spacing w:after="0" w:line="165" w:lineRule="exact"/>
              <w:rPr>
                <w:sz w:val="20"/>
                <w:szCs w:val="20"/>
                <w:color w:val="auto"/>
              </w:rPr>
            </w:pPr>
            <w:r>
              <w:rPr>
                <w:rFonts w:ascii="Verdana" w:cs="Verdana" w:eastAsia="Verdana" w:hAnsi="Verdana"/>
                <w:sz w:val="17"/>
                <w:szCs w:val="17"/>
                <w:color w:val="auto"/>
              </w:rPr>
              <w:t>полоской</w:t>
            </w:r>
          </w:p>
        </w:tc>
        <w:tc>
          <w:tcPr>
            <w:tcW w:w="760" w:type="dxa"/>
            <w:vAlign w:val="bottom"/>
          </w:tcPr>
          <w:p>
            <w:pPr>
              <w:ind w:left="80"/>
              <w:spacing w:after="0" w:line="165" w:lineRule="exact"/>
              <w:rPr>
                <w:sz w:val="20"/>
                <w:szCs w:val="20"/>
                <w:color w:val="auto"/>
              </w:rPr>
            </w:pPr>
            <w:r>
              <w:rPr>
                <w:rFonts w:ascii="Verdana" w:cs="Verdana" w:eastAsia="Verdana" w:hAnsi="Verdana"/>
                <w:sz w:val="17"/>
                <w:szCs w:val="17"/>
                <w:color w:val="auto"/>
              </w:rPr>
              <w:t>или</w:t>
            </w:r>
          </w:p>
        </w:tc>
        <w:tc>
          <w:tcPr>
            <w:tcW w:w="1700" w:type="dxa"/>
            <w:vAlign w:val="bottom"/>
            <w:gridSpan w:val="2"/>
          </w:tcPr>
          <w:p>
            <w:pPr>
              <w:ind w:left="20"/>
              <w:spacing w:after="0" w:line="165" w:lineRule="exact"/>
              <w:rPr>
                <w:sz w:val="20"/>
                <w:szCs w:val="20"/>
                <w:color w:val="auto"/>
              </w:rPr>
            </w:pPr>
            <w:r>
              <w:rPr>
                <w:rFonts w:ascii="Verdana" w:cs="Verdana" w:eastAsia="Verdana" w:hAnsi="Verdana"/>
                <w:sz w:val="17"/>
                <w:szCs w:val="17"/>
                <w:color w:val="auto"/>
              </w:rPr>
              <w:t>количественное</w:t>
            </w:r>
          </w:p>
        </w:tc>
        <w:tc>
          <w:tcPr>
            <w:tcW w:w="13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определение</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1980" w:type="dxa"/>
            <w:vAlign w:val="bottom"/>
            <w:gridSpan w:val="2"/>
          </w:tcPr>
          <w:p>
            <w:pPr>
              <w:ind w:left="140"/>
              <w:spacing w:after="0"/>
              <w:rPr>
                <w:sz w:val="20"/>
                <w:szCs w:val="20"/>
                <w:color w:val="auto"/>
              </w:rPr>
            </w:pPr>
            <w:r>
              <w:rPr>
                <w:rFonts w:ascii="Verdana" w:cs="Verdana" w:eastAsia="Verdana" w:hAnsi="Verdana"/>
                <w:sz w:val="17"/>
                <w:szCs w:val="17"/>
                <w:color w:val="auto"/>
              </w:rPr>
              <w:t>альбуминурии</w:t>
            </w: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3240" w:type="dxa"/>
            <w:vAlign w:val="bottom"/>
            <w:tcBorders>
              <w:bottom w:val="single" w:sz="8" w:color="auto"/>
            </w:tcBorders>
            <w:gridSpan w:val="3"/>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80" w:type="dxa"/>
            <w:vAlign w:val="bottom"/>
            <w:tcBorders>
              <w:bottom w:val="single" w:sz="8" w:color="auto"/>
            </w:tcBorders>
          </w:tcPr>
          <w:p>
            <w:pPr>
              <w:spacing w:after="0"/>
              <w:rPr>
                <w:sz w:val="9"/>
                <w:szCs w:val="9"/>
                <w:color w:val="auto"/>
              </w:rPr>
            </w:pPr>
          </w:p>
        </w:tc>
        <w:tc>
          <w:tcPr>
            <w:tcW w:w="98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6</w:t>
            </w: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rPr>
              <w:t xml:space="preserve">Выполнена ЭКГ в </w:t>
            </w:r>
            <w:r>
              <w:rPr>
                <w:rFonts w:ascii="Verdana" w:cs="Verdana" w:eastAsia="Verdana" w:hAnsi="Verdana"/>
                <w:sz w:val="17"/>
                <w:szCs w:val="17"/>
                <w:color w:val="auto"/>
              </w:rPr>
              <w:t>12</w:t>
            </w:r>
            <w:r>
              <w:rPr>
                <w:rFonts w:ascii="Verdana" w:cs="Verdana" w:eastAsia="Verdana" w:hAnsi="Verdana"/>
                <w:sz w:val="17"/>
                <w:szCs w:val="17"/>
                <w:color w:val="auto"/>
              </w:rPr>
              <w:t xml:space="preserve"> отведениях</w:t>
            </w:r>
          </w:p>
        </w:tc>
        <w:tc>
          <w:tcPr>
            <w:tcW w:w="440" w:type="dxa"/>
            <w:vAlign w:val="bottom"/>
          </w:tcPr>
          <w:p>
            <w:pPr>
              <w:spacing w:after="0"/>
              <w:rPr>
                <w:sz w:val="24"/>
                <w:szCs w:val="24"/>
                <w:color w:val="auto"/>
              </w:rPr>
            </w:pPr>
          </w:p>
        </w:tc>
        <w:tc>
          <w:tcPr>
            <w:tcW w:w="380" w:type="dxa"/>
            <w:vAlign w:val="bottom"/>
          </w:tcPr>
          <w:p>
            <w:pPr>
              <w:spacing w:after="0"/>
              <w:rPr>
                <w:sz w:val="24"/>
                <w:szCs w:val="24"/>
                <w:color w:val="auto"/>
              </w:rPr>
            </w:pPr>
          </w:p>
        </w:tc>
        <w:tc>
          <w:tcPr>
            <w:tcW w:w="980" w:type="dxa"/>
            <w:vAlign w:val="bottom"/>
            <w:tcBorders>
              <w:right w:val="single" w:sz="8" w:color="auto"/>
            </w:tcBorders>
          </w:tcPr>
          <w:p>
            <w:pPr>
              <w:spacing w:after="0"/>
              <w:rPr>
                <w:sz w:val="24"/>
                <w:szCs w:val="24"/>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I</w:t>
            </w:r>
            <w:r>
              <w:rPr>
                <w:rFonts w:ascii="Verdana" w:cs="Verdana" w:eastAsia="Verdana" w:hAnsi="Verdana"/>
                <w:sz w:val="17"/>
                <w:szCs w:val="17"/>
                <w:color w:val="auto"/>
              </w:rPr>
              <w:t>В</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224"/>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06"/>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7</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Даны рекомендации по модификации образа жизни</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IA</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ограничение   потребления   натрия</w:t>
            </w:r>
            <w:r>
              <w:rPr>
                <w:rFonts w:ascii="Verdana" w:cs="Verdana" w:eastAsia="Verdana" w:hAnsi="Verdana"/>
                <w:sz w:val="17"/>
                <w:szCs w:val="17"/>
                <w:color w:val="auto"/>
              </w:rPr>
              <w:t xml:space="preserve">,   </w:t>
            </w:r>
            <w:r>
              <w:rPr>
                <w:rFonts w:ascii="Verdana" w:cs="Verdana" w:eastAsia="Verdana" w:hAnsi="Verdana"/>
                <w:sz w:val="17"/>
                <w:szCs w:val="17"/>
                <w:color w:val="auto"/>
              </w:rPr>
              <w:t>увеличение</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физической активности</w:t>
            </w:r>
            <w:r>
              <w:rPr>
                <w:rFonts w:ascii="Verdana" w:cs="Verdana" w:eastAsia="Verdana" w:hAnsi="Verdana"/>
                <w:sz w:val="17"/>
                <w:szCs w:val="17"/>
                <w:color w:val="auto"/>
              </w:rPr>
              <w:t>,</w:t>
            </w:r>
            <w:r>
              <w:rPr>
                <w:rFonts w:ascii="Verdana" w:cs="Verdana" w:eastAsia="Verdana" w:hAnsi="Verdana"/>
                <w:sz w:val="17"/>
                <w:szCs w:val="17"/>
                <w:color w:val="auto"/>
              </w:rPr>
              <w:t xml:space="preserve"> снижение избыточной массы</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тела</w:t>
            </w:r>
            <w:r>
              <w:rPr>
                <w:rFonts w:ascii="Verdana" w:cs="Verdana" w:eastAsia="Verdana" w:hAnsi="Verdana"/>
                <w:sz w:val="17"/>
                <w:szCs w:val="17"/>
                <w:color w:val="auto"/>
              </w:rPr>
              <w:t>,</w:t>
            </w:r>
            <w:r>
              <w:rPr>
                <w:rFonts w:ascii="Verdana" w:cs="Verdana" w:eastAsia="Verdana" w:hAnsi="Verdana"/>
                <w:sz w:val="17"/>
                <w:szCs w:val="17"/>
                <w:color w:val="auto"/>
              </w:rPr>
              <w:t xml:space="preserve">  отказ  от  курения</w:t>
            </w:r>
            <w:r>
              <w:rPr>
                <w:rFonts w:ascii="Verdana" w:cs="Verdana" w:eastAsia="Verdana" w:hAnsi="Verdana"/>
                <w:sz w:val="17"/>
                <w:szCs w:val="17"/>
                <w:color w:val="auto"/>
              </w:rPr>
              <w:t>,</w:t>
            </w:r>
            <w:r>
              <w:rPr>
                <w:rFonts w:ascii="Verdana" w:cs="Verdana" w:eastAsia="Verdana" w:hAnsi="Verdana"/>
                <w:sz w:val="17"/>
                <w:szCs w:val="17"/>
                <w:color w:val="auto"/>
              </w:rPr>
              <w:t xml:space="preserve">  ограничение  потребления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алкоголя</w:t>
            </w:r>
            <w:r>
              <w:rPr>
                <w:rFonts w:ascii="Verdana" w:cs="Verdana" w:eastAsia="Verdana" w:hAnsi="Verdana"/>
                <w:sz w:val="17"/>
                <w:szCs w:val="17"/>
                <w:color w:val="auto"/>
              </w:rPr>
              <w:t>)</w:t>
            </w: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8</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Поставлен клинический диагноз с указанием стадии</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заболевания</w:t>
            </w:r>
            <w:r>
              <w:rPr>
                <w:rFonts w:ascii="Verdana" w:cs="Verdana" w:eastAsia="Verdana" w:hAnsi="Verdana"/>
                <w:sz w:val="17"/>
                <w:szCs w:val="17"/>
                <w:color w:val="auto"/>
              </w:rPr>
              <w:t>,</w:t>
            </w:r>
            <w:r>
              <w:rPr>
                <w:rFonts w:ascii="Verdana" w:cs="Verdana" w:eastAsia="Verdana" w:hAnsi="Verdana"/>
                <w:sz w:val="17"/>
                <w:szCs w:val="17"/>
                <w:color w:val="auto"/>
              </w:rPr>
              <w:t xml:space="preserve"> степени повышения АД </w:t>
            </w:r>
            <w:r>
              <w:rPr>
                <w:rFonts w:ascii="Verdana" w:cs="Verdana" w:eastAsia="Verdana" w:hAnsi="Verdana"/>
                <w:sz w:val="17"/>
                <w:szCs w:val="17"/>
                <w:color w:val="auto"/>
              </w:rPr>
              <w:t>(</w:t>
            </w:r>
            <w:r>
              <w:rPr>
                <w:rFonts w:ascii="Verdana" w:cs="Verdana" w:eastAsia="Verdana" w:hAnsi="Verdana"/>
                <w:sz w:val="17"/>
                <w:szCs w:val="17"/>
                <w:color w:val="auto"/>
              </w:rPr>
              <w:t>при отсутствии</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терапии</w:t>
            </w:r>
            <w:r>
              <w:rPr>
                <w:rFonts w:ascii="Verdana" w:cs="Verdana" w:eastAsia="Verdana" w:hAnsi="Verdana"/>
                <w:sz w:val="17"/>
                <w:szCs w:val="17"/>
                <w:color w:val="auto"/>
              </w:rPr>
              <w:t>),</w:t>
            </w:r>
            <w:r>
              <w:rPr>
                <w:rFonts w:ascii="Verdana" w:cs="Verdana" w:eastAsia="Verdana" w:hAnsi="Verdana"/>
                <w:sz w:val="17"/>
                <w:szCs w:val="17"/>
                <w:color w:val="auto"/>
              </w:rPr>
              <w:t xml:space="preserve"> категории риска</w:t>
            </w:r>
            <w:r>
              <w:rPr>
                <w:rFonts w:ascii="Verdana" w:cs="Verdana" w:eastAsia="Verdana" w:hAnsi="Verdana"/>
                <w:sz w:val="17"/>
                <w:szCs w:val="17"/>
                <w:color w:val="auto"/>
              </w:rPr>
              <w:t>,</w:t>
            </w:r>
            <w:r>
              <w:rPr>
                <w:rFonts w:ascii="Verdana" w:cs="Verdana" w:eastAsia="Verdana" w:hAnsi="Verdana"/>
                <w:sz w:val="17"/>
                <w:szCs w:val="17"/>
                <w:color w:val="auto"/>
              </w:rPr>
              <w:t xml:space="preserve"> наличия ПОМ и АКС</w:t>
            </w: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9</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 xml:space="preserve">У  пациентов  с  АГ  </w:t>
            </w:r>
            <w:r>
              <w:rPr>
                <w:rFonts w:ascii="Verdana" w:cs="Verdana" w:eastAsia="Verdana" w:hAnsi="Verdana"/>
                <w:sz w:val="17"/>
                <w:szCs w:val="17"/>
                <w:color w:val="auto"/>
              </w:rPr>
              <w:t>1-</w:t>
            </w:r>
            <w:r>
              <w:rPr>
                <w:rFonts w:ascii="Verdana" w:cs="Verdana" w:eastAsia="Verdana" w:hAnsi="Verdana"/>
                <w:sz w:val="17"/>
                <w:szCs w:val="17"/>
                <w:color w:val="auto"/>
              </w:rPr>
              <w:t>й  степени</w:t>
            </w:r>
            <w:r>
              <w:rPr>
                <w:rFonts w:ascii="Verdana" w:cs="Verdana" w:eastAsia="Verdana" w:hAnsi="Verdana"/>
                <w:sz w:val="17"/>
                <w:szCs w:val="17"/>
                <w:color w:val="auto"/>
              </w:rPr>
              <w:t>,</w:t>
            </w:r>
            <w:r>
              <w:rPr>
                <w:rFonts w:ascii="Verdana" w:cs="Verdana" w:eastAsia="Verdana" w:hAnsi="Verdana"/>
                <w:sz w:val="17"/>
                <w:szCs w:val="17"/>
                <w:color w:val="auto"/>
              </w:rPr>
              <w:t xml:space="preserve">  относящимся  к</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IA</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1220" w:type="dxa"/>
            <w:vAlign w:val="bottom"/>
          </w:tcPr>
          <w:p>
            <w:pPr>
              <w:ind w:left="140"/>
              <w:spacing w:after="0" w:line="165" w:lineRule="exact"/>
              <w:rPr>
                <w:sz w:val="20"/>
                <w:szCs w:val="20"/>
                <w:color w:val="auto"/>
              </w:rPr>
            </w:pPr>
            <w:r>
              <w:rPr>
                <w:rFonts w:ascii="Verdana" w:cs="Verdana" w:eastAsia="Verdana" w:hAnsi="Verdana"/>
                <w:sz w:val="17"/>
                <w:szCs w:val="17"/>
                <w:color w:val="auto"/>
              </w:rPr>
              <w:t>категориям</w:t>
            </w:r>
          </w:p>
        </w:tc>
        <w:tc>
          <w:tcPr>
            <w:tcW w:w="2020" w:type="dxa"/>
            <w:vAlign w:val="bottom"/>
            <w:gridSpan w:val="2"/>
          </w:tcPr>
          <w:p>
            <w:pPr>
              <w:ind w:left="260"/>
              <w:spacing w:after="0" w:line="165" w:lineRule="exact"/>
              <w:rPr>
                <w:sz w:val="20"/>
                <w:szCs w:val="20"/>
                <w:color w:val="auto"/>
              </w:rPr>
            </w:pPr>
            <w:r>
              <w:rPr>
                <w:rFonts w:ascii="Verdana" w:cs="Verdana" w:eastAsia="Verdana" w:hAnsi="Verdana"/>
                <w:sz w:val="17"/>
                <w:szCs w:val="17"/>
                <w:color w:val="auto"/>
              </w:rPr>
              <w:t>низкого</w:t>
            </w:r>
            <w:r>
              <w:rPr>
                <w:rFonts w:ascii="Verdana" w:cs="Verdana" w:eastAsia="Verdana" w:hAnsi="Verdana"/>
                <w:sz w:val="17"/>
                <w:szCs w:val="17"/>
                <w:color w:val="auto"/>
              </w:rPr>
              <w:t>/</w:t>
            </w:r>
            <w:r>
              <w:rPr>
                <w:rFonts w:ascii="Verdana" w:cs="Verdana" w:eastAsia="Verdana" w:hAnsi="Verdana"/>
                <w:sz w:val="17"/>
                <w:szCs w:val="17"/>
                <w:color w:val="auto"/>
              </w:rPr>
              <w:t>среднего</w:t>
            </w:r>
          </w:p>
        </w:tc>
        <w:tc>
          <w:tcPr>
            <w:tcW w:w="820" w:type="dxa"/>
            <w:vAlign w:val="bottom"/>
            <w:gridSpan w:val="2"/>
          </w:tcPr>
          <w:p>
            <w:pPr>
              <w:ind w:left="120"/>
              <w:spacing w:after="0" w:line="165" w:lineRule="exact"/>
              <w:rPr>
                <w:sz w:val="20"/>
                <w:szCs w:val="20"/>
                <w:color w:val="auto"/>
              </w:rPr>
            </w:pPr>
            <w:r>
              <w:rPr>
                <w:rFonts w:ascii="Verdana" w:cs="Verdana" w:eastAsia="Verdana" w:hAnsi="Verdana"/>
                <w:sz w:val="17"/>
                <w:szCs w:val="17"/>
                <w:color w:val="auto"/>
              </w:rPr>
              <w:t>риска</w:t>
            </w:r>
            <w:r>
              <w:rPr>
                <w:rFonts w:ascii="Verdana" w:cs="Verdana" w:eastAsia="Verdana" w:hAnsi="Verdana"/>
                <w:sz w:val="17"/>
                <w:szCs w:val="17"/>
                <w:color w:val="auto"/>
              </w:rPr>
              <w:t>,</w:t>
            </w:r>
          </w:p>
        </w:tc>
        <w:tc>
          <w:tcPr>
            <w:tcW w:w="9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начата</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антигипертензивная лекарственная терапия одним из</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препаратов  рекомендованных  классов  после  </w:t>
            </w:r>
            <w:r>
              <w:rPr>
                <w:rFonts w:ascii="Verdana" w:cs="Verdana" w:eastAsia="Verdana" w:hAnsi="Verdana"/>
                <w:sz w:val="17"/>
                <w:szCs w:val="17"/>
                <w:color w:val="auto"/>
              </w:rPr>
              <w:t>3-</w:t>
            </w:r>
            <w:r>
              <w:rPr>
                <w:rFonts w:ascii="Verdana" w:cs="Verdana" w:eastAsia="Verdana" w:hAnsi="Verdana"/>
                <w:sz w:val="17"/>
                <w:szCs w:val="17"/>
                <w:color w:val="auto"/>
              </w:rPr>
              <w:t>го</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w w:val="96"/>
              </w:rPr>
              <w:t>месяца модификации образа жизни</w:t>
            </w: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040" w:type="dxa"/>
            <w:vAlign w:val="bottom"/>
            <w:tcBorders>
              <w:bottom w:val="single" w:sz="8" w:color="auto"/>
              <w:right w:val="single" w:sz="8" w:color="auto"/>
            </w:tcBorders>
            <w:gridSpan w:val="6"/>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10</w:t>
            </w:r>
          </w:p>
        </w:tc>
        <w:tc>
          <w:tcPr>
            <w:tcW w:w="50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Лицам  с  АГ  второй  степени  и  выше  назначена</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IA</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19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комбинированная</w:t>
            </w:r>
          </w:p>
        </w:tc>
        <w:tc>
          <w:tcPr>
            <w:tcW w:w="1260" w:type="dxa"/>
            <w:vAlign w:val="bottom"/>
          </w:tcPr>
          <w:p>
            <w:pPr>
              <w:spacing w:after="0"/>
              <w:rPr>
                <w:sz w:val="14"/>
                <w:szCs w:val="14"/>
                <w:color w:val="auto"/>
              </w:rPr>
            </w:pPr>
          </w:p>
        </w:tc>
        <w:tc>
          <w:tcPr>
            <w:tcW w:w="18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6"/>
              </w:rPr>
              <w:t>двухкомпонентная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антигипертензивная терапия сразу после постановки</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диагноза  и  проведена  ее  интенсификация  для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rPr>
              <w:t>достижения целевого АД</w:t>
            </w:r>
            <w:r>
              <w:rPr>
                <w:rFonts w:ascii="Verdana" w:cs="Verdana" w:eastAsia="Verdana" w:hAnsi="Verdana"/>
                <w:sz w:val="17"/>
                <w:szCs w:val="17"/>
                <w:color w:val="auto"/>
              </w:rPr>
              <w:t>.</w:t>
            </w: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3680" w:type="dxa"/>
            <w:vAlign w:val="bottom"/>
            <w:tcBorders>
              <w:bottom w:val="single" w:sz="8" w:color="auto"/>
            </w:tcBorders>
            <w:gridSpan w:val="4"/>
          </w:tcPr>
          <w:p>
            <w:pPr>
              <w:spacing w:after="0"/>
              <w:rPr>
                <w:sz w:val="9"/>
                <w:szCs w:val="9"/>
                <w:color w:val="auto"/>
              </w:rPr>
            </w:pPr>
          </w:p>
        </w:tc>
        <w:tc>
          <w:tcPr>
            <w:tcW w:w="1360" w:type="dxa"/>
            <w:vAlign w:val="bottom"/>
            <w:tcBorders>
              <w:bottom w:val="single" w:sz="8" w:color="auto"/>
              <w:right w:val="single" w:sz="8" w:color="auto"/>
            </w:tcBorders>
            <w:gridSpan w:val="2"/>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11</w:t>
            </w:r>
          </w:p>
        </w:tc>
        <w:tc>
          <w:tcPr>
            <w:tcW w:w="3680" w:type="dxa"/>
            <w:vAlign w:val="bottom"/>
            <w:gridSpan w:val="4"/>
          </w:tcPr>
          <w:p>
            <w:pPr>
              <w:ind w:left="140"/>
              <w:spacing w:after="0"/>
              <w:rPr>
                <w:sz w:val="20"/>
                <w:szCs w:val="20"/>
                <w:color w:val="auto"/>
              </w:rPr>
            </w:pPr>
            <w:r>
              <w:rPr>
                <w:rFonts w:ascii="Verdana" w:cs="Verdana" w:eastAsia="Verdana" w:hAnsi="Verdana"/>
                <w:sz w:val="17"/>
                <w:szCs w:val="17"/>
                <w:color w:val="auto"/>
              </w:rPr>
              <w:t>Достигнут целевой уровень  САД</w:t>
            </w:r>
            <w:r>
              <w:rPr>
                <w:rFonts w:ascii="Verdana" w:cs="Verdana" w:eastAsia="Verdana" w:hAnsi="Verdana"/>
                <w:sz w:val="17"/>
                <w:szCs w:val="17"/>
                <w:color w:val="auto"/>
              </w:rPr>
              <w:t>&lt;140</w:t>
            </w:r>
          </w:p>
        </w:tc>
        <w:tc>
          <w:tcPr>
            <w:tcW w:w="13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r>
              <w:rPr>
                <w:rFonts w:ascii="Verdana" w:cs="Verdana" w:eastAsia="Verdana" w:hAnsi="Verdana"/>
                <w:sz w:val="17"/>
                <w:szCs w:val="17"/>
                <w:color w:val="auto"/>
              </w:rPr>
              <w:t xml:space="preserve"> и</w:t>
            </w:r>
          </w:p>
        </w:tc>
        <w:tc>
          <w:tcPr>
            <w:tcW w:w="1220" w:type="dxa"/>
            <w:vAlign w:val="bottom"/>
          </w:tcPr>
          <w:p>
            <w:pPr>
              <w:ind w:left="140"/>
              <w:spacing w:after="0"/>
              <w:rPr>
                <w:sz w:val="20"/>
                <w:szCs w:val="20"/>
                <w:color w:val="auto"/>
              </w:rPr>
            </w:pPr>
            <w:r>
              <w:rPr>
                <w:rFonts w:ascii="Verdana" w:cs="Verdana" w:eastAsia="Verdana" w:hAnsi="Verdana"/>
                <w:sz w:val="17"/>
                <w:szCs w:val="17"/>
                <w:color w:val="auto"/>
              </w:rPr>
              <w:t>IA</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ДАД  </w:t>
            </w:r>
            <w:r>
              <w:rPr>
                <w:rFonts w:ascii="Verdana" w:cs="Verdana" w:eastAsia="Verdana" w:hAnsi="Verdana"/>
                <w:sz w:val="17"/>
                <w:szCs w:val="17"/>
                <w:color w:val="auto"/>
              </w:rPr>
              <w:t>&lt;  90</w:t>
            </w:r>
            <w:r>
              <w:rPr>
                <w:rFonts w:ascii="Verdana" w:cs="Verdana" w:eastAsia="Verdana" w:hAnsi="Verdana"/>
                <w:sz w:val="17"/>
                <w:szCs w:val="17"/>
                <w:color w:val="auto"/>
              </w:rPr>
              <w:t xml:space="preserve">  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r>
              <w:rPr>
                <w:rFonts w:ascii="Verdana" w:cs="Verdana" w:eastAsia="Verdana" w:hAnsi="Verdana"/>
                <w:sz w:val="17"/>
                <w:szCs w:val="17"/>
                <w:color w:val="auto"/>
              </w:rPr>
              <w:t xml:space="preserve">  через  </w:t>
            </w:r>
            <w:r>
              <w:rPr>
                <w:rFonts w:ascii="Verdana" w:cs="Verdana" w:eastAsia="Verdana" w:hAnsi="Verdana"/>
                <w:sz w:val="17"/>
                <w:szCs w:val="17"/>
                <w:color w:val="auto"/>
              </w:rPr>
              <w:t>3</w:t>
            </w:r>
            <w:r>
              <w:rPr>
                <w:rFonts w:ascii="Verdana" w:cs="Verdana" w:eastAsia="Verdana" w:hAnsi="Verdana"/>
                <w:sz w:val="17"/>
                <w:szCs w:val="17"/>
                <w:color w:val="auto"/>
              </w:rPr>
              <w:t xml:space="preserve">  месяца  от  начала</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лечения</w:t>
            </w:r>
            <w:r>
              <w:rPr>
                <w:rFonts w:ascii="Verdana" w:cs="Verdana" w:eastAsia="Verdana" w:hAnsi="Verdana"/>
                <w:sz w:val="17"/>
                <w:szCs w:val="17"/>
                <w:color w:val="auto"/>
              </w:rPr>
              <w:t>.</w:t>
            </w:r>
            <w:r>
              <w:rPr>
                <w:rFonts w:ascii="Verdana" w:cs="Verdana" w:eastAsia="Verdana" w:hAnsi="Verdana"/>
                <w:sz w:val="17"/>
                <w:szCs w:val="17"/>
                <w:color w:val="auto"/>
              </w:rPr>
              <w:t xml:space="preserve"> При недостижении целевого АД приведено</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объяснение необходимости индивидуального уровня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АД и скорости его снижения </w:t>
            </w:r>
            <w:r>
              <w:rPr>
                <w:rFonts w:ascii="Verdana" w:cs="Verdana" w:eastAsia="Verdana" w:hAnsi="Verdana"/>
                <w:sz w:val="17"/>
                <w:szCs w:val="17"/>
                <w:color w:val="auto"/>
              </w:rPr>
              <w:t>(</w:t>
            </w:r>
            <w:r>
              <w:rPr>
                <w:rFonts w:ascii="Verdana" w:cs="Verdana" w:eastAsia="Verdana" w:hAnsi="Verdana"/>
                <w:sz w:val="17"/>
                <w:szCs w:val="17"/>
                <w:color w:val="auto"/>
              </w:rPr>
              <w:t>плохая переносимость</w:t>
            </w:r>
            <w:r>
              <w:rPr>
                <w:rFonts w:ascii="Verdana" w:cs="Verdana" w:eastAsia="Verdana" w:hAnsi="Verdana"/>
                <w:sz w:val="17"/>
                <w:szCs w:val="17"/>
                <w:color w:val="auto"/>
              </w:rPr>
              <w:t>,</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побочные эффекты лекарственной терапии</w:t>
            </w:r>
            <w:r>
              <w:rPr>
                <w:rFonts w:ascii="Verdana" w:cs="Verdana" w:eastAsia="Verdana" w:hAnsi="Verdana"/>
                <w:sz w:val="17"/>
                <w:szCs w:val="17"/>
                <w:color w:val="auto"/>
              </w:rPr>
              <w:t>,</w:t>
            </w:r>
            <w:r>
              <w:rPr>
                <w:rFonts w:ascii="Verdana" w:cs="Verdana" w:eastAsia="Verdana" w:hAnsi="Verdana"/>
                <w:sz w:val="17"/>
                <w:szCs w:val="17"/>
                <w:color w:val="auto"/>
              </w:rPr>
              <w:t xml:space="preserve"> низкая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приверженность  пациента  к  лечению</w:t>
            </w:r>
            <w:r>
              <w:rPr>
                <w:rFonts w:ascii="Verdana" w:cs="Verdana" w:eastAsia="Verdana" w:hAnsi="Verdana"/>
                <w:sz w:val="17"/>
                <w:szCs w:val="17"/>
                <w:color w:val="auto"/>
              </w:rPr>
              <w:t>,</w:t>
            </w:r>
            <w:r>
              <w:rPr>
                <w:rFonts w:ascii="Verdana" w:cs="Verdana" w:eastAsia="Verdana" w:hAnsi="Verdana"/>
                <w:sz w:val="17"/>
                <w:szCs w:val="17"/>
                <w:color w:val="auto"/>
              </w:rPr>
              <w:t xml:space="preserve">  включая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невыполнения рекомендаций врача</w:t>
            </w:r>
            <w:r>
              <w:rPr>
                <w:rFonts w:ascii="Verdana" w:cs="Verdana" w:eastAsia="Verdana" w:hAnsi="Verdana"/>
                <w:sz w:val="17"/>
                <w:szCs w:val="17"/>
                <w:color w:val="auto"/>
              </w:rPr>
              <w:t>,</w:t>
            </w:r>
            <w:r>
              <w:rPr>
                <w:rFonts w:ascii="Verdana" w:cs="Verdana" w:eastAsia="Verdana" w:hAnsi="Verdana"/>
                <w:sz w:val="17"/>
                <w:szCs w:val="17"/>
                <w:color w:val="auto"/>
              </w:rPr>
              <w:t xml:space="preserve"> необходимость</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ревизии  поставленного  диагноза  для  исключения</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50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симптоматической   АГ</w:t>
            </w:r>
            <w:r>
              <w:rPr>
                <w:rFonts w:ascii="Verdana" w:cs="Verdana" w:eastAsia="Verdana" w:hAnsi="Verdana"/>
                <w:sz w:val="17"/>
                <w:szCs w:val="17"/>
                <w:color w:val="auto"/>
              </w:rPr>
              <w:t>,</w:t>
            </w:r>
            <w:r>
              <w:rPr>
                <w:rFonts w:ascii="Verdana" w:cs="Verdana" w:eastAsia="Verdana" w:hAnsi="Verdana"/>
                <w:sz w:val="17"/>
                <w:szCs w:val="17"/>
                <w:color w:val="auto"/>
              </w:rPr>
              <w:t xml:space="preserve">   наличие   сопутствующей</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1220" w:type="dxa"/>
            <w:vAlign w:val="bottom"/>
          </w:tcPr>
          <w:p>
            <w:pPr>
              <w:ind w:left="140"/>
              <w:spacing w:after="0" w:line="165" w:lineRule="exact"/>
              <w:rPr>
                <w:sz w:val="20"/>
                <w:szCs w:val="20"/>
                <w:color w:val="auto"/>
              </w:rPr>
            </w:pPr>
            <w:r>
              <w:rPr>
                <w:rFonts w:ascii="Verdana" w:cs="Verdana" w:eastAsia="Verdana" w:hAnsi="Verdana"/>
                <w:sz w:val="17"/>
                <w:szCs w:val="17"/>
                <w:color w:val="auto"/>
              </w:rPr>
              <w:t>патологии</w:t>
            </w:r>
          </w:p>
        </w:tc>
        <w:tc>
          <w:tcPr>
            <w:tcW w:w="760" w:type="dxa"/>
            <w:vAlign w:val="bottom"/>
          </w:tcPr>
          <w:p>
            <w:pPr>
              <w:ind w:left="300"/>
              <w:spacing w:after="0" w:line="165" w:lineRule="exact"/>
              <w:rPr>
                <w:sz w:val="20"/>
                <w:szCs w:val="20"/>
                <w:color w:val="auto"/>
              </w:rPr>
            </w:pPr>
            <w:r>
              <w:rPr>
                <w:rFonts w:ascii="Verdana" w:cs="Verdana" w:eastAsia="Verdana" w:hAnsi="Verdana"/>
                <w:sz w:val="17"/>
                <w:szCs w:val="17"/>
                <w:color w:val="auto"/>
              </w:rPr>
              <w:t>или</w:t>
            </w:r>
          </w:p>
        </w:tc>
        <w:tc>
          <w:tcPr>
            <w:tcW w:w="1700" w:type="dxa"/>
            <w:vAlign w:val="bottom"/>
            <w:gridSpan w:val="2"/>
          </w:tcPr>
          <w:p>
            <w:pPr>
              <w:ind w:left="340"/>
              <w:spacing w:after="0" w:line="165" w:lineRule="exact"/>
              <w:rPr>
                <w:sz w:val="20"/>
                <w:szCs w:val="20"/>
                <w:color w:val="auto"/>
              </w:rPr>
            </w:pPr>
            <w:r>
              <w:rPr>
                <w:rFonts w:ascii="Verdana" w:cs="Verdana" w:eastAsia="Verdana" w:hAnsi="Verdana"/>
                <w:sz w:val="17"/>
                <w:szCs w:val="17"/>
                <w:color w:val="auto"/>
              </w:rPr>
              <w:t>лекарственной</w:t>
            </w:r>
          </w:p>
        </w:tc>
        <w:tc>
          <w:tcPr>
            <w:tcW w:w="380" w:type="dxa"/>
            <w:vAlign w:val="bottom"/>
          </w:tcPr>
          <w:p>
            <w:pPr>
              <w:spacing w:after="0"/>
              <w:rPr>
                <w:sz w:val="14"/>
                <w:szCs w:val="14"/>
                <w:color w:val="auto"/>
              </w:rPr>
            </w:pPr>
          </w:p>
        </w:tc>
        <w:tc>
          <w:tcPr>
            <w:tcW w:w="9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9"/>
              </w:rPr>
              <w:t>терапии</w:t>
            </w:r>
            <w:r>
              <w:rPr>
                <w:rFonts w:ascii="Verdana" w:cs="Verdana" w:eastAsia="Verdana" w:hAnsi="Verdana"/>
                <w:sz w:val="17"/>
                <w:szCs w:val="17"/>
                <w:color w:val="auto"/>
                <w:w w:val="99"/>
              </w:rPr>
              <w:t>,</w:t>
            </w:r>
          </w:p>
        </w:tc>
        <w:tc>
          <w:tcPr>
            <w:tcW w:w="122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9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240" w:type="dxa"/>
            <w:vAlign w:val="bottom"/>
            <w:gridSpan w:val="3"/>
          </w:tcPr>
          <w:p>
            <w:pPr>
              <w:ind w:left="140"/>
              <w:spacing w:after="0"/>
              <w:rPr>
                <w:sz w:val="20"/>
                <w:szCs w:val="20"/>
                <w:color w:val="auto"/>
              </w:rPr>
            </w:pPr>
            <w:r>
              <w:rPr>
                <w:rFonts w:ascii="Verdana" w:cs="Verdana" w:eastAsia="Verdana" w:hAnsi="Verdana"/>
                <w:sz w:val="17"/>
                <w:szCs w:val="17"/>
                <w:color w:val="auto"/>
              </w:rPr>
              <w:t>затрудняющей контроль АД</w:t>
            </w:r>
            <w:r>
              <w:rPr>
                <w:rFonts w:ascii="Verdana" w:cs="Verdana" w:eastAsia="Verdana" w:hAnsi="Verdana"/>
                <w:sz w:val="17"/>
                <w:szCs w:val="17"/>
                <w:color w:val="auto"/>
              </w:rPr>
              <w:t>)</w:t>
            </w: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4060" w:type="dxa"/>
            <w:vAlign w:val="bottom"/>
            <w:tcBorders>
              <w:bottom w:val="single" w:sz="8" w:color="auto"/>
            </w:tcBorders>
            <w:gridSpan w:val="5"/>
          </w:tcPr>
          <w:p>
            <w:pPr>
              <w:spacing w:after="0"/>
              <w:rPr>
                <w:sz w:val="9"/>
                <w:szCs w:val="9"/>
                <w:color w:val="auto"/>
              </w:rPr>
            </w:pPr>
          </w:p>
        </w:tc>
        <w:tc>
          <w:tcPr>
            <w:tcW w:w="98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12</w:t>
            </w:r>
          </w:p>
        </w:tc>
        <w:tc>
          <w:tcPr>
            <w:tcW w:w="4060" w:type="dxa"/>
            <w:vAlign w:val="bottom"/>
            <w:gridSpan w:val="5"/>
          </w:tcPr>
          <w:p>
            <w:pPr>
              <w:ind w:left="140"/>
              <w:spacing w:after="0"/>
              <w:rPr>
                <w:sz w:val="20"/>
                <w:szCs w:val="20"/>
                <w:color w:val="auto"/>
              </w:rPr>
            </w:pPr>
            <w:r>
              <w:rPr>
                <w:rFonts w:ascii="Verdana" w:cs="Verdana" w:eastAsia="Verdana" w:hAnsi="Verdana"/>
                <w:sz w:val="17"/>
                <w:szCs w:val="17"/>
                <w:color w:val="auto"/>
                <w:w w:val="97"/>
              </w:rPr>
              <w:t>Пациент взят под диспансерное наблюдение</w:t>
            </w:r>
          </w:p>
        </w:tc>
        <w:tc>
          <w:tcPr>
            <w:tcW w:w="980" w:type="dxa"/>
            <w:vAlign w:val="bottom"/>
            <w:tcBorders>
              <w:right w:val="single" w:sz="8" w:color="auto"/>
            </w:tcBorders>
          </w:tcPr>
          <w:p>
            <w:pPr>
              <w:spacing w:after="0"/>
              <w:rPr>
                <w:sz w:val="24"/>
                <w:szCs w:val="24"/>
                <w:color w:val="auto"/>
              </w:rPr>
            </w:pPr>
          </w:p>
        </w:tc>
        <w:tc>
          <w:tcPr>
            <w:tcW w:w="1220" w:type="dxa"/>
            <w:vAlign w:val="bottom"/>
          </w:tcPr>
          <w:p>
            <w:pPr>
              <w:ind w:left="140"/>
              <w:spacing w:after="0"/>
              <w:rPr>
                <w:sz w:val="20"/>
                <w:szCs w:val="20"/>
                <w:color w:val="auto"/>
              </w:rPr>
            </w:pPr>
            <w:r>
              <w:rPr>
                <w:rFonts w:ascii="Verdana" w:cs="Verdana" w:eastAsia="Verdana" w:hAnsi="Verdana"/>
                <w:sz w:val="17"/>
                <w:szCs w:val="17"/>
                <w:color w:val="auto"/>
              </w:rPr>
              <w:t>-</w:t>
            </w:r>
          </w:p>
        </w:tc>
        <w:tc>
          <w:tcPr>
            <w:tcW w:w="600" w:type="dxa"/>
            <w:vAlign w:val="bottom"/>
            <w:tcBorders>
              <w:right w:val="single" w:sz="8" w:color="auto"/>
            </w:tcBorders>
          </w:tcPr>
          <w:p>
            <w:pPr>
              <w:spacing w:after="0"/>
              <w:rPr>
                <w:sz w:val="24"/>
                <w:szCs w:val="24"/>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Да/</w:t>
            </w:r>
          </w:p>
        </w:tc>
        <w:tc>
          <w:tcPr>
            <w:tcW w:w="0" w:type="dxa"/>
            <w:vAlign w:val="bottom"/>
          </w:tcPr>
          <w:p>
            <w:pPr>
              <w:spacing w:after="0"/>
              <w:rPr>
                <w:sz w:val="1"/>
                <w:szCs w:val="1"/>
                <w:color w:val="auto"/>
              </w:rPr>
            </w:pPr>
          </w:p>
        </w:tc>
      </w:tr>
      <w:tr>
        <w:trPr>
          <w:trHeight w:val="224"/>
        </w:trPr>
        <w:tc>
          <w:tcPr>
            <w:tcW w:w="700" w:type="dxa"/>
            <w:vAlign w:val="bottom"/>
            <w:tcBorders>
              <w:left w:val="single" w:sz="8" w:color="auto"/>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7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980" w:type="dxa"/>
            <w:vAlign w:val="bottom"/>
            <w:tcBorders>
              <w:right w:val="single" w:sz="8" w:color="auto"/>
            </w:tcBorders>
          </w:tcPr>
          <w:p>
            <w:pPr>
              <w:spacing w:after="0"/>
              <w:rPr>
                <w:sz w:val="19"/>
                <w:szCs w:val="19"/>
                <w:color w:val="auto"/>
              </w:rPr>
            </w:pPr>
          </w:p>
        </w:tc>
        <w:tc>
          <w:tcPr>
            <w:tcW w:w="122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9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нет</w:t>
            </w:r>
          </w:p>
        </w:tc>
        <w:tc>
          <w:tcPr>
            <w:tcW w:w="0" w:type="dxa"/>
            <w:vAlign w:val="bottom"/>
          </w:tcPr>
          <w:p>
            <w:pPr>
              <w:spacing w:after="0"/>
              <w:rPr>
                <w:sz w:val="1"/>
                <w:szCs w:val="1"/>
                <w:color w:val="auto"/>
              </w:rPr>
            </w:pPr>
          </w:p>
        </w:tc>
      </w:tr>
      <w:tr>
        <w:trPr>
          <w:trHeight w:val="106"/>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760" w:type="dxa"/>
            <w:vAlign w:val="bottom"/>
            <w:tcBorders>
              <w:bottom w:val="single" w:sz="8" w:color="auto"/>
            </w:tcBorders>
          </w:tcPr>
          <w:p>
            <w:pPr>
              <w:spacing w:after="0"/>
              <w:rPr>
                <w:sz w:val="9"/>
                <w:szCs w:val="9"/>
                <w:color w:val="auto"/>
              </w:rPr>
            </w:pPr>
          </w:p>
        </w:tc>
        <w:tc>
          <w:tcPr>
            <w:tcW w:w="126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80" w:type="dxa"/>
            <w:vAlign w:val="bottom"/>
            <w:tcBorders>
              <w:bottom w:val="single" w:sz="8" w:color="auto"/>
            </w:tcBorders>
          </w:tcPr>
          <w:p>
            <w:pPr>
              <w:spacing w:after="0"/>
              <w:rPr>
                <w:sz w:val="9"/>
                <w:szCs w:val="9"/>
                <w:color w:val="auto"/>
              </w:rPr>
            </w:pPr>
          </w:p>
        </w:tc>
        <w:tc>
          <w:tcPr>
            <w:tcW w:w="98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9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ectPr>
          <w:pgSz w:w="11900" w:h="16840" w:orient="portrait"/>
          <w:cols w:equalWidth="0" w:num="1">
            <w:col w:w="9020"/>
          </w:cols>
          <w:pgMar w:left="1440" w:top="671" w:right="1440" w:bottom="594" w:gutter="0" w:footer="0" w:header="0"/>
        </w:sectPr>
      </w:pPr>
    </w:p>
    <w:bookmarkStart w:id="87" w:name="page88"/>
    <w:bookmarkEnd w:id="87"/>
    <w:p>
      <w:pPr>
        <w:ind w:left="360" w:right="220"/>
        <w:spacing w:after="0" w:line="334" w:lineRule="auto"/>
        <w:rPr>
          <w:sz w:val="20"/>
          <w:szCs w:val="20"/>
          <w:color w:val="auto"/>
        </w:rPr>
      </w:pPr>
      <w:r>
        <w:rPr>
          <w:rFonts w:ascii="Arial" w:cs="Arial" w:eastAsia="Arial" w:hAnsi="Arial"/>
          <w:sz w:val="27"/>
          <w:szCs w:val="27"/>
          <w:b w:val="1"/>
          <w:bCs w:val="1"/>
          <w:i w:val="1"/>
          <w:iCs w:val="1"/>
          <w:color w:val="auto"/>
        </w:rPr>
        <w:t>Типичными дефектами при оказании медицинской помощи пациентам с АГ являются</w:t>
      </w:r>
      <w:r>
        <w:rPr>
          <w:rFonts w:ascii="Arial" w:cs="Arial" w:eastAsia="Arial" w:hAnsi="Arial"/>
          <w:sz w:val="27"/>
          <w:szCs w:val="27"/>
          <w:b w:val="1"/>
          <w:bCs w:val="1"/>
          <w:i w:val="1"/>
          <w:iCs w:val="1"/>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b w:val="1"/>
          <w:bCs w:val="1"/>
          <w:i w:val="1"/>
          <w:iCs w:val="1"/>
          <w:u w:val="single" w:color="auto"/>
          <w:color w:val="auto"/>
        </w:rPr>
        <w:t>при сборе анамнеза</w:t>
      </w:r>
      <w:r>
        <w:rPr>
          <w:rFonts w:ascii="Arial" w:cs="Arial" w:eastAsia="Arial" w:hAnsi="Arial"/>
          <w:sz w:val="27"/>
          <w:szCs w:val="27"/>
          <w:b w:val="1"/>
          <w:bCs w:val="1"/>
          <w:i w:val="1"/>
          <w:iCs w:val="1"/>
          <w:u w:val="single" w:color="auto"/>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не уточнены характер начала заболевания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продолжительность</w:t>
      </w:r>
      <w:r>
        <w:rPr>
          <w:rFonts w:ascii="Arial" w:cs="Arial" w:eastAsia="Arial" w:hAnsi="Arial"/>
          <w:sz w:val="23"/>
          <w:szCs w:val="23"/>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-87630</wp:posOffset>
            </wp:positionV>
            <wp:extent cx="82550" cy="82550"/>
            <wp:wrapNone/>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6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06"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особенности течения заболевания</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4"/>
          <w:szCs w:val="24"/>
          <w:b w:val="1"/>
          <w:bCs w:val="1"/>
          <w:i w:val="1"/>
          <w:iCs w:val="1"/>
          <w:color w:val="auto"/>
        </w:rPr>
        <w:t>отсутствуют сведения об эффективности ранее проводимой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-94615</wp:posOffset>
            </wp:positionV>
            <wp:extent cx="82550" cy="82550"/>
            <wp:wrapNone/>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6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94" w:lineRule="exact"/>
        <w:rPr>
          <w:sz w:val="20"/>
          <w:szCs w:val="20"/>
          <w:color w:val="auto"/>
        </w:rPr>
      </w:pPr>
    </w:p>
    <w:p>
      <w:pPr>
        <w:ind w:left="680"/>
        <w:spacing w:after="0"/>
        <w:rPr>
          <w:sz w:val="20"/>
          <w:szCs w:val="20"/>
          <w:color w:val="auto"/>
        </w:rPr>
      </w:pPr>
      <w:r>
        <w:rPr>
          <w:rFonts w:ascii="Arial" w:cs="Arial" w:eastAsia="Arial" w:hAnsi="Arial"/>
          <w:sz w:val="26"/>
          <w:szCs w:val="26"/>
          <w:b w:val="1"/>
          <w:bCs w:val="1"/>
          <w:i w:val="1"/>
          <w:iCs w:val="1"/>
          <w:color w:val="auto"/>
        </w:rPr>
        <w:t>терапии</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о возможном приеме пациентами других</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помимо</w:t>
      </w:r>
    </w:p>
    <w:p>
      <w:pPr>
        <w:spacing w:after="0" w:line="91"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b w:val="1"/>
          <w:bCs w:val="1"/>
          <w:i w:val="1"/>
          <w:iCs w:val="1"/>
          <w:color w:val="auto"/>
        </w:rPr>
        <w:t>антигипертензивных</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лекарственных препаратов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глюкокортикоидных гормонов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цитостатиков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нестероидных противовоспалительных препаратов</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оральных контрацептивов и др</w:t>
      </w:r>
      <w:r>
        <w:rPr>
          <w:rFonts w:ascii="Arial" w:cs="Arial" w:eastAsia="Arial" w:hAnsi="Arial"/>
          <w:sz w:val="27"/>
          <w:szCs w:val="27"/>
          <w:b w:val="1"/>
          <w:bCs w:val="1"/>
          <w:i w:val="1"/>
          <w:iCs w:val="1"/>
          <w:color w:val="auto"/>
        </w:rPr>
        <w:t>.</w:t>
      </w:r>
    </w:p>
    <w:p>
      <w:pPr>
        <w:spacing w:after="0" w:line="3" w:lineRule="exact"/>
        <w:rPr>
          <w:sz w:val="20"/>
          <w:szCs w:val="20"/>
          <w:color w:val="auto"/>
        </w:rPr>
      </w:pPr>
    </w:p>
    <w:p>
      <w:pPr>
        <w:ind w:left="680"/>
        <w:spacing w:after="0"/>
        <w:tabs>
          <w:tab w:leader="none" w:pos="2740" w:val="left"/>
          <w:tab w:leader="none" w:pos="4060" w:val="left"/>
          <w:tab w:leader="none" w:pos="4460" w:val="left"/>
          <w:tab w:leader="none" w:pos="5740" w:val="left"/>
          <w:tab w:leader="none" w:pos="7340" w:val="left"/>
          <w:tab w:leader="none" w:pos="7720" w:val="left"/>
        </w:tabs>
        <w:rPr>
          <w:sz w:val="20"/>
          <w:szCs w:val="20"/>
          <w:color w:val="auto"/>
        </w:rPr>
      </w:pPr>
      <w:r>
        <w:rPr>
          <w:rFonts w:ascii="Arial" w:cs="Arial" w:eastAsia="Arial" w:hAnsi="Arial"/>
          <w:sz w:val="27"/>
          <w:szCs w:val="27"/>
          <w:b w:val="1"/>
          <w:bCs w:val="1"/>
          <w:i w:val="1"/>
          <w:iCs w:val="1"/>
          <w:color w:val="auto"/>
        </w:rPr>
        <w:t>отсутствуют</w:t>
        <w:tab/>
        <w:t>сведения</w:t>
        <w:tab/>
        <w:t>о</w:t>
        <w:tab/>
        <w:t>наличии</w:t>
        <w:tab/>
        <w:t>менопаузы</w:t>
        <w:tab/>
        <w:t>у</w:t>
      </w:r>
      <w:r>
        <w:rPr>
          <w:sz w:val="20"/>
          <w:szCs w:val="20"/>
          <w:color w:val="auto"/>
        </w:rPr>
        <w:tab/>
      </w:r>
      <w:r>
        <w:rPr>
          <w:rFonts w:ascii="Arial" w:cs="Arial" w:eastAsia="Arial" w:hAnsi="Arial"/>
          <w:sz w:val="24"/>
          <w:szCs w:val="24"/>
          <w:b w:val="1"/>
          <w:bCs w:val="1"/>
          <w:i w:val="1"/>
          <w:iCs w:val="1"/>
          <w:color w:val="auto"/>
        </w:rPr>
        <w:t>женщин</w:t>
      </w:r>
      <w:r>
        <w:rPr>
          <w:rFonts w:ascii="Arial" w:cs="Arial" w:eastAsia="Arial" w:hAnsi="Arial"/>
          <w:sz w:val="24"/>
          <w:szCs w:val="24"/>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6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характере питания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статусе курения</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семейном анамнезе ранних</w:t>
      </w:r>
    </w:p>
    <w:p>
      <w:pPr>
        <w:spacing w:after="0" w:line="126"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сердечно</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сосудистых заболеваний</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осложнений АГ</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tabs>
          <w:tab w:leader="none" w:pos="2760" w:val="left"/>
          <w:tab w:leader="none" w:pos="4380" w:val="left"/>
          <w:tab w:leader="none" w:pos="5080" w:val="left"/>
          <w:tab w:leader="none" w:pos="6640" w:val="left"/>
        </w:tabs>
        <w:rPr>
          <w:sz w:val="20"/>
          <w:szCs w:val="20"/>
          <w:color w:val="auto"/>
        </w:rPr>
      </w:pPr>
      <w:r>
        <w:rPr>
          <w:rFonts w:ascii="Arial" w:cs="Arial" w:eastAsia="Arial" w:hAnsi="Arial"/>
          <w:sz w:val="27"/>
          <w:szCs w:val="27"/>
          <w:b w:val="1"/>
          <w:bCs w:val="1"/>
          <w:i w:val="1"/>
          <w:iCs w:val="1"/>
          <w:color w:val="auto"/>
        </w:rPr>
        <w:t>отсутствие</w:t>
      </w:r>
      <w:r>
        <w:rPr>
          <w:sz w:val="20"/>
          <w:szCs w:val="20"/>
          <w:color w:val="auto"/>
        </w:rPr>
        <w:tab/>
      </w:r>
      <w:r>
        <w:rPr>
          <w:rFonts w:ascii="Arial" w:cs="Arial" w:eastAsia="Arial" w:hAnsi="Arial"/>
          <w:sz w:val="27"/>
          <w:szCs w:val="27"/>
          <w:b w:val="1"/>
          <w:bCs w:val="1"/>
          <w:i w:val="1"/>
          <w:iCs w:val="1"/>
          <w:color w:val="auto"/>
        </w:rPr>
        <w:t>сведений</w:t>
      </w:r>
      <w:r>
        <w:rPr>
          <w:sz w:val="20"/>
          <w:szCs w:val="20"/>
          <w:color w:val="auto"/>
        </w:rPr>
        <w:tab/>
      </w:r>
      <w:r>
        <w:rPr>
          <w:rFonts w:ascii="Arial" w:cs="Arial" w:eastAsia="Arial" w:hAnsi="Arial"/>
          <w:sz w:val="27"/>
          <w:szCs w:val="27"/>
          <w:b w:val="1"/>
          <w:bCs w:val="1"/>
          <w:i w:val="1"/>
          <w:iCs w:val="1"/>
          <w:color w:val="auto"/>
        </w:rPr>
        <w:t>о</w:t>
      </w:r>
      <w:r>
        <w:rPr>
          <w:sz w:val="20"/>
          <w:szCs w:val="20"/>
          <w:color w:val="auto"/>
        </w:rPr>
        <w:tab/>
      </w:r>
      <w:r>
        <w:rPr>
          <w:rFonts w:ascii="Arial" w:cs="Arial" w:eastAsia="Arial" w:hAnsi="Arial"/>
          <w:sz w:val="27"/>
          <w:szCs w:val="27"/>
          <w:b w:val="1"/>
          <w:bCs w:val="1"/>
          <w:i w:val="1"/>
          <w:iCs w:val="1"/>
          <w:color w:val="auto"/>
        </w:rPr>
        <w:t>наличии</w:t>
      </w:r>
      <w:r>
        <w:rPr>
          <w:sz w:val="20"/>
          <w:szCs w:val="20"/>
          <w:color w:val="auto"/>
        </w:rPr>
        <w:tab/>
      </w:r>
      <w:r>
        <w:rPr>
          <w:rFonts w:ascii="Arial" w:cs="Arial" w:eastAsia="Arial" w:hAnsi="Arial"/>
          <w:sz w:val="22"/>
          <w:szCs w:val="22"/>
          <w:b w:val="1"/>
          <w:bCs w:val="1"/>
          <w:i w:val="1"/>
          <w:iCs w:val="1"/>
          <w:color w:val="auto"/>
        </w:rPr>
        <w:t>предшествующих</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6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госпитализаций</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b w:val="1"/>
          <w:bCs w:val="1"/>
          <w:i w:val="1"/>
          <w:iCs w:val="1"/>
          <w:u w:val="single" w:color="auto"/>
          <w:color w:val="auto"/>
        </w:rPr>
        <w:t>при обследовании пациентов</w:t>
      </w:r>
      <w:r>
        <w:rPr>
          <w:rFonts w:ascii="Arial" w:cs="Arial" w:eastAsia="Arial" w:hAnsi="Arial"/>
          <w:sz w:val="27"/>
          <w:szCs w:val="27"/>
          <w:b w:val="1"/>
          <w:bCs w:val="1"/>
          <w:i w:val="1"/>
          <w:iCs w:val="1"/>
          <w:u w:val="single" w:color="auto"/>
          <w:color w:val="auto"/>
        </w:rPr>
        <w:t>:</w:t>
      </w:r>
    </w:p>
    <w:p>
      <w:pPr>
        <w:spacing w:after="0" w:line="350" w:lineRule="exact"/>
        <w:rPr>
          <w:sz w:val="20"/>
          <w:szCs w:val="20"/>
          <w:color w:val="auto"/>
        </w:rPr>
      </w:pPr>
    </w:p>
    <w:p>
      <w:pPr>
        <w:jc w:val="both"/>
        <w:ind w:left="680" w:right="220"/>
        <w:spacing w:after="0" w:line="394" w:lineRule="auto"/>
        <w:rPr>
          <w:sz w:val="20"/>
          <w:szCs w:val="20"/>
          <w:color w:val="auto"/>
        </w:rPr>
      </w:pPr>
      <w:r>
        <w:rPr>
          <w:rFonts w:ascii="Arial" w:cs="Arial" w:eastAsia="Arial" w:hAnsi="Arial"/>
          <w:sz w:val="23"/>
          <w:szCs w:val="23"/>
          <w:b w:val="1"/>
          <w:bCs w:val="1"/>
          <w:i w:val="1"/>
          <w:iCs w:val="1"/>
          <w:color w:val="auto"/>
        </w:rPr>
        <w:t>неполное физическое</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лабораторное и инструментальное обследование</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что приводит к недооценке возможности наличия симптоматической АГ</w:t>
      </w: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 xml:space="preserve"> неверной оценке ПОМ и СС риска</w:t>
      </w:r>
      <w:r>
        <w:rPr>
          <w:rFonts w:ascii="Arial" w:cs="Arial" w:eastAsia="Arial" w:hAnsi="Arial"/>
          <w:sz w:val="23"/>
          <w:szCs w:val="23"/>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-746760</wp:posOffset>
            </wp:positionV>
            <wp:extent cx="82550" cy="82550"/>
            <wp:wrapNone/>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6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18" w:lineRule="exact"/>
        <w:rPr>
          <w:sz w:val="20"/>
          <w:szCs w:val="20"/>
          <w:color w:val="auto"/>
        </w:rPr>
      </w:pPr>
    </w:p>
    <w:p>
      <w:pPr>
        <w:ind w:left="360"/>
        <w:spacing w:after="0"/>
        <w:rPr>
          <w:sz w:val="20"/>
          <w:szCs w:val="20"/>
          <w:color w:val="auto"/>
        </w:rPr>
      </w:pPr>
      <w:r>
        <w:rPr>
          <w:rFonts w:ascii="Arial" w:cs="Arial" w:eastAsia="Arial" w:hAnsi="Arial"/>
          <w:sz w:val="27"/>
          <w:szCs w:val="27"/>
          <w:b w:val="1"/>
          <w:bCs w:val="1"/>
          <w:i w:val="1"/>
          <w:iCs w:val="1"/>
          <w:u w:val="single" w:color="auto"/>
          <w:color w:val="auto"/>
        </w:rPr>
        <w:t>при постановке диагноза</w:t>
      </w:r>
      <w:r>
        <w:rPr>
          <w:rFonts w:ascii="Arial" w:cs="Arial" w:eastAsia="Arial" w:hAnsi="Arial"/>
          <w:sz w:val="27"/>
          <w:szCs w:val="27"/>
          <w:b w:val="1"/>
          <w:bCs w:val="1"/>
          <w:i w:val="1"/>
          <w:iCs w:val="1"/>
          <w:u w:val="single" w:color="auto"/>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4"/>
          <w:szCs w:val="24"/>
          <w:b w:val="1"/>
          <w:bCs w:val="1"/>
          <w:i w:val="1"/>
          <w:iCs w:val="1"/>
          <w:color w:val="auto"/>
        </w:rPr>
        <w:t>отсутствие развернутого клинического диагноза</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с указанием</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-94615</wp:posOffset>
            </wp:positionV>
            <wp:extent cx="82550" cy="82550"/>
            <wp:wrapNone/>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6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94" w:lineRule="exact"/>
        <w:rPr>
          <w:sz w:val="20"/>
          <w:szCs w:val="20"/>
          <w:color w:val="auto"/>
        </w:rPr>
      </w:pPr>
    </w:p>
    <w:p>
      <w:pPr>
        <w:ind w:left="680"/>
        <w:spacing w:after="0"/>
        <w:tabs>
          <w:tab w:leader="none" w:pos="1820" w:val="left"/>
          <w:tab w:leader="none" w:pos="4200" w:val="left"/>
          <w:tab w:leader="none" w:pos="5500" w:val="left"/>
          <w:tab w:leader="none" w:pos="6780" w:val="left"/>
          <w:tab w:leader="none" w:pos="8420" w:val="left"/>
        </w:tabs>
        <w:rPr>
          <w:sz w:val="20"/>
          <w:szCs w:val="20"/>
          <w:color w:val="auto"/>
        </w:rPr>
      </w:pPr>
      <w:r>
        <w:rPr>
          <w:rFonts w:ascii="Arial" w:cs="Arial" w:eastAsia="Arial" w:hAnsi="Arial"/>
          <w:sz w:val="27"/>
          <w:szCs w:val="27"/>
          <w:b w:val="1"/>
          <w:bCs w:val="1"/>
          <w:i w:val="1"/>
          <w:iCs w:val="1"/>
          <w:color w:val="auto"/>
        </w:rPr>
        <w:t>стадии</w:t>
        <w:tab/>
        <w:t>гипертонической</w:t>
        <w:tab/>
        <w:t>болезни</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ab/>
        <w:t>степени</w:t>
        <w:tab/>
        <w:t>повышения</w:t>
      </w:r>
      <w:r>
        <w:rPr>
          <w:sz w:val="20"/>
          <w:szCs w:val="20"/>
          <w:color w:val="auto"/>
        </w:rPr>
        <w:tab/>
      </w:r>
      <w:r>
        <w:rPr>
          <w:rFonts w:ascii="Arial" w:cs="Arial" w:eastAsia="Arial" w:hAnsi="Arial"/>
          <w:sz w:val="24"/>
          <w:szCs w:val="24"/>
          <w:b w:val="1"/>
          <w:bCs w:val="1"/>
          <w:i w:val="1"/>
          <w:iCs w:val="1"/>
          <w:color w:val="auto"/>
        </w:rPr>
        <w:t>АД</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w:t>
      </w:r>
      <w:r>
        <w:rPr>
          <w:rFonts w:ascii="Arial" w:cs="Arial" w:eastAsia="Arial" w:hAnsi="Arial"/>
          <w:sz w:val="23"/>
          <w:szCs w:val="23"/>
          <w:b w:val="1"/>
          <w:bCs w:val="1"/>
          <w:i w:val="1"/>
          <w:iCs w:val="1"/>
          <w:color w:val="auto"/>
        </w:rPr>
        <w:t>степени АГ при впервые выявленной АГ</w:t>
      </w:r>
      <w:r>
        <w:rPr>
          <w:rFonts w:ascii="Arial" w:cs="Arial" w:eastAsia="Arial" w:hAnsi="Arial"/>
          <w:sz w:val="23"/>
          <w:szCs w:val="23"/>
          <w:b w:val="1"/>
          <w:bCs w:val="1"/>
          <w:i w:val="1"/>
          <w:iCs w:val="1"/>
          <w:color w:val="auto"/>
        </w:rPr>
        <w:t xml:space="preserve">), </w:t>
      </w:r>
      <w:r>
        <w:rPr>
          <w:rFonts w:ascii="Arial" w:cs="Arial" w:eastAsia="Arial" w:hAnsi="Arial"/>
          <w:sz w:val="23"/>
          <w:szCs w:val="23"/>
          <w:b w:val="1"/>
          <w:bCs w:val="1"/>
          <w:i w:val="1"/>
          <w:iCs w:val="1"/>
          <w:color w:val="auto"/>
        </w:rPr>
        <w:t>с максимально полным</w:t>
      </w:r>
    </w:p>
    <w:p>
      <w:pPr>
        <w:spacing w:after="0" w:line="126" w:lineRule="exact"/>
        <w:rPr>
          <w:sz w:val="20"/>
          <w:szCs w:val="20"/>
          <w:color w:val="auto"/>
        </w:rPr>
      </w:pPr>
    </w:p>
    <w:p>
      <w:pPr>
        <w:ind w:left="680"/>
        <w:spacing w:after="0"/>
        <w:rPr>
          <w:sz w:val="20"/>
          <w:szCs w:val="20"/>
          <w:color w:val="auto"/>
        </w:rPr>
      </w:pPr>
      <w:r>
        <w:rPr>
          <w:rFonts w:ascii="Arial" w:cs="Arial" w:eastAsia="Arial" w:hAnsi="Arial"/>
          <w:sz w:val="26"/>
          <w:szCs w:val="26"/>
          <w:b w:val="1"/>
          <w:bCs w:val="1"/>
          <w:i w:val="1"/>
          <w:iCs w:val="1"/>
          <w:color w:val="auto"/>
        </w:rPr>
        <w:t>отражением  ФР</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ПОМ</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ССЗ</w:t>
      </w:r>
      <w:r>
        <w:rPr>
          <w:rFonts w:ascii="Arial" w:cs="Arial" w:eastAsia="Arial" w:hAnsi="Arial"/>
          <w:sz w:val="26"/>
          <w:szCs w:val="26"/>
          <w:b w:val="1"/>
          <w:bCs w:val="1"/>
          <w:i w:val="1"/>
          <w:iCs w:val="1"/>
          <w:color w:val="auto"/>
        </w:rPr>
        <w:t>,</w:t>
      </w:r>
      <w:r>
        <w:rPr>
          <w:rFonts w:ascii="Arial" w:cs="Arial" w:eastAsia="Arial" w:hAnsi="Arial"/>
          <w:sz w:val="26"/>
          <w:szCs w:val="26"/>
          <w:b w:val="1"/>
          <w:bCs w:val="1"/>
          <w:i w:val="1"/>
          <w:iCs w:val="1"/>
          <w:color w:val="auto"/>
        </w:rPr>
        <w:t xml:space="preserve">  ХБП  и  категории  сердечно</w:t>
      </w:r>
      <w:r>
        <w:rPr>
          <w:rFonts w:ascii="Arial" w:cs="Arial" w:eastAsia="Arial" w:hAnsi="Arial"/>
          <w:sz w:val="26"/>
          <w:szCs w:val="26"/>
          <w:b w:val="1"/>
          <w:bCs w:val="1"/>
          <w:i w:val="1"/>
          <w:iCs w:val="1"/>
          <w:color w:val="auto"/>
        </w:rPr>
        <w:t>-</w:t>
      </w:r>
    </w:p>
    <w:p>
      <w:pPr>
        <w:spacing w:after="0" w:line="91"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сосудистого риска</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3"/>
          <w:szCs w:val="23"/>
          <w:b w:val="1"/>
          <w:bCs w:val="1"/>
          <w:i w:val="1"/>
          <w:iCs w:val="1"/>
          <w:color w:val="auto"/>
        </w:rPr>
        <w:t>необоснованное и неверное установление стадии ГБ и степени АГ</w:t>
      </w:r>
      <w:r>
        <w:rPr>
          <w:rFonts w:ascii="Arial" w:cs="Arial" w:eastAsia="Arial" w:hAnsi="Arial"/>
          <w:sz w:val="23"/>
          <w:szCs w:val="23"/>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-87630</wp:posOffset>
            </wp:positionV>
            <wp:extent cx="82550" cy="82550"/>
            <wp:wrapNone/>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6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06"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категории риска</w:t>
      </w:r>
      <w:r>
        <w:rPr>
          <w:rFonts w:ascii="Arial" w:cs="Arial" w:eastAsia="Arial" w:hAnsi="Arial"/>
          <w:sz w:val="27"/>
          <w:szCs w:val="27"/>
          <w:b w:val="1"/>
          <w:bCs w:val="1"/>
          <w:i w:val="1"/>
          <w:iCs w:val="1"/>
          <w:color w:val="auto"/>
        </w:rPr>
        <w:t>;</w:t>
      </w:r>
    </w:p>
    <w:p>
      <w:pPr>
        <w:spacing w:after="0" w:line="80"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b w:val="1"/>
          <w:bCs w:val="1"/>
          <w:i w:val="1"/>
          <w:iCs w:val="1"/>
          <w:color w:val="auto"/>
        </w:rPr>
        <w:t>отсутствие сведений о наличии у пациента ПОМ</w:t>
      </w:r>
      <w:r>
        <w:rPr>
          <w:rFonts w:ascii="Arial" w:cs="Arial" w:eastAsia="Arial" w:hAnsi="Arial"/>
          <w:sz w:val="27"/>
          <w:szCs w:val="27"/>
          <w:b w:val="1"/>
          <w:bCs w:val="1"/>
          <w:i w:val="1"/>
          <w:iCs w:val="1"/>
          <w:color w:val="auto"/>
        </w:rPr>
        <w:t>,</w:t>
      </w:r>
      <w:r>
        <w:rPr>
          <w:rFonts w:ascii="Arial" w:cs="Arial" w:eastAsia="Arial" w:hAnsi="Arial"/>
          <w:sz w:val="27"/>
          <w:szCs w:val="27"/>
          <w:b w:val="1"/>
          <w:bCs w:val="1"/>
          <w:i w:val="1"/>
          <w:iCs w:val="1"/>
          <w:color w:val="auto"/>
        </w:rPr>
        <w:t xml:space="preserve"> сопутствующих заболеваний и факторов риска</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360"/>
        <w:spacing w:after="0"/>
        <w:rPr>
          <w:sz w:val="20"/>
          <w:szCs w:val="20"/>
          <w:color w:val="auto"/>
        </w:rPr>
      </w:pPr>
      <w:r>
        <w:rPr>
          <w:rFonts w:ascii="Arial" w:cs="Arial" w:eastAsia="Arial" w:hAnsi="Arial"/>
          <w:sz w:val="27"/>
          <w:szCs w:val="27"/>
          <w:b w:val="1"/>
          <w:bCs w:val="1"/>
          <w:i w:val="1"/>
          <w:iCs w:val="1"/>
          <w:u w:val="single" w:color="auto"/>
          <w:color w:val="auto"/>
        </w:rPr>
        <w:t>при проведении лечения</w:t>
      </w:r>
      <w:r>
        <w:rPr>
          <w:rFonts w:ascii="Arial" w:cs="Arial" w:eastAsia="Arial" w:hAnsi="Arial"/>
          <w:sz w:val="27"/>
          <w:szCs w:val="27"/>
          <w:b w:val="1"/>
          <w:bCs w:val="1"/>
          <w:i w:val="1"/>
          <w:iCs w:val="1"/>
          <w:u w:val="single" w:color="auto"/>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b w:val="1"/>
          <w:bCs w:val="1"/>
          <w:i w:val="1"/>
          <w:iCs w:val="1"/>
          <w:color w:val="auto"/>
        </w:rPr>
        <w:t>измерение АД на высоте эффекта АГТ</w:t>
      </w:r>
      <w:r>
        <w:rPr>
          <w:rFonts w:ascii="Arial" w:cs="Arial" w:eastAsia="Arial" w:hAnsi="Arial"/>
          <w:sz w:val="27"/>
          <w:szCs w:val="27"/>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7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right="220"/>
        <w:spacing w:after="0" w:line="343" w:lineRule="auto"/>
        <w:rPr>
          <w:sz w:val="20"/>
          <w:szCs w:val="20"/>
          <w:color w:val="auto"/>
        </w:rPr>
      </w:pPr>
      <w:r>
        <w:rPr>
          <w:rFonts w:ascii="Arial" w:cs="Arial" w:eastAsia="Arial" w:hAnsi="Arial"/>
          <w:sz w:val="25"/>
          <w:szCs w:val="25"/>
          <w:b w:val="1"/>
          <w:bCs w:val="1"/>
          <w:i w:val="1"/>
          <w:iCs w:val="1"/>
          <w:color w:val="auto"/>
        </w:rPr>
        <w:t>назначение нерациональных комбинаций АГП</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 неверном режиме и отсутствие интенсификации антигипертензивной терапии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недооценка наличия сопутствующей патологии</w:t>
      </w:r>
      <w:r>
        <w:rPr>
          <w:rFonts w:ascii="Arial" w:cs="Arial" w:eastAsia="Arial" w:hAnsi="Arial"/>
          <w:sz w:val="25"/>
          <w:szCs w:val="25"/>
          <w:b w:val="1"/>
          <w:bCs w:val="1"/>
          <w:i w:val="1"/>
          <w:iCs w:val="1"/>
          <w:color w:val="auto"/>
        </w:rPr>
        <w:t>,</w:t>
      </w:r>
      <w:r>
        <w:rPr>
          <w:rFonts w:ascii="Arial" w:cs="Arial" w:eastAsia="Arial" w:hAnsi="Arial"/>
          <w:sz w:val="25"/>
          <w:szCs w:val="25"/>
          <w:b w:val="1"/>
          <w:bCs w:val="1"/>
          <w:i w:val="1"/>
          <w:iCs w:val="1"/>
          <w:color w:val="auto"/>
        </w:rPr>
        <w:t xml:space="preserve"> влияющей на выбор антигипертензивной терапии</w:t>
      </w:r>
      <w:r>
        <w:rPr>
          <w:rFonts w:ascii="Arial" w:cs="Arial" w:eastAsia="Arial" w:hAnsi="Arial"/>
          <w:sz w:val="25"/>
          <w:szCs w:val="25"/>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-963295</wp:posOffset>
            </wp:positionV>
            <wp:extent cx="82550" cy="82550"/>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72">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-467360</wp:posOffset>
            </wp:positionV>
            <wp:extent cx="82550" cy="82550"/>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7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88" w:name="page89"/>
    <w:bookmarkEnd w:id="88"/>
    <w:p>
      <w:pPr>
        <w:ind w:left="360"/>
        <w:spacing w:after="0"/>
        <w:rPr>
          <w:sz w:val="20"/>
          <w:szCs w:val="20"/>
          <w:color w:val="auto"/>
        </w:rPr>
      </w:pPr>
      <w:r>
        <w:rPr>
          <w:rFonts w:ascii="Arial" w:cs="Arial" w:eastAsia="Arial" w:hAnsi="Arial"/>
          <w:sz w:val="27"/>
          <w:szCs w:val="27"/>
          <w:b w:val="1"/>
          <w:bCs w:val="1"/>
          <w:i w:val="1"/>
          <w:iCs w:val="1"/>
          <w:u w:val="single" w:color="auto"/>
          <w:color w:val="auto"/>
        </w:rPr>
        <w:t>при обеспечении преемственности</w:t>
      </w:r>
      <w:r>
        <w:rPr>
          <w:rFonts w:ascii="Arial" w:cs="Arial" w:eastAsia="Arial" w:hAnsi="Arial"/>
          <w:sz w:val="27"/>
          <w:szCs w:val="27"/>
          <w:b w:val="1"/>
          <w:bCs w:val="1"/>
          <w:i w:val="1"/>
          <w:iCs w:val="1"/>
          <w:u w:val="single" w:color="auto"/>
          <w:color w:val="auto"/>
        </w:rPr>
        <w:t>:</w:t>
      </w:r>
    </w:p>
    <w:p>
      <w:pPr>
        <w:spacing w:after="0" w:line="350" w:lineRule="exact"/>
        <w:rPr>
          <w:sz w:val="20"/>
          <w:szCs w:val="20"/>
          <w:color w:val="auto"/>
        </w:rPr>
      </w:pPr>
    </w:p>
    <w:p>
      <w:pPr>
        <w:ind w:left="680" w:right="580"/>
        <w:spacing w:after="0" w:line="372" w:lineRule="auto"/>
        <w:rPr>
          <w:sz w:val="20"/>
          <w:szCs w:val="20"/>
          <w:color w:val="auto"/>
        </w:rPr>
      </w:pPr>
      <w:r>
        <w:rPr>
          <w:rFonts w:ascii="Arial" w:cs="Arial" w:eastAsia="Arial" w:hAnsi="Arial"/>
          <w:sz w:val="24"/>
          <w:szCs w:val="24"/>
          <w:b w:val="1"/>
          <w:bCs w:val="1"/>
          <w:i w:val="1"/>
          <w:iCs w:val="1"/>
          <w:color w:val="auto"/>
        </w:rPr>
        <w:t>отсутствие назначения повторных визитов для контроля АД</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несвоевременная постановка на диспансерный учет</w:t>
      </w:r>
      <w:r>
        <w:rPr>
          <w:rFonts w:ascii="Arial" w:cs="Arial" w:eastAsia="Arial" w:hAnsi="Arial"/>
          <w:sz w:val="24"/>
          <w:szCs w:val="24"/>
          <w:b w:val="1"/>
          <w:bCs w:val="1"/>
          <w:i w:val="1"/>
          <w:iCs w:val="1"/>
          <w:color w:val="auto"/>
        </w:rPr>
        <w:t>;</w:t>
      </w:r>
      <w:r>
        <w:rPr>
          <w:rFonts w:ascii="Arial" w:cs="Arial" w:eastAsia="Arial" w:hAnsi="Arial"/>
          <w:sz w:val="24"/>
          <w:szCs w:val="24"/>
          <w:b w:val="1"/>
          <w:bCs w:val="1"/>
          <w:i w:val="1"/>
          <w:iCs w:val="1"/>
          <w:color w:val="auto"/>
        </w:rPr>
        <w:t xml:space="preserve"> нерегулярность диспансерных осмотров</w:t>
      </w:r>
      <w:r>
        <w:rPr>
          <w:rFonts w:ascii="Arial" w:cs="Arial" w:eastAsia="Arial" w:hAnsi="Arial"/>
          <w:sz w:val="24"/>
          <w:szCs w:val="24"/>
          <w:b w:val="1"/>
          <w:bCs w:val="1"/>
          <w:i w:val="1"/>
          <w:i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-734695</wp:posOffset>
            </wp:positionV>
            <wp:extent cx="82550" cy="82550"/>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4">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-487045</wp:posOffset>
            </wp:positionV>
            <wp:extent cx="82550" cy="82550"/>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75">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-238760</wp:posOffset>
            </wp:positionV>
            <wp:extent cx="82550" cy="82550"/>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1440" w:gutter="0" w:footer="0" w:header="0"/>
        </w:sectPr>
      </w:pPr>
    </w:p>
    <w:bookmarkStart w:id="89" w:name="page90"/>
    <w:bookmarkEnd w:id="89"/>
    <w:p>
      <w:pPr>
        <w:ind w:left="360"/>
        <w:spacing w:after="0"/>
        <w:rPr>
          <w:sz w:val="20"/>
          <w:szCs w:val="20"/>
          <w:color w:val="auto"/>
        </w:rPr>
      </w:pPr>
      <w:r>
        <w:rPr>
          <w:rFonts w:ascii="Arial" w:cs="Arial" w:eastAsia="Arial" w:hAnsi="Arial"/>
          <w:sz w:val="48"/>
          <w:szCs w:val="48"/>
          <w:b w:val="1"/>
          <w:bCs w:val="1"/>
          <w:color w:val="auto"/>
        </w:rPr>
        <w:t>Список литературы</w:t>
      </w:r>
    </w:p>
    <w:p>
      <w:pPr>
        <w:spacing w:after="0" w:line="200" w:lineRule="exact"/>
        <w:rPr>
          <w:sz w:val="20"/>
          <w:szCs w:val="20"/>
          <w:color w:val="auto"/>
        </w:rPr>
      </w:pPr>
    </w:p>
    <w:p>
      <w:pPr>
        <w:spacing w:after="0" w:line="277" w:lineRule="exact"/>
        <w:rPr>
          <w:sz w:val="20"/>
          <w:szCs w:val="20"/>
          <w:color w:val="auto"/>
        </w:rPr>
      </w:pPr>
    </w:p>
    <w:p>
      <w:pPr>
        <w:ind w:left="660" w:hanging="284"/>
        <w:spacing w:after="0"/>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Rosenberg WM, Gray JA et al. Evidence based medicine: what it is</w:t>
      </w:r>
    </w:p>
    <w:p>
      <w:pPr>
        <w:spacing w:after="0" w:line="79" w:lineRule="exact"/>
        <w:rPr>
          <w:rFonts w:ascii="Arial" w:cs="Arial" w:eastAsia="Arial" w:hAnsi="Arial"/>
          <w:sz w:val="27"/>
          <w:szCs w:val="27"/>
          <w:color w:val="auto"/>
        </w:rPr>
      </w:pPr>
    </w:p>
    <w:p>
      <w:pPr>
        <w:ind w:left="660"/>
        <w:spacing w:after="0"/>
        <w:rPr>
          <w:rFonts w:ascii="Arial" w:cs="Arial" w:eastAsia="Arial" w:hAnsi="Arial"/>
          <w:sz w:val="27"/>
          <w:szCs w:val="27"/>
          <w:color w:val="auto"/>
        </w:rPr>
      </w:pPr>
      <w:r>
        <w:rPr>
          <w:rFonts w:ascii="Arial" w:cs="Arial" w:eastAsia="Arial" w:hAnsi="Arial"/>
          <w:sz w:val="27"/>
          <w:szCs w:val="27"/>
          <w:color w:val="auto"/>
        </w:rPr>
        <w:t>and what it isn"t. BMJ 1996, January; 312 (7023): 71–72.</w:t>
      </w:r>
    </w:p>
    <w:p>
      <w:pPr>
        <w:spacing w:after="0" w:line="79"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Федеральный закон от 21.11.2011 № 323-ФЗ (ред. от 03.04.2017) «Об основах охраны здоровья граждан в Российской Федерации».</w:t>
      </w:r>
    </w:p>
    <w:p>
      <w:pPr>
        <w:spacing w:after="0" w:line="2"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Эпидемиологический словарь, 4-е издание. Под ред. Джона М. Ласта для Международной эпидемиологической ассоциации. М., 2009. 316 с.</w:t>
      </w:r>
    </w:p>
    <w:p>
      <w:pPr>
        <w:spacing w:after="0" w:line="2"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Федеральное агентство по техническому регулированию и метрологии. Национальный стандарт Российской Федерации. ГОСТР 52379-2005. Надлежащая клиническая практика. Москва, 2005</w:t>
      </w:r>
    </w:p>
    <w:p>
      <w:pPr>
        <w:spacing w:after="0" w:line="3" w:lineRule="exact"/>
        <w:rPr>
          <w:rFonts w:ascii="Arial" w:cs="Arial" w:eastAsia="Arial" w:hAnsi="Arial"/>
          <w:sz w:val="27"/>
          <w:szCs w:val="27"/>
          <w:color w:val="auto"/>
        </w:rPr>
      </w:pPr>
    </w:p>
    <w:p>
      <w:pPr>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Федеральный закон от 12.04.2010 № 61-ФЗ (ред. от 03.07.2016) «Об обращении лекарственных средств».</w:t>
      </w:r>
    </w:p>
    <w:p>
      <w:pPr>
        <w:spacing w:after="0" w:line="1"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Jansen RW, Lipsitz LA. Postprandial hypotension: epidemiology, pathophysiology, and clinical management. Ann Int Med 1995;122(4):286–295.</w:t>
      </w:r>
    </w:p>
    <w:p>
      <w:pPr>
        <w:spacing w:after="0" w:line="2" w:lineRule="exact"/>
        <w:rPr>
          <w:rFonts w:ascii="Arial" w:cs="Arial" w:eastAsia="Arial" w:hAnsi="Arial"/>
          <w:sz w:val="27"/>
          <w:szCs w:val="27"/>
          <w:color w:val="auto"/>
        </w:rPr>
      </w:pPr>
    </w:p>
    <w:p>
      <w:pPr>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Малая медицинская энциклопедия. М.: Медицинская энциклопедия, 1991—96 гг. [Электронный ресурс]. Режим доступа:http://dic.academic.ru/dic.nsf/enc_medicine/28878/ Синдром</w:t>
      </w:r>
    </w:p>
    <w:p>
      <w:pPr>
        <w:spacing w:after="0" w:line="3"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Андреева Н. С., Реброва О. Ю., Зорин Н. А. и др. Системы оценки достоверности научных доказательств и убедительности рекомендаций: сравнительная характеристика</w:t>
      </w:r>
    </w:p>
    <w:p>
      <w:pPr>
        <w:spacing w:after="0" w:line="2" w:lineRule="exact"/>
        <w:rPr>
          <w:rFonts w:ascii="Arial" w:cs="Arial" w:eastAsia="Arial" w:hAnsi="Arial"/>
          <w:sz w:val="27"/>
          <w:szCs w:val="27"/>
          <w:color w:val="auto"/>
        </w:rPr>
      </w:pPr>
    </w:p>
    <w:p>
      <w:pPr>
        <w:ind w:left="900" w:hanging="239"/>
        <w:spacing w:after="0"/>
        <w:tabs>
          <w:tab w:leader="none" w:pos="900" w:val="left"/>
        </w:tabs>
        <w:numPr>
          <w:ilvl w:val="1"/>
          <w:numId w:val="63"/>
        </w:numPr>
        <w:rPr>
          <w:rFonts w:ascii="Arial" w:cs="Arial" w:eastAsia="Arial" w:hAnsi="Arial"/>
          <w:sz w:val="27"/>
          <w:szCs w:val="27"/>
          <w:color w:val="auto"/>
        </w:rPr>
      </w:pPr>
      <w:r>
        <w:rPr>
          <w:rFonts w:ascii="Arial" w:cs="Arial" w:eastAsia="Arial" w:hAnsi="Arial"/>
          <w:sz w:val="27"/>
          <w:szCs w:val="27"/>
          <w:color w:val="auto"/>
        </w:rPr>
        <w:t>перспективы унификации. Медицинские технологии. Оценка</w:t>
      </w:r>
    </w:p>
    <w:p>
      <w:pPr>
        <w:spacing w:after="0" w:line="79" w:lineRule="exact"/>
        <w:rPr>
          <w:rFonts w:ascii="Arial" w:cs="Arial" w:eastAsia="Arial" w:hAnsi="Arial"/>
          <w:sz w:val="27"/>
          <w:szCs w:val="27"/>
          <w:color w:val="auto"/>
        </w:rPr>
      </w:pPr>
    </w:p>
    <w:p>
      <w:pPr>
        <w:ind w:left="900" w:hanging="239"/>
        <w:spacing w:after="0"/>
        <w:tabs>
          <w:tab w:leader="none" w:pos="900" w:val="left"/>
        </w:tabs>
        <w:numPr>
          <w:ilvl w:val="1"/>
          <w:numId w:val="63"/>
        </w:numPr>
        <w:rPr>
          <w:rFonts w:ascii="Arial" w:cs="Arial" w:eastAsia="Arial" w:hAnsi="Arial"/>
          <w:sz w:val="27"/>
          <w:szCs w:val="27"/>
          <w:color w:val="auto"/>
        </w:rPr>
      </w:pPr>
      <w:r>
        <w:rPr>
          <w:rFonts w:ascii="Arial" w:cs="Arial" w:eastAsia="Arial" w:hAnsi="Arial"/>
          <w:sz w:val="27"/>
          <w:szCs w:val="27"/>
          <w:color w:val="auto"/>
        </w:rPr>
        <w:t>выбор. 2012. №. 4. С. 10–24.</w:t>
      </w:r>
    </w:p>
    <w:p>
      <w:pPr>
        <w:spacing w:after="0" w:line="79" w:lineRule="exact"/>
        <w:rPr>
          <w:rFonts w:ascii="Arial" w:cs="Arial" w:eastAsia="Arial" w:hAnsi="Arial"/>
          <w:sz w:val="27"/>
          <w:szCs w:val="27"/>
          <w:color w:val="auto"/>
        </w:rPr>
      </w:pPr>
    </w:p>
    <w:p>
      <w:pPr>
        <w:jc w:val="both"/>
        <w:ind w:left="660" w:right="220" w:hanging="28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Общероссийская общественная организация «Российская ассоциация геронтологов и гериатров». Клинические рекомендации «Старческая астения». 2018.</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Rapsomaniki E et al. Blood pressure and incidence of twelve cardiovascular diseases: lifetime risks, healthy life-years lost, and age-specific associations in 1• 25 million people. The Lancet 383.9932 (2014):1899–1911.</w:t>
      </w:r>
    </w:p>
    <w:p>
      <w:pPr>
        <w:spacing w:after="0" w:line="3" w:lineRule="exact"/>
        <w:rPr>
          <w:rFonts w:ascii="Arial" w:cs="Arial" w:eastAsia="Arial" w:hAnsi="Arial"/>
          <w:sz w:val="27"/>
          <w:szCs w:val="27"/>
          <w:color w:val="auto"/>
        </w:rPr>
      </w:pPr>
    </w:p>
    <w:p>
      <w:pPr>
        <w:ind w:left="660" w:right="220" w:hanging="434"/>
        <w:spacing w:after="0" w:line="301"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Ehret GB, Caulfield MJ. Genes for blood pressure: an opportunity to understand hypertension. Eur Heart J 2013;34:951–961.</w:t>
      </w:r>
    </w:p>
    <w:p>
      <w:pPr>
        <w:spacing w:after="0" w:line="1" w:lineRule="exact"/>
        <w:rPr>
          <w:rFonts w:ascii="Arial" w:cs="Arial" w:eastAsia="Arial" w:hAnsi="Arial"/>
          <w:sz w:val="27"/>
          <w:szCs w:val="27"/>
          <w:color w:val="auto"/>
        </w:rPr>
      </w:pPr>
    </w:p>
    <w:p>
      <w:pPr>
        <w:jc w:val="both"/>
        <w:ind w:left="660" w:right="220" w:hanging="434"/>
        <w:spacing w:after="0" w:line="334" w:lineRule="auto"/>
        <w:tabs>
          <w:tab w:leader="none" w:pos="660" w:val="left"/>
        </w:tabs>
        <w:numPr>
          <w:ilvl w:val="0"/>
          <w:numId w:val="63"/>
        </w:numPr>
        <w:rPr>
          <w:rFonts w:ascii="Arial" w:cs="Arial" w:eastAsia="Arial" w:hAnsi="Arial"/>
          <w:sz w:val="27"/>
          <w:szCs w:val="27"/>
          <w:color w:val="auto"/>
        </w:rPr>
      </w:pPr>
      <w:r>
        <w:rPr>
          <w:rFonts w:ascii="Arial" w:cs="Arial" w:eastAsia="Arial" w:hAnsi="Arial"/>
          <w:sz w:val="27"/>
          <w:szCs w:val="27"/>
          <w:color w:val="auto"/>
        </w:rPr>
        <w:t>Elliott P, Stamler J, Nichols R, et al. Intersalt revisited: further analyses of 24 hour sodium excretion and blood . pressure within</w:t>
      </w:r>
    </w:p>
    <w:p>
      <w:pPr>
        <w:sectPr>
          <w:pgSz w:w="11900" w:h="16840" w:orient="portrait"/>
          <w:cols w:equalWidth="0" w:num="1">
            <w:col w:w="9020"/>
          </w:cols>
          <w:pgMar w:left="1440" w:top="671" w:right="1440" w:bottom="55" w:gutter="0" w:footer="0" w:header="0"/>
        </w:sectPr>
      </w:pPr>
    </w:p>
    <w:bookmarkStart w:id="90" w:name="page91"/>
    <w:bookmarkEnd w:id="90"/>
    <w:p>
      <w:pPr>
        <w:spacing w:after="0" w:line="197" w:lineRule="exact"/>
        <w:rPr>
          <w:sz w:val="20"/>
          <w:szCs w:val="20"/>
          <w:color w:val="auto"/>
        </w:rPr>
      </w:pPr>
    </w:p>
    <w:p>
      <w:pPr>
        <w:ind w:left="660"/>
        <w:spacing w:after="0"/>
        <w:rPr>
          <w:sz w:val="20"/>
          <w:szCs w:val="20"/>
          <w:color w:val="auto"/>
        </w:rPr>
      </w:pPr>
      <w:r>
        <w:rPr>
          <w:rFonts w:ascii="Arial" w:cs="Arial" w:eastAsia="Arial" w:hAnsi="Arial"/>
          <w:sz w:val="27"/>
          <w:szCs w:val="27"/>
          <w:color w:val="auto"/>
        </w:rPr>
        <w:t>and across populations. Intersalt Cooperative Research Group. .</w:t>
      </w:r>
    </w:p>
    <w:p>
      <w:pPr>
        <w:spacing w:after="0" w:line="80" w:lineRule="exact"/>
        <w:rPr>
          <w:sz w:val="20"/>
          <w:szCs w:val="20"/>
          <w:color w:val="auto"/>
        </w:rPr>
      </w:pPr>
    </w:p>
    <w:p>
      <w:pPr>
        <w:ind w:left="660"/>
        <w:spacing w:after="0"/>
        <w:rPr>
          <w:sz w:val="20"/>
          <w:szCs w:val="20"/>
          <w:color w:val="auto"/>
        </w:rPr>
      </w:pPr>
      <w:r>
        <w:rPr>
          <w:rFonts w:ascii="Arial" w:cs="Arial" w:eastAsia="Arial" w:hAnsi="Arial"/>
          <w:sz w:val="27"/>
          <w:szCs w:val="27"/>
          <w:color w:val="auto"/>
        </w:rPr>
        <w:t>BMJ 1996;312:1249–1253.</w:t>
      </w:r>
    </w:p>
    <w:p>
      <w:pPr>
        <w:spacing w:after="0" w:line="80" w:lineRule="exact"/>
        <w:rPr>
          <w:sz w:val="20"/>
          <w:szCs w:val="20"/>
          <w:color w:val="auto"/>
        </w:rPr>
      </w:pPr>
    </w:p>
    <w:p>
      <w:pPr>
        <w:jc w:val="both"/>
        <w:ind w:left="660" w:right="220" w:hanging="434"/>
        <w:spacing w:after="0" w:line="343" w:lineRule="auto"/>
        <w:rPr>
          <w:sz w:val="20"/>
          <w:szCs w:val="20"/>
          <w:color w:val="auto"/>
        </w:rPr>
      </w:pPr>
      <w:r>
        <w:rPr>
          <w:rFonts w:ascii="Arial" w:cs="Arial" w:eastAsia="Arial" w:hAnsi="Arial"/>
          <w:sz w:val="27"/>
          <w:szCs w:val="27"/>
          <w:color w:val="auto"/>
        </w:rPr>
        <w:t xml:space="preserve">13. </w:t>
      </w:r>
      <w:r>
        <w:rPr>
          <w:rFonts w:ascii="Arial" w:cs="Arial" w:eastAsia="Arial" w:hAnsi="Arial"/>
          <w:sz w:val="27"/>
          <w:szCs w:val="27"/>
          <w:color w:val="auto"/>
        </w:rPr>
        <w:t>Кушаковский</w:t>
      </w:r>
      <w:r>
        <w:rPr>
          <w:sz w:val="20"/>
          <w:szCs w:val="20"/>
          <w:color w:val="auto"/>
        </w:rPr>
        <w:t xml:space="preserve"> </w:t>
      </w:r>
      <w:r>
        <w:rPr>
          <w:rFonts w:ascii="Arial" w:cs="Arial" w:eastAsia="Arial" w:hAnsi="Arial"/>
          <w:sz w:val="27"/>
          <w:szCs w:val="27"/>
          <w:color w:val="auto"/>
        </w:rPr>
        <w:t>М</w:t>
      </w:r>
      <w:r>
        <w:rPr>
          <w:rFonts w:ascii="Arial" w:cs="Arial" w:eastAsia="Arial" w:hAnsi="Arial"/>
          <w:sz w:val="27"/>
          <w:szCs w:val="27"/>
          <w:color w:val="auto"/>
        </w:rPr>
        <w:t>.</w:t>
      </w:r>
      <w:r>
        <w:rPr>
          <w:rFonts w:ascii="Arial" w:cs="Arial" w:eastAsia="Arial" w:hAnsi="Arial"/>
          <w:sz w:val="27"/>
          <w:szCs w:val="27"/>
          <w:color w:val="auto"/>
        </w:rPr>
        <w:t xml:space="preserve"> С</w:t>
      </w:r>
      <w:r>
        <w:rPr>
          <w:rFonts w:ascii="Arial" w:cs="Arial" w:eastAsia="Arial" w:hAnsi="Arial"/>
          <w:sz w:val="27"/>
          <w:szCs w:val="27"/>
          <w:color w:val="auto"/>
        </w:rPr>
        <w:t>.</w:t>
      </w:r>
      <w:r>
        <w:rPr>
          <w:rFonts w:ascii="Arial" w:cs="Arial" w:eastAsia="Arial" w:hAnsi="Arial"/>
          <w:sz w:val="27"/>
          <w:szCs w:val="27"/>
          <w:color w:val="auto"/>
        </w:rPr>
        <w:t xml:space="preserve"> Эссенциальная гипертензия </w:t>
      </w:r>
      <w:r>
        <w:rPr>
          <w:rFonts w:ascii="Arial" w:cs="Arial" w:eastAsia="Arial" w:hAnsi="Arial"/>
          <w:sz w:val="27"/>
          <w:szCs w:val="27"/>
          <w:color w:val="auto"/>
        </w:rPr>
        <w:t>(</w:t>
      </w:r>
      <w:r>
        <w:rPr>
          <w:rFonts w:ascii="Arial" w:cs="Arial" w:eastAsia="Arial" w:hAnsi="Arial"/>
          <w:sz w:val="27"/>
          <w:szCs w:val="27"/>
          <w:color w:val="auto"/>
        </w:rPr>
        <w:t>гипертоническая болезнь</w:t>
      </w:r>
      <w:r>
        <w:rPr>
          <w:rFonts w:ascii="Arial" w:cs="Arial" w:eastAsia="Arial" w:hAnsi="Arial"/>
          <w:sz w:val="27"/>
          <w:szCs w:val="27"/>
          <w:color w:val="auto"/>
        </w:rPr>
        <w:t xml:space="preserve">). </w:t>
      </w:r>
      <w:r>
        <w:rPr>
          <w:rFonts w:ascii="Arial" w:cs="Arial" w:eastAsia="Arial" w:hAnsi="Arial"/>
          <w:sz w:val="27"/>
          <w:szCs w:val="27"/>
          <w:color w:val="auto"/>
        </w:rPr>
        <w:t>Причины</w:t>
      </w:r>
      <w:r>
        <w:rPr>
          <w:rFonts w:ascii="Arial" w:cs="Arial" w:eastAsia="Arial" w:hAnsi="Arial"/>
          <w:sz w:val="27"/>
          <w:szCs w:val="27"/>
          <w:color w:val="auto"/>
        </w:rPr>
        <w:t xml:space="preserve">, </w:t>
      </w:r>
      <w:r>
        <w:rPr>
          <w:rFonts w:ascii="Arial" w:cs="Arial" w:eastAsia="Arial" w:hAnsi="Arial"/>
          <w:sz w:val="27"/>
          <w:szCs w:val="27"/>
          <w:color w:val="auto"/>
        </w:rPr>
        <w:t>механизмы</w:t>
      </w:r>
      <w:r>
        <w:rPr>
          <w:rFonts w:ascii="Arial" w:cs="Arial" w:eastAsia="Arial" w:hAnsi="Arial"/>
          <w:sz w:val="27"/>
          <w:szCs w:val="27"/>
          <w:color w:val="auto"/>
        </w:rPr>
        <w:t xml:space="preserve">, </w:t>
      </w:r>
      <w:r>
        <w:rPr>
          <w:rFonts w:ascii="Arial" w:cs="Arial" w:eastAsia="Arial" w:hAnsi="Arial"/>
          <w:sz w:val="27"/>
          <w:szCs w:val="27"/>
          <w:color w:val="auto"/>
        </w:rPr>
        <w:t>клиника</w:t>
      </w:r>
      <w:r>
        <w:rPr>
          <w:rFonts w:ascii="Arial" w:cs="Arial" w:eastAsia="Arial" w:hAnsi="Arial"/>
          <w:sz w:val="27"/>
          <w:szCs w:val="27"/>
          <w:color w:val="auto"/>
        </w:rPr>
        <w:t xml:space="preserve">, </w:t>
      </w:r>
      <w:r>
        <w:rPr>
          <w:rFonts w:ascii="Arial" w:cs="Arial" w:eastAsia="Arial" w:hAnsi="Arial"/>
          <w:sz w:val="27"/>
          <w:szCs w:val="27"/>
          <w:color w:val="auto"/>
        </w:rPr>
        <w:t>лечение</w:t>
      </w:r>
      <w:r>
        <w:rPr>
          <w:rFonts w:ascii="Arial" w:cs="Arial" w:eastAsia="Arial" w:hAnsi="Arial"/>
          <w:sz w:val="27"/>
          <w:szCs w:val="27"/>
          <w:color w:val="auto"/>
        </w:rPr>
        <w:t>.</w:t>
      </w:r>
      <w:r>
        <w:rPr>
          <w:rFonts w:ascii="Arial" w:cs="Arial" w:eastAsia="Arial" w:hAnsi="Arial"/>
          <w:sz w:val="27"/>
          <w:szCs w:val="27"/>
          <w:color w:val="auto"/>
        </w:rPr>
        <w:t xml:space="preserve"> СПб</w:t>
      </w:r>
      <w:r>
        <w:rPr>
          <w:rFonts w:ascii="Arial" w:cs="Arial" w:eastAsia="Arial" w:hAnsi="Arial"/>
          <w:sz w:val="27"/>
          <w:szCs w:val="27"/>
          <w:color w:val="auto"/>
        </w:rPr>
        <w:t>., 2002.</w:t>
      </w:r>
    </w:p>
    <w:p>
      <w:pPr>
        <w:spacing w:after="0" w:line="283" w:lineRule="exact"/>
        <w:rPr>
          <w:sz w:val="20"/>
          <w:szCs w:val="20"/>
          <w:color w:val="auto"/>
        </w:rPr>
      </w:pPr>
    </w:p>
    <w:p>
      <w:pPr>
        <w:ind w:left="660" w:hanging="434"/>
        <w:spacing w:after="0"/>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Ланг Г</w:t>
      </w:r>
      <w:r>
        <w:rPr>
          <w:rFonts w:ascii="Arial" w:cs="Arial" w:eastAsia="Arial" w:hAnsi="Arial"/>
          <w:sz w:val="27"/>
          <w:szCs w:val="27"/>
          <w:color w:val="auto"/>
        </w:rPr>
        <w:t>.</w:t>
      </w:r>
      <w:r>
        <w:rPr>
          <w:rFonts w:ascii="Arial" w:cs="Arial" w:eastAsia="Arial" w:hAnsi="Arial"/>
          <w:sz w:val="27"/>
          <w:szCs w:val="27"/>
          <w:color w:val="auto"/>
        </w:rPr>
        <w:t xml:space="preserve"> Ф</w:t>
      </w:r>
      <w:r>
        <w:rPr>
          <w:rFonts w:ascii="Arial" w:cs="Arial" w:eastAsia="Arial" w:hAnsi="Arial"/>
          <w:sz w:val="27"/>
          <w:szCs w:val="27"/>
          <w:color w:val="auto"/>
        </w:rPr>
        <w:t>.</w:t>
      </w:r>
      <w:r>
        <w:rPr>
          <w:rFonts w:ascii="Arial" w:cs="Arial" w:eastAsia="Arial" w:hAnsi="Arial"/>
          <w:sz w:val="27"/>
          <w:szCs w:val="27"/>
          <w:color w:val="auto"/>
        </w:rPr>
        <w:t xml:space="preserve"> Гипертоническая болезнь</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r>
        <w:rPr>
          <w:rFonts w:ascii="Arial" w:cs="Arial" w:eastAsia="Arial" w:hAnsi="Arial"/>
          <w:sz w:val="27"/>
          <w:szCs w:val="27"/>
          <w:color w:val="auto"/>
        </w:rPr>
        <w:t xml:space="preserve"> Медгиз</w:t>
      </w:r>
      <w:r>
        <w:rPr>
          <w:rFonts w:ascii="Arial" w:cs="Arial" w:eastAsia="Arial" w:hAnsi="Arial"/>
          <w:sz w:val="27"/>
          <w:szCs w:val="27"/>
          <w:color w:val="auto"/>
        </w:rPr>
        <w:t>, 1950. 459</w:t>
      </w:r>
      <w:r>
        <w:rPr>
          <w:rFonts w:ascii="Arial" w:cs="Arial" w:eastAsia="Arial" w:hAnsi="Arial"/>
          <w:sz w:val="27"/>
          <w:szCs w:val="27"/>
          <w:color w:val="auto"/>
        </w:rPr>
        <w:t xml:space="preserve"> с</w:t>
      </w:r>
      <w:r>
        <w:rPr>
          <w:rFonts w:ascii="Arial" w:cs="Arial" w:eastAsia="Arial" w:hAnsi="Arial"/>
          <w:sz w:val="27"/>
          <w:szCs w:val="27"/>
          <w:color w:val="auto"/>
        </w:rPr>
        <w:t>.</w:t>
      </w:r>
    </w:p>
    <w:p>
      <w:pPr>
        <w:spacing w:after="0" w:line="79" w:lineRule="exact"/>
        <w:rPr>
          <w:rFonts w:ascii="Arial" w:cs="Arial" w:eastAsia="Arial" w:hAnsi="Arial"/>
          <w:sz w:val="27"/>
          <w:szCs w:val="27"/>
          <w:color w:val="auto"/>
        </w:rPr>
      </w:pPr>
    </w:p>
    <w:p>
      <w:pPr>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Постнов Ю</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r>
        <w:rPr>
          <w:rFonts w:ascii="Arial" w:cs="Arial" w:eastAsia="Arial" w:hAnsi="Arial"/>
          <w:sz w:val="27"/>
          <w:szCs w:val="27"/>
          <w:color w:val="auto"/>
        </w:rPr>
        <w:t xml:space="preserve"> Орлов С</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r>
        <w:rPr>
          <w:rFonts w:ascii="Arial" w:cs="Arial" w:eastAsia="Arial" w:hAnsi="Arial"/>
          <w:sz w:val="27"/>
          <w:szCs w:val="27"/>
          <w:color w:val="auto"/>
        </w:rPr>
        <w:t xml:space="preserve"> Первичная гипертензия как патология клеточных мембран</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r>
        <w:rPr>
          <w:rFonts w:ascii="Arial" w:cs="Arial" w:eastAsia="Arial" w:hAnsi="Arial"/>
          <w:sz w:val="27"/>
          <w:szCs w:val="27"/>
          <w:color w:val="auto"/>
        </w:rPr>
        <w:t xml:space="preserve"> Медицина</w:t>
      </w:r>
      <w:r>
        <w:rPr>
          <w:rFonts w:ascii="Arial" w:cs="Arial" w:eastAsia="Arial" w:hAnsi="Arial"/>
          <w:sz w:val="27"/>
          <w:szCs w:val="27"/>
          <w:color w:val="auto"/>
        </w:rPr>
        <w:t>, 1987. 192</w:t>
      </w:r>
      <w:r>
        <w:rPr>
          <w:rFonts w:ascii="Arial" w:cs="Arial" w:eastAsia="Arial" w:hAnsi="Arial"/>
          <w:sz w:val="27"/>
          <w:szCs w:val="27"/>
          <w:color w:val="auto"/>
        </w:rPr>
        <w:t xml:space="preserve"> с</w:t>
      </w:r>
      <w:r>
        <w:rPr>
          <w:rFonts w:ascii="Arial" w:cs="Arial" w:eastAsia="Arial" w:hAnsi="Arial"/>
          <w:sz w:val="27"/>
          <w:szCs w:val="27"/>
          <w:color w:val="auto"/>
        </w:rPr>
        <w:t>.</w:t>
      </w:r>
    </w:p>
    <w:p>
      <w:pPr>
        <w:spacing w:after="0" w:line="1" w:lineRule="exact"/>
        <w:rPr>
          <w:rFonts w:ascii="Arial" w:cs="Arial" w:eastAsia="Arial" w:hAnsi="Arial"/>
          <w:sz w:val="27"/>
          <w:szCs w:val="27"/>
          <w:color w:val="auto"/>
        </w:rPr>
      </w:pPr>
    </w:p>
    <w:p>
      <w:pPr>
        <w:ind w:left="660" w:hanging="434"/>
        <w:spacing w:after="0"/>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Мясников А</w:t>
      </w:r>
      <w:r>
        <w:rPr>
          <w:rFonts w:ascii="Arial" w:cs="Arial" w:eastAsia="Arial" w:hAnsi="Arial"/>
          <w:sz w:val="27"/>
          <w:szCs w:val="27"/>
          <w:color w:val="auto"/>
        </w:rPr>
        <w:t>.</w:t>
      </w:r>
      <w:r>
        <w:rPr>
          <w:rFonts w:ascii="Arial" w:cs="Arial" w:eastAsia="Arial" w:hAnsi="Arial"/>
          <w:sz w:val="27"/>
          <w:szCs w:val="27"/>
          <w:color w:val="auto"/>
        </w:rPr>
        <w:t xml:space="preserve"> Л</w:t>
      </w:r>
      <w:r>
        <w:rPr>
          <w:rFonts w:ascii="Arial" w:cs="Arial" w:eastAsia="Arial" w:hAnsi="Arial"/>
          <w:sz w:val="27"/>
          <w:szCs w:val="27"/>
          <w:color w:val="auto"/>
        </w:rPr>
        <w:t>.</w:t>
      </w:r>
      <w:r>
        <w:rPr>
          <w:rFonts w:ascii="Arial" w:cs="Arial" w:eastAsia="Arial" w:hAnsi="Arial"/>
          <w:sz w:val="27"/>
          <w:szCs w:val="27"/>
          <w:color w:val="auto"/>
        </w:rPr>
        <w:t xml:space="preserve"> Гипертоническая болезнь</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r>
        <w:rPr>
          <w:rFonts w:ascii="Arial" w:cs="Arial" w:eastAsia="Arial" w:hAnsi="Arial"/>
          <w:sz w:val="27"/>
          <w:szCs w:val="27"/>
          <w:color w:val="auto"/>
        </w:rPr>
        <w:t xml:space="preserve"> Медгиз</w:t>
      </w:r>
      <w:r>
        <w:rPr>
          <w:rFonts w:ascii="Arial" w:cs="Arial" w:eastAsia="Arial" w:hAnsi="Arial"/>
          <w:sz w:val="27"/>
          <w:szCs w:val="27"/>
          <w:color w:val="auto"/>
        </w:rPr>
        <w:t>, 1954.</w:t>
      </w:r>
    </w:p>
    <w:p>
      <w:pPr>
        <w:spacing w:after="0" w:line="79"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 xml:space="preserve">Распространенность факторов риска неинфекционных заболеваний в российской популяции в </w:t>
      </w:r>
      <w:r>
        <w:rPr>
          <w:rFonts w:ascii="Arial" w:cs="Arial" w:eastAsia="Arial" w:hAnsi="Arial"/>
          <w:sz w:val="27"/>
          <w:szCs w:val="27"/>
          <w:color w:val="auto"/>
        </w:rPr>
        <w:t>2012–2013</w:t>
      </w:r>
      <w:r>
        <w:rPr>
          <w:rFonts w:ascii="Arial" w:cs="Arial" w:eastAsia="Arial" w:hAnsi="Arial"/>
          <w:sz w:val="27"/>
          <w:szCs w:val="27"/>
          <w:color w:val="auto"/>
        </w:rPr>
        <w:t xml:space="preserve"> гг</w:t>
      </w:r>
      <w:r>
        <w:rPr>
          <w:rFonts w:ascii="Arial" w:cs="Arial" w:eastAsia="Arial" w:hAnsi="Arial"/>
          <w:sz w:val="27"/>
          <w:szCs w:val="27"/>
          <w:color w:val="auto"/>
        </w:rPr>
        <w:t>.</w:t>
      </w:r>
      <w:r>
        <w:rPr>
          <w:rFonts w:ascii="Arial" w:cs="Arial" w:eastAsia="Arial" w:hAnsi="Arial"/>
          <w:sz w:val="27"/>
          <w:szCs w:val="27"/>
          <w:color w:val="auto"/>
        </w:rPr>
        <w:t xml:space="preserve"> Результаты исследования ЭССЕ</w:t>
      </w:r>
      <w:r>
        <w:rPr>
          <w:rFonts w:ascii="Arial" w:cs="Arial" w:eastAsia="Arial" w:hAnsi="Arial"/>
          <w:sz w:val="27"/>
          <w:szCs w:val="27"/>
          <w:color w:val="auto"/>
        </w:rPr>
        <w:t>-</w:t>
      </w:r>
      <w:r>
        <w:rPr>
          <w:rFonts w:ascii="Arial" w:cs="Arial" w:eastAsia="Arial" w:hAnsi="Arial"/>
          <w:sz w:val="27"/>
          <w:szCs w:val="27"/>
          <w:color w:val="auto"/>
        </w:rPr>
        <w:t>РФ</w:t>
      </w:r>
      <w:r>
        <w:rPr>
          <w:rFonts w:ascii="Arial" w:cs="Arial" w:eastAsia="Arial" w:hAnsi="Arial"/>
          <w:sz w:val="27"/>
          <w:szCs w:val="27"/>
          <w:color w:val="auto"/>
        </w:rPr>
        <w:t>.</w:t>
      </w:r>
      <w:r>
        <w:rPr>
          <w:rFonts w:ascii="Arial" w:cs="Arial" w:eastAsia="Arial" w:hAnsi="Arial"/>
          <w:sz w:val="27"/>
          <w:szCs w:val="27"/>
          <w:color w:val="auto"/>
        </w:rPr>
        <w:t xml:space="preserve"> Кардиоваскулярная терапия и профилактика </w:t>
      </w:r>
      <w:r>
        <w:rPr>
          <w:rFonts w:ascii="Arial" w:cs="Arial" w:eastAsia="Arial" w:hAnsi="Arial"/>
          <w:sz w:val="27"/>
          <w:szCs w:val="27"/>
          <w:color w:val="auto"/>
        </w:rPr>
        <w:t>2014; 13(6):4–11.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Бойцов С</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r>
        <w:rPr>
          <w:rFonts w:ascii="Arial" w:cs="Arial" w:eastAsia="Arial" w:hAnsi="Arial"/>
          <w:sz w:val="27"/>
          <w:szCs w:val="27"/>
          <w:color w:val="auto"/>
        </w:rPr>
        <w:t xml:space="preserve"> Баланова Ю</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r>
        <w:rPr>
          <w:rFonts w:ascii="Arial" w:cs="Arial" w:eastAsia="Arial" w:hAnsi="Arial"/>
          <w:sz w:val="27"/>
          <w:szCs w:val="27"/>
          <w:color w:val="auto"/>
        </w:rPr>
        <w:t xml:space="preserve"> Шальнова С</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r>
        <w:rPr>
          <w:rFonts w:ascii="Arial" w:cs="Arial" w:eastAsia="Arial" w:hAnsi="Arial"/>
          <w:sz w:val="27"/>
          <w:szCs w:val="27"/>
          <w:color w:val="auto"/>
        </w:rPr>
        <w:t xml:space="preserve"> Деев А</w:t>
      </w:r>
      <w:r>
        <w:rPr>
          <w:rFonts w:ascii="Arial" w:cs="Arial" w:eastAsia="Arial" w:hAnsi="Arial"/>
          <w:sz w:val="27"/>
          <w:szCs w:val="27"/>
          <w:color w:val="auto"/>
        </w:rPr>
        <w:t>.</w:t>
      </w:r>
      <w:r>
        <w:rPr>
          <w:rFonts w:ascii="Arial" w:cs="Arial" w:eastAsia="Arial" w:hAnsi="Arial"/>
          <w:sz w:val="27"/>
          <w:szCs w:val="27"/>
          <w:color w:val="auto"/>
        </w:rPr>
        <w:t xml:space="preserve"> Д</w:t>
      </w:r>
      <w:r>
        <w:rPr>
          <w:rFonts w:ascii="Arial" w:cs="Arial" w:eastAsia="Arial" w:hAnsi="Arial"/>
          <w:sz w:val="27"/>
          <w:szCs w:val="27"/>
          <w:color w:val="auto"/>
        </w:rPr>
        <w:t>.</w:t>
      </w:r>
      <w:r>
        <w:rPr>
          <w:rFonts w:ascii="Arial" w:cs="Arial" w:eastAsia="Arial" w:hAnsi="Arial"/>
          <w:sz w:val="27"/>
          <w:szCs w:val="27"/>
          <w:color w:val="auto"/>
        </w:rPr>
        <w:t xml:space="preserve"> и др</w:t>
      </w:r>
      <w:r>
        <w:rPr>
          <w:rFonts w:ascii="Arial" w:cs="Arial" w:eastAsia="Arial" w:hAnsi="Arial"/>
          <w:sz w:val="27"/>
          <w:szCs w:val="27"/>
          <w:color w:val="auto"/>
        </w:rPr>
        <w:t>.</w:t>
      </w:r>
      <w:r>
        <w:rPr>
          <w:rFonts w:ascii="Arial" w:cs="Arial" w:eastAsia="Arial" w:hAnsi="Arial"/>
          <w:sz w:val="27"/>
          <w:szCs w:val="27"/>
          <w:color w:val="auto"/>
        </w:rPr>
        <w:t xml:space="preserve"> Артериальная гипертония среди лиц </w:t>
      </w:r>
      <w:r>
        <w:rPr>
          <w:rFonts w:ascii="Arial" w:cs="Arial" w:eastAsia="Arial" w:hAnsi="Arial"/>
          <w:sz w:val="27"/>
          <w:szCs w:val="27"/>
          <w:color w:val="auto"/>
        </w:rPr>
        <w:t>25–64</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распространенность</w:t>
      </w:r>
      <w:r>
        <w:rPr>
          <w:rFonts w:ascii="Arial" w:cs="Arial" w:eastAsia="Arial" w:hAnsi="Arial"/>
          <w:sz w:val="27"/>
          <w:szCs w:val="27"/>
          <w:color w:val="auto"/>
        </w:rPr>
        <w:t>,</w:t>
      </w:r>
      <w:r>
        <w:rPr>
          <w:rFonts w:ascii="Arial" w:cs="Arial" w:eastAsia="Arial" w:hAnsi="Arial"/>
          <w:sz w:val="27"/>
          <w:szCs w:val="27"/>
          <w:color w:val="auto"/>
        </w:rPr>
        <w:t xml:space="preserve"> осведомленность</w:t>
      </w:r>
      <w:r>
        <w:rPr>
          <w:rFonts w:ascii="Arial" w:cs="Arial" w:eastAsia="Arial" w:hAnsi="Arial"/>
          <w:sz w:val="27"/>
          <w:szCs w:val="27"/>
          <w:color w:val="auto"/>
        </w:rPr>
        <w:t>,</w:t>
      </w:r>
      <w:r>
        <w:rPr>
          <w:rFonts w:ascii="Arial" w:cs="Arial" w:eastAsia="Arial" w:hAnsi="Arial"/>
          <w:sz w:val="27"/>
          <w:szCs w:val="27"/>
          <w:color w:val="auto"/>
        </w:rPr>
        <w:t xml:space="preserve"> лечение и контроль</w:t>
      </w:r>
      <w:r>
        <w:rPr>
          <w:rFonts w:ascii="Arial" w:cs="Arial" w:eastAsia="Arial" w:hAnsi="Arial"/>
          <w:sz w:val="27"/>
          <w:szCs w:val="27"/>
          <w:color w:val="auto"/>
        </w:rPr>
        <w:t>.</w:t>
      </w:r>
      <w:r>
        <w:rPr>
          <w:rFonts w:ascii="Arial" w:cs="Arial" w:eastAsia="Arial" w:hAnsi="Arial"/>
          <w:sz w:val="27"/>
          <w:szCs w:val="27"/>
          <w:color w:val="auto"/>
        </w:rPr>
        <w:t xml:space="preserve"> По материалам исследования ЭССЕ</w:t>
      </w:r>
      <w:r>
        <w:rPr>
          <w:rFonts w:ascii="Arial" w:cs="Arial" w:eastAsia="Arial" w:hAnsi="Arial"/>
          <w:sz w:val="27"/>
          <w:szCs w:val="27"/>
          <w:color w:val="auto"/>
        </w:rPr>
        <w:t>.</w:t>
      </w:r>
      <w:r>
        <w:rPr>
          <w:rFonts w:ascii="Arial" w:cs="Arial" w:eastAsia="Arial" w:hAnsi="Arial"/>
          <w:sz w:val="27"/>
          <w:szCs w:val="27"/>
          <w:color w:val="auto"/>
        </w:rPr>
        <w:t xml:space="preserve"> Кардиоваскулярная терапия и профилактика</w:t>
      </w:r>
      <w:r>
        <w:rPr>
          <w:rFonts w:ascii="Arial" w:cs="Arial" w:eastAsia="Arial" w:hAnsi="Arial"/>
          <w:sz w:val="27"/>
          <w:szCs w:val="27"/>
          <w:color w:val="auto"/>
        </w:rPr>
        <w:t>. 2014;4:4-14.do1.org/10.15829/1728-8800-2014-4-4-14.</w:t>
      </w:r>
    </w:p>
    <w:p>
      <w:pPr>
        <w:spacing w:after="0" w:line="4"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Kearney PM, Whelton M, Reynolds K, et al. Global burden of hypertension: analysis of worldwide data. Lancet 2005;365:217– 223.</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Franklin SS, Lopez VA, Wong ND, et al. Single versus combined blood pressure components and risk for cardiovascular disease: the Framingham Heart Study. Circulation 2009;119:243–250.</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Williams B, Mancia G, Spiering W et al. 2018 ESC/ESH Guidelines for the management of arterial hypertension: The Task Force for the management of arterial hypertension of the European Society of Cardiology and the European Society of Hypertension: The Task Force for the management of arterial hypertension of the European Society of Cardiology and the European Society of Hypertension. JHypertens 2018;36(10):1953–2041.</w:t>
      </w:r>
    </w:p>
    <w:p>
      <w:pPr>
        <w:spacing w:after="0" w:line="5"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Чазова И</w:t>
      </w:r>
      <w:r>
        <w:rPr>
          <w:rFonts w:ascii="Arial" w:cs="Arial" w:eastAsia="Arial" w:hAnsi="Arial"/>
          <w:sz w:val="27"/>
          <w:szCs w:val="27"/>
          <w:color w:val="auto"/>
        </w:rPr>
        <w:t>.</w:t>
      </w:r>
      <w:r>
        <w:rPr>
          <w:rFonts w:ascii="Arial" w:cs="Arial" w:eastAsia="Arial" w:hAnsi="Arial"/>
          <w:sz w:val="27"/>
          <w:szCs w:val="27"/>
          <w:color w:val="auto"/>
        </w:rPr>
        <w:t xml:space="preserve"> Е</w:t>
      </w:r>
      <w:r>
        <w:rPr>
          <w:rFonts w:ascii="Arial" w:cs="Arial" w:eastAsia="Arial" w:hAnsi="Arial"/>
          <w:sz w:val="27"/>
          <w:szCs w:val="27"/>
          <w:color w:val="auto"/>
        </w:rPr>
        <w:t>.,</w:t>
      </w:r>
      <w:r>
        <w:rPr>
          <w:rFonts w:ascii="Arial" w:cs="Arial" w:eastAsia="Arial" w:hAnsi="Arial"/>
          <w:sz w:val="27"/>
          <w:szCs w:val="27"/>
          <w:color w:val="auto"/>
        </w:rPr>
        <w:t xml:space="preserve"> Жернакова Ю</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 [</w:t>
      </w:r>
      <w:r>
        <w:rPr>
          <w:rFonts w:ascii="Arial" w:cs="Arial" w:eastAsia="Arial" w:hAnsi="Arial"/>
          <w:sz w:val="27"/>
          <w:szCs w:val="27"/>
          <w:color w:val="auto"/>
        </w:rPr>
        <w:t>от имени экспертов</w:t>
      </w:r>
      <w:r>
        <w:rPr>
          <w:rFonts w:ascii="Arial" w:cs="Arial" w:eastAsia="Arial" w:hAnsi="Arial"/>
          <w:sz w:val="27"/>
          <w:szCs w:val="27"/>
          <w:color w:val="auto"/>
        </w:rPr>
        <w:t>].</w:t>
      </w:r>
      <w:r>
        <w:rPr>
          <w:rFonts w:ascii="Arial" w:cs="Arial" w:eastAsia="Arial" w:hAnsi="Arial"/>
          <w:sz w:val="27"/>
          <w:szCs w:val="27"/>
          <w:color w:val="auto"/>
        </w:rPr>
        <w:t xml:space="preserve"> Клинические рекомендации</w:t>
      </w:r>
      <w:r>
        <w:rPr>
          <w:rFonts w:ascii="Arial" w:cs="Arial" w:eastAsia="Arial" w:hAnsi="Arial"/>
          <w:sz w:val="27"/>
          <w:szCs w:val="27"/>
          <w:color w:val="auto"/>
        </w:rPr>
        <w:t>.</w:t>
      </w:r>
      <w:r>
        <w:rPr>
          <w:rFonts w:ascii="Arial" w:cs="Arial" w:eastAsia="Arial" w:hAnsi="Arial"/>
          <w:sz w:val="27"/>
          <w:szCs w:val="27"/>
          <w:color w:val="auto"/>
        </w:rPr>
        <w:t xml:space="preserve"> Диагностика и лечение артериальной гипертонии</w:t>
      </w:r>
      <w:r>
        <w:rPr>
          <w:rFonts w:ascii="Arial" w:cs="Arial" w:eastAsia="Arial" w:hAnsi="Arial"/>
          <w:sz w:val="27"/>
          <w:szCs w:val="27"/>
          <w:color w:val="auto"/>
        </w:rPr>
        <w:t>.</w:t>
      </w:r>
      <w:r>
        <w:rPr>
          <w:rFonts w:ascii="Arial" w:cs="Arial" w:eastAsia="Arial" w:hAnsi="Arial"/>
          <w:sz w:val="27"/>
          <w:szCs w:val="27"/>
          <w:color w:val="auto"/>
        </w:rPr>
        <w:t xml:space="preserve"> Системные гипертензии</w:t>
      </w:r>
      <w:r>
        <w:rPr>
          <w:rFonts w:ascii="Arial" w:cs="Arial" w:eastAsia="Arial" w:hAnsi="Arial"/>
          <w:sz w:val="27"/>
          <w:szCs w:val="27"/>
          <w:color w:val="auto"/>
        </w:rPr>
        <w:t>. 2019;16</w:t>
      </w:r>
    </w:p>
    <w:p>
      <w:pPr>
        <w:spacing w:after="0" w:line="2" w:lineRule="exact"/>
        <w:rPr>
          <w:rFonts w:ascii="Arial" w:cs="Arial" w:eastAsia="Arial" w:hAnsi="Arial"/>
          <w:sz w:val="27"/>
          <w:szCs w:val="27"/>
          <w:color w:val="auto"/>
        </w:rPr>
      </w:pPr>
    </w:p>
    <w:p>
      <w:pPr>
        <w:ind w:left="660"/>
        <w:spacing w:after="0"/>
        <w:rPr>
          <w:rFonts w:ascii="Arial" w:cs="Arial" w:eastAsia="Arial" w:hAnsi="Arial"/>
          <w:sz w:val="27"/>
          <w:szCs w:val="27"/>
          <w:color w:val="auto"/>
        </w:rPr>
      </w:pPr>
      <w:r>
        <w:rPr>
          <w:rFonts w:ascii="Arial" w:cs="Arial" w:eastAsia="Arial" w:hAnsi="Arial"/>
          <w:sz w:val="27"/>
          <w:szCs w:val="27"/>
          <w:color w:val="auto"/>
        </w:rPr>
        <w:t>(1):6–31.</w:t>
      </w:r>
    </w:p>
    <w:p>
      <w:pPr>
        <w:spacing w:after="0" w:line="79"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Lewington S, Clarke R, Qizilbash N et al. Age-specific relevance of usual blood pressure to vascular mortality: a meta-analysis of individual data for one million adults in 61 prospective studies. Lancet 2002;360:1903–1913.</w:t>
      </w:r>
    </w:p>
    <w:p>
      <w:pPr>
        <w:spacing w:after="0" w:line="3" w:lineRule="exact"/>
        <w:rPr>
          <w:rFonts w:ascii="Arial" w:cs="Arial" w:eastAsia="Arial" w:hAnsi="Arial"/>
          <w:sz w:val="27"/>
          <w:szCs w:val="27"/>
          <w:color w:val="auto"/>
        </w:rPr>
      </w:pPr>
    </w:p>
    <w:p>
      <w:pPr>
        <w:jc w:val="both"/>
        <w:ind w:left="660" w:right="220" w:hanging="434"/>
        <w:spacing w:after="0" w:line="312" w:lineRule="auto"/>
        <w:tabs>
          <w:tab w:leader="none" w:pos="660" w:val="left"/>
        </w:tabs>
        <w:numPr>
          <w:ilvl w:val="0"/>
          <w:numId w:val="64"/>
        </w:numPr>
        <w:rPr>
          <w:rFonts w:ascii="Arial" w:cs="Arial" w:eastAsia="Arial" w:hAnsi="Arial"/>
          <w:sz w:val="27"/>
          <w:szCs w:val="27"/>
          <w:color w:val="auto"/>
        </w:rPr>
      </w:pPr>
      <w:r>
        <w:rPr>
          <w:rFonts w:ascii="Arial" w:cs="Arial" w:eastAsia="Arial" w:hAnsi="Arial"/>
          <w:sz w:val="27"/>
          <w:szCs w:val="27"/>
          <w:color w:val="auto"/>
        </w:rPr>
        <w:t>Lip GYH, Coca A, Kahan T, et al. Hypertension and cardiac arrhythmias: executive summary of a consensus document from the European Heart Rhythm Association (EHRA) and ESC Council on</w:t>
      </w:r>
    </w:p>
    <w:p>
      <w:pPr>
        <w:sectPr>
          <w:pgSz w:w="11900" w:h="17037" w:orient="portrait"/>
          <w:cols w:equalWidth="0" w:num="1">
            <w:col w:w="9020"/>
          </w:cols>
          <w:pgMar w:left="1440" w:top="19" w:right="1440" w:bottom="0" w:gutter="0" w:footer="0" w:header="0"/>
        </w:sectPr>
      </w:pPr>
    </w:p>
    <w:bookmarkStart w:id="91" w:name="page92"/>
    <w:bookmarkEnd w:id="91"/>
    <w:p>
      <w:pPr>
        <w:jc w:val="both"/>
        <w:ind w:left="660" w:right="220"/>
        <w:spacing w:after="0" w:line="313" w:lineRule="auto"/>
        <w:rPr>
          <w:sz w:val="20"/>
          <w:szCs w:val="20"/>
          <w:color w:val="auto"/>
        </w:rPr>
      </w:pPr>
      <w:r>
        <w:rPr>
          <w:rFonts w:ascii="Arial" w:cs="Arial" w:eastAsia="Arial" w:hAnsi="Arial"/>
          <w:sz w:val="26"/>
          <w:szCs w:val="26"/>
          <w:color w:val="auto"/>
        </w:rPr>
        <w:t>Hypertension, endorsed by the Heart Rhythm Society (HRS), Asia-Pacific Heart Rhythm Society (APHRS), and Sociedad Latinoamericana de Estimulacion Cardiaca y Electrofisiologia (SOLEACE). Eur Heart J Cardiovasc Pharmacother 2017;3:235–250.</w:t>
      </w:r>
    </w:p>
    <w:p>
      <w:pPr>
        <w:spacing w:after="0" w:line="1" w:lineRule="exact"/>
        <w:rPr>
          <w:sz w:val="20"/>
          <w:szCs w:val="20"/>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Gottesman RF, Albert MS, Alonso A, et al. Associations between midlife vascular risk factors and 25-year incident dementia in the Atherosclerosis Risk in Communities (ARIC) cohort. JAMA Neurol 2017;74:1246–1254.</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Rovio SP, Pahkala K, Nevalainen J et al. Cardiovascular risk factors from childhood and midlife cognitive performance: the Young Finns study. J Am Coll Cardiol 2017;69:2279–2289.</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Vishram JK, Borglykke A, Andreasen AH, et al, MORGAM Project. Impact of age on the importance of systolic and diastolic blood pressures for stroke risk: the MOnica, Risk, Genetics, Archiving, and Monograph (MORGAM) project. Hypertension 2012;60:1117– 1123.</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Brown DW, Giles WH, Greenlund KJ. Blood pressure parameters and risk of fatal stroke, NHANES II mortality study. Am J Hypertens 2007;20:338–341.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Franklin SS, Khan SA, Wong ND, et al. Is pulse pressure useful in predicting risk for coronary heart disease? The Framingham heart study. Circulation 1999;100:354–360.</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Domanski M, Mitchell G, Pfeffer M, Neaton JD, Norman J, Svendsen K, Grimm R, Cohen J, Stamler J, MRFIT Research Group. Pulse pressure and cardiovascular disease-related mortality: follow-up study of the Multiple Risk Factor Intervention Trial (MRFIT). JAMA 2002;287:2677–2683.</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Кобалава Ж</w:t>
      </w:r>
      <w:r>
        <w:rPr>
          <w:rFonts w:ascii="Arial" w:cs="Arial" w:eastAsia="Arial" w:hAnsi="Arial"/>
          <w:sz w:val="27"/>
          <w:szCs w:val="27"/>
          <w:color w:val="auto"/>
        </w:rPr>
        <w:t>.</w:t>
      </w:r>
      <w:r>
        <w:rPr>
          <w:rFonts w:ascii="Arial" w:cs="Arial" w:eastAsia="Arial" w:hAnsi="Arial"/>
          <w:sz w:val="27"/>
          <w:szCs w:val="27"/>
          <w:color w:val="auto"/>
        </w:rPr>
        <w:t xml:space="preserve"> Д</w:t>
      </w:r>
      <w:r>
        <w:rPr>
          <w:rFonts w:ascii="Arial" w:cs="Arial" w:eastAsia="Arial" w:hAnsi="Arial"/>
          <w:sz w:val="27"/>
          <w:szCs w:val="27"/>
          <w:color w:val="auto"/>
        </w:rPr>
        <w:t>.,</w:t>
      </w:r>
      <w:r>
        <w:rPr>
          <w:rFonts w:ascii="Arial" w:cs="Arial" w:eastAsia="Arial" w:hAnsi="Arial"/>
          <w:sz w:val="27"/>
          <w:szCs w:val="27"/>
          <w:color w:val="auto"/>
        </w:rPr>
        <w:t xml:space="preserve"> Конради А</w:t>
      </w:r>
      <w:r>
        <w:rPr>
          <w:rFonts w:ascii="Arial" w:cs="Arial" w:eastAsia="Arial" w:hAnsi="Arial"/>
          <w:sz w:val="27"/>
          <w:szCs w:val="27"/>
          <w:color w:val="auto"/>
        </w:rPr>
        <w:t>.</w:t>
      </w:r>
      <w:r>
        <w:rPr>
          <w:rFonts w:ascii="Arial" w:cs="Arial" w:eastAsia="Arial" w:hAnsi="Arial"/>
          <w:sz w:val="27"/>
          <w:szCs w:val="27"/>
          <w:color w:val="auto"/>
        </w:rPr>
        <w:t xml:space="preserve"> О</w:t>
      </w:r>
      <w:r>
        <w:rPr>
          <w:rFonts w:ascii="Arial" w:cs="Arial" w:eastAsia="Arial" w:hAnsi="Arial"/>
          <w:sz w:val="27"/>
          <w:szCs w:val="27"/>
          <w:color w:val="auto"/>
        </w:rPr>
        <w:t>.,</w:t>
      </w:r>
      <w:r>
        <w:rPr>
          <w:rFonts w:ascii="Arial" w:cs="Arial" w:eastAsia="Arial" w:hAnsi="Arial"/>
          <w:sz w:val="27"/>
          <w:szCs w:val="27"/>
          <w:color w:val="auto"/>
        </w:rPr>
        <w:t xml:space="preserve"> Недогода С</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r>
        <w:rPr>
          <w:rFonts w:ascii="Arial" w:cs="Arial" w:eastAsia="Arial" w:hAnsi="Arial"/>
          <w:sz w:val="27"/>
          <w:szCs w:val="27"/>
          <w:color w:val="auto"/>
        </w:rPr>
        <w:t xml:space="preserve"> и др</w:t>
      </w:r>
      <w:r>
        <w:rPr>
          <w:rFonts w:ascii="Arial" w:cs="Arial" w:eastAsia="Arial" w:hAnsi="Arial"/>
          <w:sz w:val="27"/>
          <w:szCs w:val="27"/>
          <w:color w:val="auto"/>
        </w:rPr>
        <w:t>.</w:t>
      </w:r>
      <w:r>
        <w:rPr>
          <w:rFonts w:ascii="Arial" w:cs="Arial" w:eastAsia="Arial" w:hAnsi="Arial"/>
          <w:sz w:val="27"/>
          <w:szCs w:val="27"/>
          <w:color w:val="auto"/>
        </w:rPr>
        <w:t xml:space="preserve"> Меморандум экспертов Российского кардиологического общества по рекомендациям Европейского общества кардиологов</w:t>
      </w:r>
      <w:r>
        <w:rPr>
          <w:rFonts w:ascii="Arial" w:cs="Arial" w:eastAsia="Arial" w:hAnsi="Arial"/>
          <w:sz w:val="27"/>
          <w:szCs w:val="27"/>
          <w:color w:val="auto"/>
        </w:rPr>
        <w:t>/</w:t>
      </w:r>
      <w:r>
        <w:rPr>
          <w:rFonts w:ascii="Arial" w:cs="Arial" w:eastAsia="Arial" w:hAnsi="Arial"/>
          <w:sz w:val="27"/>
          <w:szCs w:val="27"/>
          <w:color w:val="auto"/>
        </w:rPr>
        <w:t xml:space="preserve"> Европейского общества по артериальной гипертензии по лечению артериальной гипертензии </w:t>
      </w:r>
      <w:r>
        <w:rPr>
          <w:rFonts w:ascii="Arial" w:cs="Arial" w:eastAsia="Arial" w:hAnsi="Arial"/>
          <w:sz w:val="27"/>
          <w:szCs w:val="27"/>
          <w:color w:val="auto"/>
        </w:rPr>
        <w:t>2018</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 xml:space="preserve"> Российский кардиологический журнал</w:t>
      </w:r>
      <w:r>
        <w:rPr>
          <w:rFonts w:ascii="Arial" w:cs="Arial" w:eastAsia="Arial" w:hAnsi="Arial"/>
          <w:sz w:val="27"/>
          <w:szCs w:val="27"/>
          <w:color w:val="auto"/>
        </w:rPr>
        <w:t>. 2018;(12):131–42.</w:t>
      </w:r>
    </w:p>
    <w:p>
      <w:pPr>
        <w:spacing w:after="0" w:line="4"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Lewington S, Clarke R, Qizilbash N, et al. Age-specific relevance of usual blood pressure to vascular mortality: a meta-analysis of individual data for one million adults in 61 prospective studies. Lancet 2002; 360:1903–1913.</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Reino-Gonzalez S. et al. How in-office and ambulatory BP monitoring compare: A systematic review and meta-analysis. – 2017.</w:t>
      </w:r>
    </w:p>
    <w:p>
      <w:pPr>
        <w:spacing w:after="0" w:line="2" w:lineRule="exact"/>
        <w:rPr>
          <w:rFonts w:ascii="Arial" w:cs="Arial" w:eastAsia="Arial" w:hAnsi="Arial"/>
          <w:sz w:val="27"/>
          <w:szCs w:val="27"/>
          <w:color w:val="auto"/>
        </w:rPr>
      </w:pPr>
    </w:p>
    <w:p>
      <w:pPr>
        <w:jc w:val="both"/>
        <w:ind w:left="660" w:right="220" w:hanging="434"/>
        <w:spacing w:after="0" w:line="334" w:lineRule="auto"/>
        <w:tabs>
          <w:tab w:leader="none" w:pos="660" w:val="left"/>
        </w:tabs>
        <w:numPr>
          <w:ilvl w:val="0"/>
          <w:numId w:val="65"/>
        </w:numPr>
        <w:rPr>
          <w:rFonts w:ascii="Arial" w:cs="Arial" w:eastAsia="Arial" w:hAnsi="Arial"/>
          <w:sz w:val="27"/>
          <w:szCs w:val="27"/>
          <w:color w:val="auto"/>
        </w:rPr>
      </w:pPr>
      <w:r>
        <w:rPr>
          <w:rFonts w:ascii="Arial" w:cs="Arial" w:eastAsia="Arial" w:hAnsi="Arial"/>
          <w:sz w:val="27"/>
          <w:szCs w:val="27"/>
          <w:color w:val="auto"/>
        </w:rPr>
        <w:t>Kollias A., Ntineri A., Stergiou G. S. Association of night-time home blood pressure with night-time ambulatory blood pressure and</w:t>
      </w:r>
    </w:p>
    <w:p>
      <w:pPr>
        <w:sectPr>
          <w:pgSz w:w="11900" w:h="16840" w:orient="portrait"/>
          <w:cols w:equalWidth="0" w:num="1">
            <w:col w:w="9020"/>
          </w:cols>
          <w:pgMar w:left="1440" w:top="19" w:right="1440" w:bottom="0" w:gutter="0" w:footer="0" w:header="0"/>
        </w:sectPr>
      </w:pPr>
    </w:p>
    <w:bookmarkStart w:id="92" w:name="page93"/>
    <w:bookmarkEnd w:id="92"/>
    <w:p>
      <w:pPr>
        <w:ind w:left="660" w:right="220"/>
        <w:spacing w:after="0" w:line="301" w:lineRule="auto"/>
        <w:rPr>
          <w:sz w:val="20"/>
          <w:szCs w:val="20"/>
          <w:color w:val="auto"/>
        </w:rPr>
      </w:pPr>
      <w:r>
        <w:rPr>
          <w:rFonts w:ascii="Arial" w:cs="Arial" w:eastAsia="Arial" w:hAnsi="Arial"/>
          <w:sz w:val="27"/>
          <w:szCs w:val="27"/>
          <w:color w:val="auto"/>
        </w:rPr>
        <w:t>target-organ damage: a systematic review and meta-analysis //Journal of hypertension. – 2017. – Т. 35. – №. 3. – С. 442-452.</w:t>
      </w:r>
    </w:p>
    <w:p>
      <w:pPr>
        <w:spacing w:after="0" w:line="2" w:lineRule="exact"/>
        <w:rPr>
          <w:sz w:val="20"/>
          <w:szCs w:val="20"/>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Fagard RH, Celis H, Thijs L, et al. Daytime and night-time blood pressure as predictors of death and cause-specific cardiovascular events in hypertension. Hypertension 2008; 51:55–61.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Ward AM, Takahashi O, Stevens R, Heneghan C. Home measurement of blood pressure and cardiovascular disease: systematic review and meta-analysis of prospective studies. J Hypertens 2012; 30:449–456.</w:t>
      </w:r>
    </w:p>
    <w:p>
      <w:pPr>
        <w:spacing w:after="0" w:line="3" w:lineRule="exact"/>
        <w:rPr>
          <w:rFonts w:ascii="Arial" w:cs="Arial" w:eastAsia="Arial" w:hAnsi="Arial"/>
          <w:sz w:val="27"/>
          <w:szCs w:val="27"/>
          <w:color w:val="auto"/>
        </w:rPr>
      </w:pPr>
    </w:p>
    <w:p>
      <w:pPr>
        <w:jc w:val="both"/>
        <w:ind w:left="660" w:right="220" w:hanging="434"/>
        <w:spacing w:after="0" w:line="32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Mancia G, Facchetti R, Bombelli M, et al. Long-term risk of mortality associated with selective and combined elevation in office, home and ambulatory blood pressure. Hypertension 2006; 47:846–853.</w:t>
      </w:r>
    </w:p>
    <w:p>
      <w:pPr>
        <w:spacing w:after="0" w:line="314"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Fagard RH, Cornelissen VA. Incidence of cardiovascular events in white-coat, masked and sustained hypertension vs. true normotension: a meta-analysis. J Hypertens 2007; 25:2193–219.</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Rimoldi SF, Scherrer U, Messerli FH. Secondary arterial hypertension: when, who, and how to screen? Eur Heart J 2014;35:1245–1254.</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Albasri A. et al. A comparison of blood pressure in community pharmacies with ambulatory, home and general practitioner office readings: systematic review and meta-analysis //Journal of hypertension. – 2017. – Т. 35. – №. 10. – С. 1919.</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Clark CE, Taylor RS, Shore AC, et al. Association of a difference in systolic blood pressure between arms with vascular disease and mortality: a systematic review and meta-analysis. Lancet 2012;379:905–914.</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Sega R, Facchetti R, Bombelli M, et al.Prognostic value of ambulatory and home blood pressures compared with office blood pressure in the general population: follow-up results from the Pressioni Arteriose Monitorate e Loro Associazioni (PAMELA) study. Circulation 2005;111:1777–1783.</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Shi Y. et al. Resting heart rate and the risk of hypertension and heart failure: a dose–response meta-analysis of prospective studies //Journal of hypertension. – 2018. – Т. 36. – №. 5. – С. 995-1004.</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Salles GF, Reboldi G, Fagard RH, et al. Prognostic effect of the nocturnal blood pressure fall in hypertensive patients: the Ambulatory Blood pressure Collaboration in patients with Hypertension (ABC-H) meta-analysis. Hypertension 2016;67:693– 700.</w:t>
      </w:r>
    </w:p>
    <w:p>
      <w:pPr>
        <w:spacing w:after="0" w:line="3" w:lineRule="exact"/>
        <w:rPr>
          <w:rFonts w:ascii="Arial" w:cs="Arial" w:eastAsia="Arial" w:hAnsi="Arial"/>
          <w:sz w:val="27"/>
          <w:szCs w:val="27"/>
          <w:color w:val="auto"/>
        </w:rPr>
      </w:pPr>
    </w:p>
    <w:p>
      <w:pPr>
        <w:jc w:val="both"/>
        <w:ind w:left="660" w:right="220" w:hanging="434"/>
        <w:spacing w:after="0" w:line="334" w:lineRule="auto"/>
        <w:tabs>
          <w:tab w:leader="none" w:pos="660" w:val="left"/>
        </w:tabs>
        <w:numPr>
          <w:ilvl w:val="0"/>
          <w:numId w:val="66"/>
        </w:numPr>
        <w:rPr>
          <w:rFonts w:ascii="Arial" w:cs="Arial" w:eastAsia="Arial" w:hAnsi="Arial"/>
          <w:sz w:val="27"/>
          <w:szCs w:val="27"/>
          <w:color w:val="auto"/>
        </w:rPr>
      </w:pPr>
      <w:r>
        <w:rPr>
          <w:rFonts w:ascii="Arial" w:cs="Arial" w:eastAsia="Arial" w:hAnsi="Arial"/>
          <w:sz w:val="27"/>
          <w:szCs w:val="27"/>
          <w:color w:val="auto"/>
        </w:rPr>
        <w:t>Ward AM, Takahashi O, Stevens R, Heneghan C. Home measurement of blood pressure and cardiovascular disease:</w:t>
      </w:r>
    </w:p>
    <w:p>
      <w:pPr>
        <w:sectPr>
          <w:pgSz w:w="11900" w:h="16840" w:orient="portrait"/>
          <w:cols w:equalWidth="0" w:num="1">
            <w:col w:w="9020"/>
          </w:cols>
          <w:pgMar w:left="1440" w:top="19" w:right="1440" w:bottom="0" w:gutter="0" w:footer="0" w:header="0"/>
        </w:sectPr>
      </w:pPr>
    </w:p>
    <w:bookmarkStart w:id="93" w:name="page94"/>
    <w:bookmarkEnd w:id="93"/>
    <w:p>
      <w:pPr>
        <w:ind w:left="660" w:right="220"/>
        <w:spacing w:after="0" w:line="301" w:lineRule="auto"/>
        <w:rPr>
          <w:sz w:val="20"/>
          <w:szCs w:val="20"/>
          <w:color w:val="auto"/>
        </w:rPr>
      </w:pPr>
      <w:r>
        <w:rPr>
          <w:rFonts w:ascii="Arial" w:cs="Arial" w:eastAsia="Arial" w:hAnsi="Arial"/>
          <w:sz w:val="27"/>
          <w:szCs w:val="27"/>
          <w:color w:val="auto"/>
        </w:rPr>
        <w:t>systematic review and meta-analysis of prospective studies. J Hypertens 2012;30:449–56.</w:t>
      </w:r>
    </w:p>
    <w:p>
      <w:pPr>
        <w:spacing w:after="0" w:line="2" w:lineRule="exact"/>
        <w:rPr>
          <w:sz w:val="20"/>
          <w:szCs w:val="20"/>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Tucker KL, Sheppard JP, Stevens R et al. Self-monitoring of blood pressure in hypertension: a systematic review and individual patient data meta-analysis. PLoS Med 2017;14:e1002389.</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Parati G, Stergiou G, O"Brien E, et al, European Society of Hypertension Working Group on Blood Pressure Monitoring and Cardiovascular Variability. European Society of Hypertension practice guidelines for ambulatory blood pressure monitoring. J Hypertens 2014;32:1359–1366.</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Sehestedt T, Jeppesen J, Hansen TW, et al. Risk prediction is improved by adding markers of subclinical organ damage to SCORE. Eur Heart J 2010;31:883–891.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Volpe M, Battistoni A, Tocci G, et al. Cardiovascular risk assessment beyond systemic coronary risk estimation: a role for organ damage markers. J Hypertens 2012;30:1056–1064.</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Conroy, R. M., et al. Estimation of ten-year risk of fatal cardiovascular disease in Europe: the SCORE project. European heart journal 24.11 (2003): 987–1003.</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Hunt SC, Williams RR, Barlow GK. A comparison of positive family history definitions for defining risk of future disease. J Chronic Dis 1986; 39:809–821.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Friedman GD, Selby JV, Quesenberry CP Jr, et al Precursors of essential hypertension: body weight, alcohol and salt use and parental history of hypertension. Prev Med 1988;17:387–402.</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Дедов И</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r>
        <w:rPr>
          <w:rFonts w:ascii="Arial" w:cs="Arial" w:eastAsia="Arial" w:hAnsi="Arial"/>
          <w:sz w:val="27"/>
          <w:szCs w:val="27"/>
          <w:color w:val="auto"/>
        </w:rPr>
        <w:t xml:space="preserve"> и др</w:t>
      </w:r>
      <w:r>
        <w:rPr>
          <w:rFonts w:ascii="Arial" w:cs="Arial" w:eastAsia="Arial" w:hAnsi="Arial"/>
          <w:sz w:val="27"/>
          <w:szCs w:val="27"/>
          <w:color w:val="auto"/>
        </w:rPr>
        <w:t>.</w:t>
      </w:r>
      <w:r>
        <w:rPr>
          <w:rFonts w:ascii="Arial" w:cs="Arial" w:eastAsia="Arial" w:hAnsi="Arial"/>
          <w:sz w:val="27"/>
          <w:szCs w:val="27"/>
          <w:color w:val="auto"/>
        </w:rPr>
        <w:t xml:space="preserve"> Алгоритмы специализированной медицинской помощи больным сахарным диабетом</w:t>
      </w:r>
      <w:r>
        <w:rPr>
          <w:rFonts w:ascii="Arial" w:cs="Arial" w:eastAsia="Arial" w:hAnsi="Arial"/>
          <w:sz w:val="27"/>
          <w:szCs w:val="27"/>
          <w:color w:val="auto"/>
        </w:rPr>
        <w:t>.</w:t>
      </w:r>
      <w:r>
        <w:rPr>
          <w:rFonts w:ascii="Arial" w:cs="Arial" w:eastAsia="Arial" w:hAnsi="Arial"/>
          <w:sz w:val="27"/>
          <w:szCs w:val="27"/>
          <w:color w:val="auto"/>
        </w:rPr>
        <w:t xml:space="preserve"> Сахарный диабет </w:t>
      </w:r>
      <w:r>
        <w:rPr>
          <w:rFonts w:ascii="Arial" w:cs="Arial" w:eastAsia="Arial" w:hAnsi="Arial"/>
          <w:sz w:val="27"/>
          <w:szCs w:val="27"/>
          <w:color w:val="auto"/>
        </w:rPr>
        <w:t>1S (2019).</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Cosentino F, Grant P, Aboyans V et al. 2019 ESC Guidelines on diabetes, pre-diabetes, and cardiovascular diseases developed in collaboration with the EASD: The Task Force for diabetes, pre-diabetes, and cardiovascular diseases of the European Society of Cardiology (ESC) and the European Association for the Study of Diabetes (EASD). Eur Heart J 2019, published online on 31 August 2019.</w:t>
      </w:r>
    </w:p>
    <w:p>
      <w:pPr>
        <w:spacing w:after="0" w:line="5"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Emerging Risk Factors Collaboration. Diabetes mellitus, fasting blood glucose concentration, and risk of vascular disease: a collaborative meta-analysis of 102 prospective studies. The Lancet 375.9733 (2010): 2215–2222.</w:t>
      </w:r>
    </w:p>
    <w:p>
      <w:pPr>
        <w:spacing w:after="0" w:line="3" w:lineRule="exact"/>
        <w:rPr>
          <w:rFonts w:ascii="Arial" w:cs="Arial" w:eastAsia="Arial" w:hAnsi="Arial"/>
          <w:sz w:val="27"/>
          <w:szCs w:val="27"/>
          <w:color w:val="auto"/>
        </w:rPr>
      </w:pPr>
    </w:p>
    <w:p>
      <w:pPr>
        <w:jc w:val="both"/>
        <w:ind w:left="660" w:right="220" w:hanging="434"/>
        <w:spacing w:after="0" w:line="317" w:lineRule="auto"/>
        <w:tabs>
          <w:tab w:leader="none" w:pos="660" w:val="left"/>
        </w:tabs>
        <w:numPr>
          <w:ilvl w:val="0"/>
          <w:numId w:val="67"/>
        </w:numPr>
        <w:rPr>
          <w:rFonts w:ascii="Arial" w:cs="Arial" w:eastAsia="Arial" w:hAnsi="Arial"/>
          <w:sz w:val="27"/>
          <w:szCs w:val="27"/>
          <w:color w:val="auto"/>
        </w:rPr>
      </w:pPr>
      <w:r>
        <w:rPr>
          <w:rFonts w:ascii="Arial" w:cs="Arial" w:eastAsia="Arial" w:hAnsi="Arial"/>
          <w:sz w:val="27"/>
          <w:szCs w:val="27"/>
          <w:color w:val="auto"/>
        </w:rPr>
        <w:t>Wilson PW, Cupples CF, Kannel WB. Is hyperglycemia associated with cardiovascular disease? The Framingham Study. Amer. Heart J 1991;121:586–90.</w:t>
      </w:r>
    </w:p>
    <w:p>
      <w:pPr>
        <w:sectPr>
          <w:pgSz w:w="11900" w:h="16840" w:orient="portrait"/>
          <w:cols w:equalWidth="0" w:num="1">
            <w:col w:w="9020"/>
          </w:cols>
          <w:pgMar w:left="1440" w:top="19" w:right="1440" w:bottom="0" w:gutter="0" w:footer="0" w:header="0"/>
        </w:sectPr>
      </w:pPr>
    </w:p>
    <w:bookmarkStart w:id="94" w:name="page95"/>
    <w:bookmarkEnd w:id="94"/>
    <w:p>
      <w:pPr>
        <w:spacing w:after="0" w:line="198" w:lineRule="exact"/>
        <w:rPr>
          <w:sz w:val="20"/>
          <w:szCs w:val="20"/>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Izzo R, de Simone G, Trimarco V. et al. Hypertensive target organ damage predicts incident diabetes mellitus. EurHeartJ. epub 27 June 2013.</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Matsushita K. et al. Comparison of risk prediction using the CKD-EPI equation and the MDRD study equation for estimated glomerular filtration rate //Jama. – 2012. – Т. 307. – № . 18. – С. 1941-1951.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Ettehad D, Emdin CA, Kiran A, et al. Blood pressure lowering for prevention of cardiovascular disease and death: a systematic review and meta-analysis. Lancet 2016;387:957–967.</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De Haan M. W. et al. Renovascular disease in patients with hypertension: detection with duplex ultrasound //Journal of human hypertension. – 2002. – Т. 16. – №. 7. – С. 501.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Mahmoodi, Bakhtawar K., et al. Associations of kidney disease measures with mortality and end-stage renal disease in individuals with and without hypertension: a meta-analysis. The Lancet 380.9854 (2012):1649–1661.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Van Der Velde M. et al. Lower estimated glomerular filtration rate and higher albuminuria are associated with all-cause and cardiovascular mortality. A collaborative meta-analysis of high-risk population cohorts. Kidney international 79.12 (2011): 1341–1352.</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Earley A, Miskulin D, Lamb EJ et al. Estimating equations for glomerular filtration rate in the era of creatinine standardization: a systematic review. Ann Intern Med 2012; 156: 785–795.</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Zachrisson K. et al. Duplex ultrasound for identifying renal artery stenosis: direct criteria re-evaluated //Acta Radiologica. – 2017. – Т. 58. – №. 2. – С. 176-182.</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Matsushita K. et al. Kidney measures beyond traditional risk factors for cardiovascular prediction: A collaborative meta-analysis //The lancet. Diabetes &amp; endocrinology. – 2015. – Т. 3. – №. 7. – С. 514.</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Gerstein HC, Mann JF, Yi Q, Zinman B, et al. HOPE Study Investigators. Albuminuria and risk of cardiovascular events, death, and heart failure in diabetic and nondiabetic individuals. JAMA 2001;286:421–426.</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Boekholdt SM et al. Association of LDL cholesterol, non–HDL cholesterol, and apolipoprotein B levels with risk of cardiovascular events among patients treated with statins: a meta-analysis //Jama.</w:t>
      </w:r>
    </w:p>
    <w:p>
      <w:pPr>
        <w:spacing w:after="0" w:line="2" w:lineRule="exact"/>
        <w:rPr>
          <w:rFonts w:ascii="Arial" w:cs="Arial" w:eastAsia="Arial" w:hAnsi="Arial"/>
          <w:sz w:val="27"/>
          <w:szCs w:val="27"/>
          <w:color w:val="auto"/>
        </w:rPr>
      </w:pPr>
    </w:p>
    <w:p>
      <w:pPr>
        <w:ind w:left="660"/>
        <w:spacing w:after="0"/>
        <w:rPr>
          <w:rFonts w:ascii="Arial" w:cs="Arial" w:eastAsia="Arial" w:hAnsi="Arial"/>
          <w:sz w:val="27"/>
          <w:szCs w:val="27"/>
          <w:color w:val="auto"/>
        </w:rPr>
      </w:pPr>
      <w:r>
        <w:rPr>
          <w:rFonts w:ascii="Arial" w:cs="Arial" w:eastAsia="Arial" w:hAnsi="Arial"/>
          <w:sz w:val="27"/>
          <w:szCs w:val="27"/>
          <w:color w:val="auto"/>
        </w:rPr>
        <w:t>— 2012. — Т. 307. — №. 12. — С. 1302-1309.</w:t>
      </w:r>
    </w:p>
    <w:p>
      <w:pPr>
        <w:spacing w:after="0" w:line="79"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8"/>
        </w:numPr>
        <w:rPr>
          <w:rFonts w:ascii="Arial" w:cs="Arial" w:eastAsia="Arial" w:hAnsi="Arial"/>
          <w:sz w:val="27"/>
          <w:szCs w:val="27"/>
          <w:color w:val="auto"/>
        </w:rPr>
      </w:pPr>
      <w:r>
        <w:rPr>
          <w:rFonts w:ascii="Arial" w:cs="Arial" w:eastAsia="Arial" w:hAnsi="Arial"/>
          <w:sz w:val="27"/>
          <w:szCs w:val="27"/>
          <w:color w:val="auto"/>
        </w:rPr>
        <w:t>Guo X. et al. Prehypertension: a meta-analysis of the epidemiology, risk factors, and predictors of progression //Texas heart institute journal. – 2011. – Т. 38. – №. 6. – С. 643.</w:t>
      </w:r>
    </w:p>
    <w:p>
      <w:pPr>
        <w:spacing w:after="0" w:line="2" w:lineRule="exact"/>
        <w:rPr>
          <w:rFonts w:ascii="Arial" w:cs="Arial" w:eastAsia="Arial" w:hAnsi="Arial"/>
          <w:sz w:val="27"/>
          <w:szCs w:val="27"/>
          <w:color w:val="auto"/>
        </w:rPr>
      </w:pPr>
    </w:p>
    <w:p>
      <w:pPr>
        <w:jc w:val="both"/>
        <w:ind w:left="660" w:right="220" w:hanging="434"/>
        <w:spacing w:after="0" w:line="330" w:lineRule="auto"/>
        <w:tabs>
          <w:tab w:leader="none" w:pos="660" w:val="left"/>
        </w:tabs>
        <w:numPr>
          <w:ilvl w:val="0"/>
          <w:numId w:val="68"/>
        </w:numPr>
        <w:rPr>
          <w:rFonts w:ascii="Arial" w:cs="Arial" w:eastAsia="Arial" w:hAnsi="Arial"/>
          <w:sz w:val="26"/>
          <w:szCs w:val="26"/>
          <w:color w:val="auto"/>
        </w:rPr>
      </w:pPr>
      <w:r>
        <w:rPr>
          <w:rFonts w:ascii="Arial" w:cs="Arial" w:eastAsia="Arial" w:hAnsi="Arial"/>
          <w:sz w:val="26"/>
          <w:szCs w:val="26"/>
          <w:color w:val="auto"/>
        </w:rPr>
        <w:t>Geleijnse JM, Kok FJ, Grobbee DE. Blood pressure response to changes in sodium and potassium intake: a metaregression analysis</w:t>
      </w:r>
    </w:p>
    <w:p>
      <w:pPr>
        <w:sectPr>
          <w:pgSz w:w="11900" w:h="17038" w:orient="portrait"/>
          <w:cols w:equalWidth="0" w:num="1">
            <w:col w:w="9020"/>
          </w:cols>
          <w:pgMar w:left="1440" w:top="19" w:right="1440" w:bottom="0" w:gutter="0" w:footer="0" w:header="0"/>
        </w:sectPr>
      </w:pPr>
    </w:p>
    <w:bookmarkStart w:id="95" w:name="page96"/>
    <w:bookmarkEnd w:id="95"/>
    <w:p>
      <w:pPr>
        <w:ind w:left="660" w:right="220"/>
        <w:spacing w:after="0" w:line="301" w:lineRule="auto"/>
        <w:rPr>
          <w:sz w:val="20"/>
          <w:szCs w:val="20"/>
          <w:color w:val="auto"/>
        </w:rPr>
      </w:pPr>
      <w:r>
        <w:rPr>
          <w:rFonts w:ascii="Arial" w:cs="Arial" w:eastAsia="Arial" w:hAnsi="Arial"/>
          <w:sz w:val="27"/>
          <w:szCs w:val="27"/>
          <w:color w:val="auto"/>
        </w:rPr>
        <w:t>of randomised trials. Journal of human hypertension 17.7(2003):471.</w:t>
      </w:r>
    </w:p>
    <w:p>
      <w:pPr>
        <w:spacing w:after="0" w:line="2" w:lineRule="exact"/>
        <w:rPr>
          <w:sz w:val="20"/>
          <w:szCs w:val="20"/>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Macdonald JE, Struthers AD. hat is the optimal serum potassium level in cardiovascular patients? Journal of the American College of Cardiology 43.2 (2004):155–161.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Wang J. et al. Hyperuricemia and risk of incident hypertension: a systematic review and meta-analysis of observational studies //PloS one. – 2014. – Т. 9. – №. 12. – С. e114259.</w:t>
      </w:r>
    </w:p>
    <w:p>
      <w:pPr>
        <w:spacing w:after="0" w:line="2" w:lineRule="exact"/>
        <w:rPr>
          <w:rFonts w:ascii="Arial" w:cs="Arial" w:eastAsia="Arial" w:hAnsi="Arial"/>
          <w:sz w:val="27"/>
          <w:szCs w:val="27"/>
          <w:color w:val="auto"/>
        </w:rPr>
      </w:pPr>
    </w:p>
    <w:p>
      <w:pPr>
        <w:jc w:val="both"/>
        <w:ind w:left="660" w:right="220" w:hanging="434"/>
        <w:spacing w:after="0" w:line="27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Grayson PC et al. Hyperuricemia and incident hypertension: a systematic review and meta</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analysis.. Arthritis care &amp; research 63.1 (2011):102–110.</w:t>
      </w: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Palmer TM et al. Association of plasma uric acid with ischaemic heart disease and blood pressure: mendelian randomisation analysis of two large cohorts. Bmj 347 (2013): f4262.</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Schillaci, G., Battista, F., &amp; Pucci, G. (2012). A review of the role of electrocardiography in the diagnosis of left ventricular hypertrophy in hypertension. Journal of electrocardiology, 45(6), 617–623.</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Kahn S, Frishman WH, Weissman S et al. Left ventricular hypertrophy on electrocardiogram: prognostic implications from a 10-year cohort study of older subjects: a report from the Bronx Longitudinal Aging Study. J Am Geriatr Soc 1996;44:524–529.</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Lonn E, Mathew J, Pogue J et al. Relationship of electrocardiographic left ventricular hypertrophy to mortality and cardiovascular morbidity in high-risk patients. Eur J Cardiovasc Prevent Rehab. 2003;10:420–428.</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Bacharova L, Schocken D, Estes EH, Strauss D. The role of ECG in the diagnosis of left ventricular hypertrophy. Curr Cardiol Rev 2014;10:257–261.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Lehtonen AO, Puukka P, Varis J et al. Prevalence and prognosis of ECG abnormalities in normotensive and hypertensive individuals. J Hypertens 2016;34:959–966.</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Okin PM, Devereux RB, Jern S, et al. LIFE Study Investigators. Regression of electrocardiographic left ventricular hypertrophy during antihypertensive treatment and the prediction of major cardiovascular events. JAMA 2004;292:2343–2349.</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69"/>
        </w:numPr>
        <w:rPr>
          <w:rFonts w:ascii="Arial" w:cs="Arial" w:eastAsia="Arial" w:hAnsi="Arial"/>
          <w:sz w:val="27"/>
          <w:szCs w:val="27"/>
          <w:color w:val="auto"/>
        </w:rPr>
      </w:pPr>
      <w:r>
        <w:rPr>
          <w:rFonts w:ascii="Arial" w:cs="Arial" w:eastAsia="Arial" w:hAnsi="Arial"/>
          <w:sz w:val="27"/>
          <w:szCs w:val="27"/>
          <w:color w:val="auto"/>
        </w:rPr>
        <w:t>Vanezis, A. P., &amp; Bhopal, R. (2008). Validity of electrocardiographic classification of left ventricular hypertrophy across adult ethnic groups with echocardiography as a standard. Journal of Electrocardiology, 41(5), 404–412.</w:t>
      </w:r>
    </w:p>
    <w:p>
      <w:pPr>
        <w:spacing w:after="0" w:line="3" w:lineRule="exact"/>
        <w:rPr>
          <w:rFonts w:ascii="Arial" w:cs="Arial" w:eastAsia="Arial" w:hAnsi="Arial"/>
          <w:sz w:val="27"/>
          <w:szCs w:val="27"/>
          <w:color w:val="auto"/>
        </w:rPr>
      </w:pPr>
    </w:p>
    <w:p>
      <w:pPr>
        <w:jc w:val="both"/>
        <w:ind w:left="660" w:right="220" w:hanging="434"/>
        <w:spacing w:after="0" w:line="334" w:lineRule="auto"/>
        <w:tabs>
          <w:tab w:leader="none" w:pos="660" w:val="left"/>
        </w:tabs>
        <w:numPr>
          <w:ilvl w:val="0"/>
          <w:numId w:val="69"/>
        </w:numPr>
        <w:rPr>
          <w:rFonts w:ascii="Arial" w:cs="Arial" w:eastAsia="Arial" w:hAnsi="Arial"/>
          <w:sz w:val="26"/>
          <w:szCs w:val="26"/>
          <w:color w:val="auto"/>
        </w:rPr>
      </w:pPr>
      <w:r>
        <w:rPr>
          <w:rFonts w:ascii="Arial" w:cs="Arial" w:eastAsia="Arial" w:hAnsi="Arial"/>
          <w:sz w:val="26"/>
          <w:szCs w:val="26"/>
          <w:color w:val="auto"/>
        </w:rPr>
        <w:t>Verdecchia P, Angeli F, Borgioni C. et al. Changes in cardiovascular risk by reduction of left ventricular mass in hypertension: a meta-analysis. American Journal of Hypertension. 2003. 16(11), 895–899.</w:t>
      </w:r>
    </w:p>
    <w:p>
      <w:pPr>
        <w:sectPr>
          <w:pgSz w:w="11900" w:h="16840" w:orient="portrait"/>
          <w:cols w:equalWidth="0" w:num="1">
            <w:col w:w="9020"/>
          </w:cols>
          <w:pgMar w:left="1440" w:top="19" w:right="1440" w:bottom="0" w:gutter="0" w:footer="0" w:header="0"/>
        </w:sectPr>
      </w:pPr>
    </w:p>
    <w:bookmarkStart w:id="96" w:name="page97"/>
    <w:bookmarkEnd w:id="96"/>
    <w:p>
      <w:pPr>
        <w:spacing w:after="0" w:line="197" w:lineRule="exact"/>
        <w:rPr>
          <w:sz w:val="20"/>
          <w:szCs w:val="20"/>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Sundstrom J, Lind L, Arnlov J et al. Echocardiographic and electrocardiographic diagnoses of left ventricular hypertrophy predict mortality independently of each other in a population of elderly men. Circulation 2001;103:2346–51.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Palmieri V, Dahlof B, DeQuattro V et al. Reliability of echocardiographic assessment of left ventricular structure and function: the PRESERVE study. Prospective Randomized Study Evaluating Regression of Ventricular Enlargement. J Am Coll Cardiol 1999;34:1625–32.</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Levy D, Garrison RJ, Savage DO et al. Prognostic implications of echocardiographically determined left ventricular mass in the Framingham Heart Study. N Engl J Med 1990;322:1561–6.</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Perrone-Filardi P, Coca A, Galderisi M et al. Non-invasive cardiovascular imaging for evaluating subclinical target organ damage in hypertensive patients: a consensus paper from the European Association of Cardiovascular Imaging (EACVI), the European Society of Cardiology Council on Hypertension, and the European Society of Hypertension (ESH). Eur Heart J Cardiovasc Imaging 2017;18:945–960.</w:t>
      </w:r>
    </w:p>
    <w:p>
      <w:pPr>
        <w:spacing w:after="0" w:line="5"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Mourad J. J. et al. Screening of unrecognized peripheral arterial disease (PAD) using ankle-brachial index in high cardiovascular risk patients free from symptomatic PAD //Journal of vascular surgery. – 2009. – Т. 50. – №. 3. – С. 572-580.</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Vlachopoulos, C., Aznaouridis, K., Terentes-Printzios, D., Ioakeimidis, N., &amp; Stefanadis, C. (2012). Prediction of Cardiovascular Events and All-Cause Mortality With Brachial-Ankle Elasticity Index: A Systematic Review and Meta-Analysis. Hypertension, 60(2), 556–562.</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Breslin DJ, Gifford RW Jr, Fairbairn JF II, Kearns TP. Prognostic importance of ophthalmoscopic findings in essential hypertension. JAMA 1966;195:335–338.</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Fuchs F. D. et al. Study of the usefulness of optic fundi examination of patients with hypertension in a clinical setting //Journal of human hypertension. – 1995. – Т. 9. – №. 7. – С. 547-551.</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Dimmitt SB, West JN, Eames SM et al. Usefulness of ophthalmoscopy in mild to moderate hypertension. Lancet 1989;1:1103–1106.</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White P. M., Wardlaw J. M., Easton V. Can noninvasive imaging accurately depict intracranial aneurysms? A systematic review //Radiology. – 2000. – Т. 217. – №. 2. – С. 361-370.</w:t>
      </w:r>
    </w:p>
    <w:p>
      <w:pPr>
        <w:spacing w:after="0" w:line="2" w:lineRule="exact"/>
        <w:rPr>
          <w:rFonts w:ascii="Arial" w:cs="Arial" w:eastAsia="Arial" w:hAnsi="Arial"/>
          <w:sz w:val="27"/>
          <w:szCs w:val="27"/>
          <w:color w:val="auto"/>
        </w:rPr>
      </w:pPr>
    </w:p>
    <w:p>
      <w:pPr>
        <w:jc w:val="both"/>
        <w:ind w:left="660" w:right="220" w:hanging="434"/>
        <w:spacing w:after="0" w:line="312" w:lineRule="auto"/>
        <w:tabs>
          <w:tab w:leader="none" w:pos="660" w:val="left"/>
        </w:tabs>
        <w:numPr>
          <w:ilvl w:val="0"/>
          <w:numId w:val="70"/>
        </w:numPr>
        <w:rPr>
          <w:rFonts w:ascii="Arial" w:cs="Arial" w:eastAsia="Arial" w:hAnsi="Arial"/>
          <w:sz w:val="27"/>
          <w:szCs w:val="27"/>
          <w:color w:val="auto"/>
        </w:rPr>
      </w:pPr>
      <w:r>
        <w:rPr>
          <w:rFonts w:ascii="Arial" w:cs="Arial" w:eastAsia="Arial" w:hAnsi="Arial"/>
          <w:sz w:val="27"/>
          <w:szCs w:val="27"/>
          <w:color w:val="auto"/>
        </w:rPr>
        <w:t>Beynon R. et al. Is MRI better than CT for detecting a vascular component to dementia? A systematic review and meta-analysis //BMC neurology. – 2012. – Т. 12. – №. 1. – С. 33.</w:t>
      </w:r>
    </w:p>
    <w:p>
      <w:pPr>
        <w:sectPr>
          <w:pgSz w:w="11900" w:h="17037" w:orient="portrait"/>
          <w:cols w:equalWidth="0" w:num="1">
            <w:col w:w="9020"/>
          </w:cols>
          <w:pgMar w:left="1440" w:top="19" w:right="1440" w:bottom="0" w:gutter="0" w:footer="0" w:header="0"/>
        </w:sectPr>
      </w:pPr>
    </w:p>
    <w:bookmarkStart w:id="97" w:name="page98"/>
    <w:bookmarkEnd w:id="97"/>
    <w:p>
      <w:pPr>
        <w:jc w:val="both"/>
        <w:ind w:left="660" w:right="220" w:hanging="434"/>
        <w:spacing w:after="0" w:line="28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Creavin S. T. et al. Mini</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Mental State Examination (MMSE) for the detection of dementia in clinically unevaluated people aged 65 and over in community and primary care populations //Cochrane Database of Systematic Reviews. – 2016. – №. 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Tsoi KK, Chan JY, Hirai HW, et al. Cognitive tests to detect dementia: a systematic review and meta-analysis. JAMA Intern Med 2015;175:1450–1458.</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Mach F, Baigent C, Catapano A et al. 2019 ESC/EAS Guidelines for the management of dyslipidaemias: lipid modification to reduce cardiovascular risk: The Task Force for the management of dyslipidaemias of the European Society of Cardiology (ESC) and European Atherosclerosis Society (EAS). Eur Heart J 2019, published online on 31 August.</w:t>
      </w:r>
    </w:p>
    <w:p>
      <w:pPr>
        <w:spacing w:after="0" w:line="4"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Ebrahim, S., &amp; Smith, G. D. (1998). Lowering blood pressure: a systematic review of sustained effects of non-pharmacological interventions. Journal of Public Health, 20(4), 441–448.</w:t>
      </w:r>
    </w:p>
    <w:p>
      <w:pPr>
        <w:spacing w:after="0" w:line="2"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Sundstrom J, Arima H, Jackson R, et al. Blood Pressure-Lowering Treatment Trialists’ Collaboration. Effects of blood pressure reduction in mild hypertension: a systematic review and meta-analysis. Ann Intern Med 2015;162:184–191.</w:t>
      </w:r>
    </w:p>
    <w:p>
      <w:pPr>
        <w:spacing w:after="0" w:line="3"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Task FM, Hoes AW, Agewall S et al. 2016 European Guidelines on cardiovascular disease prevention in clinical practice: The Sixth Joint Task Force of the European Society of Cardiology and Other Societies on Cardiovascular Disease Prevention in Clinical Practice (constituted by representatives of 10 societies and by invited experts) Developed with the special contribution of the European Association for Cardiovascular Prevention &amp; Rehabilitation (EACPR). Eur Heart J 2016;37:2315–2381.</w:t>
      </w:r>
    </w:p>
    <w:p>
      <w:pPr>
        <w:spacing w:after="0" w:line="6" w:lineRule="exact"/>
        <w:rPr>
          <w:rFonts w:ascii="Arial" w:cs="Arial" w:eastAsia="Arial" w:hAnsi="Arial"/>
          <w:sz w:val="27"/>
          <w:szCs w:val="27"/>
          <w:color w:val="auto"/>
        </w:rPr>
      </w:pPr>
    </w:p>
    <w:p>
      <w:pPr>
        <w:jc w:val="both"/>
        <w:ind w:left="660" w:right="220" w:hanging="434"/>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blood-pressure-lowering treatment on outcome incidence. 12. Effects in individuals with high-normal and normal blood pressure: overview and meta-analyses of randomized trials. J Hypertens 2017;35:2150–2160.</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Beckett NS, Peters R, Fletcher AE et al. HYVET Study Group. Treatment of hypertension in patients 80 years of age or older. N Engl J Med 2008;358:1887–1898.</w:t>
      </w:r>
    </w:p>
    <w:p>
      <w:pPr>
        <w:spacing w:after="0" w:line="2" w:lineRule="exact"/>
        <w:rPr>
          <w:rFonts w:ascii="Arial" w:cs="Arial" w:eastAsia="Arial" w:hAnsi="Arial"/>
          <w:sz w:val="27"/>
          <w:szCs w:val="27"/>
          <w:color w:val="auto"/>
        </w:rPr>
      </w:pPr>
    </w:p>
    <w:p>
      <w:pPr>
        <w:ind w:left="660" w:right="220" w:hanging="569"/>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Thijs, Lutgarde, et al. A meta-analysis of outcome trials in elderly hypertensives. Journal of hypertension 10.10 (1992): 1103–1109.</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Lonn EM, Bosch J, Lopez-Jaramillo P et al. HOPE-3 Investigators. Blood-pressure lowering in. intermediate-risk persons without cardiovascular disease. N Engl J Med. 2016;374:2009–2020</w:t>
      </w:r>
    </w:p>
    <w:p>
      <w:pPr>
        <w:spacing w:after="0" w:line="2" w:lineRule="exact"/>
        <w:rPr>
          <w:rFonts w:ascii="Arial" w:cs="Arial" w:eastAsia="Arial" w:hAnsi="Arial"/>
          <w:sz w:val="27"/>
          <w:szCs w:val="27"/>
          <w:color w:val="auto"/>
        </w:rPr>
      </w:pPr>
    </w:p>
    <w:p>
      <w:pPr>
        <w:jc w:val="both"/>
        <w:ind w:left="660" w:right="220" w:hanging="569"/>
        <w:spacing w:after="0" w:line="334" w:lineRule="auto"/>
        <w:tabs>
          <w:tab w:leader="none" w:pos="660" w:val="left"/>
        </w:tabs>
        <w:numPr>
          <w:ilvl w:val="0"/>
          <w:numId w:val="71"/>
        </w:numPr>
        <w:rPr>
          <w:rFonts w:ascii="Arial" w:cs="Arial" w:eastAsia="Arial" w:hAnsi="Arial"/>
          <w:sz w:val="27"/>
          <w:szCs w:val="27"/>
          <w:color w:val="auto"/>
        </w:rPr>
      </w:pPr>
      <w:r>
        <w:rPr>
          <w:rFonts w:ascii="Arial" w:cs="Arial" w:eastAsia="Arial" w:hAnsi="Arial"/>
          <w:sz w:val="27"/>
          <w:szCs w:val="27"/>
          <w:color w:val="auto"/>
        </w:rPr>
        <w:t>Williamson JD, Supiano MA, Applegate WB et al. SPRINT Research Group. Intensive vs standard blood pressure control and</w:t>
      </w:r>
    </w:p>
    <w:p>
      <w:pPr>
        <w:sectPr>
          <w:pgSz w:w="11900" w:h="16840" w:orient="portrait"/>
          <w:cols w:equalWidth="0" w:num="1">
            <w:col w:w="9020"/>
          </w:cols>
          <w:pgMar w:left="1440" w:top="0" w:right="1440" w:bottom="0" w:gutter="0" w:footer="0" w:header="0"/>
        </w:sectPr>
      </w:pPr>
    </w:p>
    <w:bookmarkStart w:id="98" w:name="page99"/>
    <w:bookmarkEnd w:id="98"/>
    <w:p>
      <w:pPr>
        <w:spacing w:after="0" w:line="197" w:lineRule="exact"/>
        <w:rPr>
          <w:sz w:val="20"/>
          <w:szCs w:val="20"/>
          <w:color w:val="auto"/>
        </w:rPr>
      </w:pPr>
    </w:p>
    <w:p>
      <w:pPr>
        <w:ind w:left="660" w:right="220"/>
        <w:spacing w:after="0" w:line="301" w:lineRule="auto"/>
        <w:rPr>
          <w:sz w:val="20"/>
          <w:szCs w:val="20"/>
          <w:color w:val="auto"/>
        </w:rPr>
      </w:pPr>
      <w:r>
        <w:rPr>
          <w:rFonts w:ascii="Arial" w:cs="Arial" w:eastAsia="Arial" w:hAnsi="Arial"/>
          <w:sz w:val="27"/>
          <w:szCs w:val="27"/>
          <w:color w:val="auto"/>
        </w:rPr>
        <w:t>cardiovascular disease outcomes in adults aged &gt;_75 years: a randomized clinical trial. JAMA 2016;315:2673–2682.</w:t>
      </w:r>
    </w:p>
    <w:p>
      <w:pPr>
        <w:spacing w:after="0" w:line="2" w:lineRule="exact"/>
        <w:rPr>
          <w:sz w:val="20"/>
          <w:szCs w:val="20"/>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Beckett N, Peters R, Leonetti G, Duggan J, Fagard R, Thijs L, Narkiewicz K,McCormack T, Banya W, Fletcher A, Bulpitt C, HYVET Study Group. Subgroup and per-protocol analyses from the Hypertension in the Very Elderly Trial. J Hypertens 2014;32:1478– 1487.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 pressure lowering on . outcome incidence in hypertension. 1. Overview, meta-analyses, and meta-regression analyses of randomized trials. J Hypertens 2014;32:2285–2295.</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Patel A, ADVANCE Collaborative Group, MacMahon S, et al. Effects of a fixed combination of perindopril and indapamide on macrovascular and microvascular outcomes in patients with type 2 diabetes mellitus (the ADVANCE trial): a randomised controlled trial. Lancet 2007;370:829–840.]</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Hao G. et al. Effects of ACEI/ARB in hypertensive patients with type 2 diabetes mellitus: a meta-analysis of randomized controlled studies //BMC cardiovascular disorders. – 2014. – Т. 14. – №. 1. – С. 148.</w:t>
      </w:r>
    </w:p>
    <w:p>
      <w:pPr>
        <w:spacing w:after="0" w:line="3" w:lineRule="exact"/>
        <w:rPr>
          <w:rFonts w:ascii="Arial" w:cs="Arial" w:eastAsia="Arial" w:hAnsi="Arial"/>
          <w:sz w:val="27"/>
          <w:szCs w:val="27"/>
          <w:color w:val="auto"/>
        </w:rPr>
      </w:pPr>
    </w:p>
    <w:p>
      <w:pPr>
        <w:ind w:left="660" w:right="220" w:hanging="569"/>
        <w:spacing w:after="0" w:line="313" w:lineRule="auto"/>
        <w:tabs>
          <w:tab w:leader="none" w:pos="660" w:val="left"/>
        </w:tabs>
        <w:numPr>
          <w:ilvl w:val="0"/>
          <w:numId w:val="72"/>
        </w:numPr>
        <w:rPr>
          <w:rFonts w:ascii="Arial" w:cs="Arial" w:eastAsia="Arial" w:hAnsi="Arial"/>
          <w:sz w:val="26"/>
          <w:szCs w:val="26"/>
          <w:color w:val="auto"/>
        </w:rPr>
      </w:pPr>
      <w:r>
        <w:rPr>
          <w:rFonts w:ascii="Arial" w:cs="Arial" w:eastAsia="Arial" w:hAnsi="Arial"/>
          <w:sz w:val="26"/>
          <w:szCs w:val="26"/>
          <w:color w:val="auto"/>
        </w:rPr>
        <w:t>Garrison S. R. et al. Blood pressure targets for hypertension in older adults //Cochrane Database of Systematic Reviews. – 2017. – №. 8.</w:t>
      </w: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Prospective Studies Collaboration et al. Age-specific relevance of usual blood pressure to vascular mortality: a meta-analysis of individual data for one million adults in 61 prospective studies. The Lancet 2002;360(9349):1903–1913.</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 pressure lowering on outcome incidence in hypertension: 7. Effects of more vs. less intensive blood pressure lowering and different achieved blood pressure levels — updated overview and meta-analyses of randomized trials. J Hypertens 2016;34:613–622.</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Bohm M, Schumacher H, Teo KK et al. Achieved blood pressure and cardiovascular outcomes in high-risk patients: results from ONTARGET and TRANSCEND trials. Lancet 2017;389:2226–2237.</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Kjeldsen SE, Berge E, Bangalore S, et al. No evidence for a J-shaped curve in treated hypertensive patients with increased cardiovascular risk: The VALUE trial. Blood Press 2016;25:83–92.</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Mancia G, Kjeldsen SE, Zappe DH, et al. Cardiovascular outcomes at different on-treatment blood pressures in the hypertensive patients of the VALUE trial. Eur Heart J 2016;37:955–964.</w:t>
      </w:r>
    </w:p>
    <w:p>
      <w:pPr>
        <w:spacing w:after="0" w:line="2" w:lineRule="exact"/>
        <w:rPr>
          <w:rFonts w:ascii="Arial" w:cs="Arial" w:eastAsia="Arial" w:hAnsi="Arial"/>
          <w:sz w:val="27"/>
          <w:szCs w:val="27"/>
          <w:color w:val="auto"/>
        </w:rPr>
      </w:pPr>
    </w:p>
    <w:p>
      <w:pPr>
        <w:jc w:val="both"/>
        <w:ind w:left="660" w:right="220" w:hanging="569"/>
        <w:spacing w:after="0" w:line="312" w:lineRule="auto"/>
        <w:tabs>
          <w:tab w:leader="none" w:pos="660" w:val="left"/>
        </w:tabs>
        <w:numPr>
          <w:ilvl w:val="0"/>
          <w:numId w:val="72"/>
        </w:numPr>
        <w:rPr>
          <w:rFonts w:ascii="Arial" w:cs="Arial" w:eastAsia="Arial" w:hAnsi="Arial"/>
          <w:sz w:val="27"/>
          <w:szCs w:val="27"/>
          <w:color w:val="auto"/>
        </w:rPr>
      </w:pPr>
      <w:r>
        <w:rPr>
          <w:rFonts w:ascii="Arial" w:cs="Arial" w:eastAsia="Arial" w:hAnsi="Arial"/>
          <w:sz w:val="27"/>
          <w:szCs w:val="27"/>
          <w:color w:val="auto"/>
        </w:rPr>
        <w:t>Dickinson HO, Mason JM, Nicolson DJ et al. Lifestyle interventions to reduce raised blood pressure: a systematic review of randomized controlled trials. J Hypertens 2006;24:215–233.</w:t>
      </w:r>
    </w:p>
    <w:p>
      <w:pPr>
        <w:sectPr>
          <w:pgSz w:w="11900" w:h="17037" w:orient="portrait"/>
          <w:cols w:equalWidth="0" w:num="1">
            <w:col w:w="9020"/>
          </w:cols>
          <w:pgMar w:left="1440" w:top="19" w:right="1440" w:bottom="0" w:gutter="0" w:footer="0" w:header="0"/>
        </w:sectPr>
      </w:pPr>
    </w:p>
    <w:bookmarkStart w:id="99" w:name="page100"/>
    <w:bookmarkEnd w:id="99"/>
    <w:p>
      <w:pPr>
        <w:spacing w:after="0" w:line="199" w:lineRule="exact"/>
        <w:rPr>
          <w:sz w:val="20"/>
          <w:szCs w:val="20"/>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Lim SS et al. A comparative risk assessment of burden of disease and injury attributable to 67 risk factors and risk factor clusters in 21 regions, 1990–2010: a systematic analysis for the Global Burden of Disease Study 2010. The Lancet 380.9859 (2012): 2224–2260.</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He FJ, Li J, Macgregor GA. Effect of longer-term modest salt reduction on blood pressure. Cochrane Database Syst Rev 2013;4:CD004937.</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Graudal NA, Hubeck-Graudal T, Jurgens G. Effects of low-sodium diet vs. highsodium diet on blood pressure, renin, aldosterone, catecholamines, cholesterol, and triglyceride (Cochrane Review). Am J Hypertens 2012;25:1–15.</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Taylor RS, Ashton KE, Moxham T, et al. Reduced dietary salt for the prevention of cardiovascular disease: a meta-analysis of randomized controlled trials (Cochrane review). Am J Hypertens 2011;24:843–853.</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Aburto NJ, Ziolkovska A, Hooper L, et al. Effect of lower sodium intake on health: systematic review and meta-analyses. BMJ 2013;346:f1326.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Xin Xue et al. Effects of alcohol reduction on blood pressure: a meta-analysis of randomized controlled trials. Hypertension 38.5 (2001): 1112–1117.</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Gay H. C. et al. Effects of different dietary interventions on blood pressure: systematic review and meta-analysis of randomized controlled trials //Hypertension. – 2016. – Т. 67. – №. 4. – С. 733-739.</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Neter JE, Stam BE, Kok FJ, et al. Influence of weight reduction on blood pressure: a meta-analysis of randomized controlled trials.Hypertension 2003;42:878–884.</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Flegal KM, Kit BK, Orpana H, Graubard BI. Association of all-cause mortality with overweight and obesity using standard body mass index categories: a systematic review and meta-analysis. JAMA 2013;309:71–82.</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Berrington de Gonzalez A et al. Body-mass index and mortality among 1.46 million white adults. New England Journal of Medicine 363.23 (2010): 2211–2219.</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Leitzmann MF et al. Physical activity recommendations and decreased risk of mortality. Archives of internal medicine 167.22 (2007): 2453–2460.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Rossi A et al. The impact of physical activity on mortality in patients with high blood pressure: a systematic review. Journal of hypertension 30.7 (2012): 1277–1288.</w:t>
      </w:r>
    </w:p>
    <w:p>
      <w:pPr>
        <w:spacing w:after="0" w:line="2" w:lineRule="exact"/>
        <w:rPr>
          <w:rFonts w:ascii="Arial" w:cs="Arial" w:eastAsia="Arial" w:hAnsi="Arial"/>
          <w:sz w:val="27"/>
          <w:szCs w:val="27"/>
          <w:color w:val="auto"/>
        </w:rPr>
      </w:pPr>
    </w:p>
    <w:p>
      <w:pPr>
        <w:ind w:left="660" w:right="220" w:hanging="569"/>
        <w:spacing w:after="0" w:line="318" w:lineRule="auto"/>
        <w:tabs>
          <w:tab w:leader="none" w:pos="660" w:val="left"/>
        </w:tabs>
        <w:numPr>
          <w:ilvl w:val="0"/>
          <w:numId w:val="73"/>
        </w:numPr>
        <w:rPr>
          <w:rFonts w:ascii="Arial" w:cs="Arial" w:eastAsia="Arial" w:hAnsi="Arial"/>
          <w:sz w:val="27"/>
          <w:szCs w:val="27"/>
          <w:color w:val="auto"/>
        </w:rPr>
      </w:pPr>
      <w:r>
        <w:rPr>
          <w:rFonts w:ascii="Arial" w:cs="Arial" w:eastAsia="Arial" w:hAnsi="Arial"/>
          <w:sz w:val="27"/>
          <w:szCs w:val="27"/>
          <w:color w:val="auto"/>
        </w:rPr>
        <w:t>Shinton R, Beevers G. Meta-analysis of relation between cigarette smoking and stroke. Bmj 298.6676 (1989): 789–794.</w:t>
      </w:r>
    </w:p>
    <w:p>
      <w:pPr>
        <w:sectPr>
          <w:pgSz w:w="11900" w:h="17039" w:orient="portrait"/>
          <w:cols w:equalWidth="0" w:num="1">
            <w:col w:w="9020"/>
          </w:cols>
          <w:pgMar w:left="1440" w:top="19" w:right="1440" w:bottom="0" w:gutter="0" w:footer="0" w:header="0"/>
        </w:sectPr>
      </w:pPr>
    </w:p>
    <w:bookmarkStart w:id="100" w:name="page101"/>
    <w:bookmarkEnd w:id="100"/>
    <w:p>
      <w:pPr>
        <w:spacing w:after="0" w:line="199" w:lineRule="exact"/>
        <w:rPr>
          <w:sz w:val="20"/>
          <w:szCs w:val="20"/>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He Jiang et al. Passive smoking and the risk of coronary heart disease—a meta-analysis of epidemiologic studies. New England Journal of Medicine 340.12 (1999): 920-926.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Linneberg A et al. Effect of smoking on blood pressure and resting heart rate: a mendelian randomization meta-analysis in the CARTA Consortium. Circulation: Cardiovascular Genetics 8.6 (2015): 832– 841.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Matsuzaki M, Ogihara T, Umemoto S et al. Combination Therapy of Hypertension to Prevent Cardiovascular Events Trial Group. Prevention of cardiovascular events with calcium channel blocker-based combination therapies in patients with hypertension: a randomized controlled trial. J Hypertens 2011;29:1649–1659.</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MacDonald TM, Williams B, Webb DJ et al. British Hypertension Society Programme of Prevention And Treatment of Hypertension With Algorithm-based Therapy (PATHWAY). Combination therapy is superior to sequential monotherapy for the initial treatment of hypertension: a double-blind randomized controlled trial. J Am Heart Assoc 2017;6:e006986.</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Egan BM, Bandyopadhyay D, Shaftman SR et al. Initial monotherapy and combination therapy and hypertension control the first year. Hypertension 2012;59:1124–1131.</w:t>
      </w:r>
    </w:p>
    <w:p>
      <w:pPr>
        <w:spacing w:after="0" w:line="2" w:lineRule="exact"/>
        <w:rPr>
          <w:rFonts w:ascii="Arial" w:cs="Arial" w:eastAsia="Arial" w:hAnsi="Arial"/>
          <w:sz w:val="27"/>
          <w:szCs w:val="27"/>
          <w:color w:val="auto"/>
        </w:rPr>
      </w:pPr>
    </w:p>
    <w:p>
      <w:pPr>
        <w:jc w:val="both"/>
        <w:ind w:left="660" w:right="220" w:hanging="569"/>
        <w:spacing w:after="0" w:line="294"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Corrao G, Parodi A, Zambon A, et al. Reduced discontinuation of antihypertensive treatment by two-drug combination as first step. Evidence from daily life practice. J Hypertens 2010;28:1584–1590.</w:t>
      </w:r>
    </w:p>
    <w:p>
      <w:pPr>
        <w:spacing w:after="0" w:line="1" w:lineRule="exact"/>
        <w:rPr>
          <w:rFonts w:ascii="Arial" w:cs="Arial" w:eastAsia="Arial" w:hAnsi="Arial"/>
          <w:sz w:val="27"/>
          <w:szCs w:val="27"/>
          <w:color w:val="auto"/>
        </w:rPr>
      </w:pPr>
    </w:p>
    <w:p>
      <w:pPr>
        <w:jc w:val="both"/>
        <w:ind w:left="660" w:right="220" w:hanging="569"/>
        <w:spacing w:after="0" w:line="277"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Garjón J. et al. First</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line combination therapy versus first</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line monotherapy for primary hypertension //Cochrane Database of Systematic Reviews. – 2017. – №. 1.</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Volpe M, Christian Rump L, Ammentorp B, Laeis P. Efficacy and safety of triple antihypertensive therapy with the olmesartan/amlodipine/hydrochlorothiazide combination. Clin Drug Investig 2012;32:649–664.</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Pongpanich P. et al. The benefits of angiotensin-converting enzyme inhibitors/angiotensin II receptor blockers combined with calcium channel blockers on metabolic, renal, and cardiovascular outcomes in hypertensive patients: a meta-analysis //International urology and nephrology. – 2018. – Т. 50. – №. 12. – С. 2261-2278.</w:t>
      </w:r>
    </w:p>
    <w:p>
      <w:pPr>
        <w:spacing w:after="0" w:line="3" w:lineRule="exact"/>
        <w:rPr>
          <w:rFonts w:ascii="Arial" w:cs="Arial" w:eastAsia="Arial" w:hAnsi="Arial"/>
          <w:sz w:val="27"/>
          <w:szCs w:val="27"/>
          <w:color w:val="auto"/>
        </w:rPr>
      </w:pPr>
    </w:p>
    <w:p>
      <w:pPr>
        <w:jc w:val="both"/>
        <w:ind w:left="660" w:right="220" w:hanging="569"/>
        <w:spacing w:after="0" w:line="313" w:lineRule="auto"/>
        <w:tabs>
          <w:tab w:leader="none" w:pos="660" w:val="left"/>
        </w:tabs>
        <w:numPr>
          <w:ilvl w:val="0"/>
          <w:numId w:val="74"/>
        </w:numPr>
        <w:rPr>
          <w:rFonts w:ascii="Arial" w:cs="Arial" w:eastAsia="Arial" w:hAnsi="Arial"/>
          <w:sz w:val="26"/>
          <w:szCs w:val="26"/>
          <w:color w:val="auto"/>
        </w:rPr>
      </w:pPr>
      <w:r>
        <w:rPr>
          <w:rFonts w:ascii="Arial" w:cs="Arial" w:eastAsia="Arial" w:hAnsi="Arial"/>
          <w:sz w:val="26"/>
          <w:szCs w:val="26"/>
          <w:color w:val="auto"/>
        </w:rPr>
        <w:t>Williams B, MacDonald TM, Morant S, et al. British Hypertension Society"s PATHWAY Studies Group. Spironolactone versus placebo, bisoprolol, and doxazosin to determine the optimal treatment for drug-resistant hypertension (PATHWAY-2): a randomised, double-blind, crossover trial. Lancet 2015;386:2059–2068.</w:t>
      </w:r>
    </w:p>
    <w:p>
      <w:pPr>
        <w:spacing w:after="0" w:line="1" w:lineRule="exact"/>
        <w:rPr>
          <w:rFonts w:ascii="Arial" w:cs="Arial" w:eastAsia="Arial" w:hAnsi="Arial"/>
          <w:sz w:val="26"/>
          <w:szCs w:val="26"/>
          <w:color w:val="auto"/>
        </w:rPr>
      </w:pPr>
    </w:p>
    <w:p>
      <w:pPr>
        <w:jc w:val="both"/>
        <w:ind w:left="660" w:right="220" w:hanging="569"/>
        <w:spacing w:after="0" w:line="318" w:lineRule="auto"/>
        <w:tabs>
          <w:tab w:leader="none" w:pos="660" w:val="left"/>
        </w:tabs>
        <w:numPr>
          <w:ilvl w:val="0"/>
          <w:numId w:val="74"/>
        </w:numPr>
        <w:rPr>
          <w:rFonts w:ascii="Arial" w:cs="Arial" w:eastAsia="Arial" w:hAnsi="Arial"/>
          <w:sz w:val="27"/>
          <w:szCs w:val="27"/>
          <w:color w:val="auto"/>
        </w:rPr>
      </w:pPr>
      <w:r>
        <w:rPr>
          <w:rFonts w:ascii="Arial" w:cs="Arial" w:eastAsia="Arial" w:hAnsi="Arial"/>
          <w:sz w:val="27"/>
          <w:szCs w:val="27"/>
          <w:color w:val="auto"/>
        </w:rPr>
        <w:t>Carey RM, Calhoun DA, Bakris GL. Resistant Hypertension: Detection, Evaluation, and Management: A Scientific Statement</w:t>
      </w:r>
    </w:p>
    <w:p>
      <w:pPr>
        <w:sectPr>
          <w:pgSz w:w="11900" w:h="17039" w:orient="portrait"/>
          <w:cols w:equalWidth="0" w:num="1">
            <w:col w:w="9020"/>
          </w:cols>
          <w:pgMar w:left="1440" w:top="19" w:right="1440" w:bottom="0" w:gutter="0" w:footer="0" w:header="0"/>
        </w:sectPr>
      </w:pPr>
    </w:p>
    <w:bookmarkStart w:id="101" w:name="page102"/>
    <w:bookmarkEnd w:id="101"/>
    <w:p>
      <w:pPr>
        <w:ind w:left="660" w:right="220"/>
        <w:spacing w:after="0" w:line="301" w:lineRule="auto"/>
        <w:rPr>
          <w:sz w:val="20"/>
          <w:szCs w:val="20"/>
          <w:color w:val="auto"/>
        </w:rPr>
      </w:pPr>
      <w:r>
        <w:rPr>
          <w:rFonts w:ascii="Arial" w:cs="Arial" w:eastAsia="Arial" w:hAnsi="Arial"/>
          <w:sz w:val="27"/>
          <w:szCs w:val="27"/>
          <w:color w:val="auto"/>
        </w:rPr>
        <w:t>From the American Heart Association. Hypertension. 2018 Nov;72(5):e53-e90.</w:t>
      </w:r>
    </w:p>
    <w:p>
      <w:pPr>
        <w:spacing w:after="0" w:line="2" w:lineRule="exact"/>
        <w:rPr>
          <w:sz w:val="20"/>
          <w:szCs w:val="20"/>
          <w:color w:val="auto"/>
        </w:rPr>
      </w:pP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Makani H. et al. Efficacy and safety of dual blockade of the renin-angiotensin system: meta-analysis of randomised trials. Bmj 346 (2013): f360.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 pressure-lowering on outcome incidence in hypertension: 5. Head-to-head comparisons of various classes of antihypertensive drugs — overview and meta-analyses. J Hypertens 2015;33:1321–1341.</w:t>
      </w:r>
    </w:p>
    <w:p>
      <w:pPr>
        <w:spacing w:after="0" w:line="3"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Volpe M, Mancia G, Trimarco B. Angiotensin II receptor blockers and myocardial infarction: deeds and misdeeds. J Hypertens 2005;23:2113–2118.</w:t>
      </w:r>
      <w:r>
        <w:rPr>
          <w:rFonts w:ascii="Lucida Sans Unicode" w:cs="Lucida Sans Unicode" w:eastAsia="Lucida Sans Unicode" w:hAnsi="Lucida Sans Unicode"/>
          <w:sz w:val="27"/>
          <w:szCs w:val="27"/>
          <w:color w:val="auto"/>
        </w:rPr>
        <w:t> </w:t>
      </w: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Reboldi G, Angeli F, Cavallini C, Gentile G, Mancia G, Verdecchia P. Comparison between angiotensin-converting enzyme inhibitors and angiotensin receptor blockers on the risk of myocardial infarction, stroke and death: a meta-analysis. J Hypertens 2008;26:1282–1289.</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blood-pressure-lowering treatment in hypertension: 9. Discontinuations for adverse events attributed to different classes of antihypertensive drugs: meta-analyses of randomized trials. J Hypertens 2016;34:1921–1932.</w:t>
      </w:r>
    </w:p>
    <w:p>
      <w:pPr>
        <w:spacing w:after="0" w:line="3"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Kronish IM, Woodward M, Sergie Z, et al. Meta-analysis: impact of drug class on adherence to antihypertensives. Circulation 2011;123:1611–1621.</w:t>
      </w:r>
      <w:r>
        <w:rPr>
          <w:rFonts w:ascii="Lucida Sans Unicode" w:cs="Lucida Sans Unicode" w:eastAsia="Lucida Sans Unicode" w:hAnsi="Lucida Sans Unicode"/>
          <w:sz w:val="27"/>
          <w:szCs w:val="27"/>
          <w:color w:val="auto"/>
        </w:rPr>
        <w:t> </w:t>
      </w: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Fried LF, Emanuele N, Zhang JH, et al. NEPHRON-D Investigators. Combined angiotensin inhibition for the treatment of diabetic nephropathy. N Engl J Med 2013;369:1892–1903.</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Yusuf S, Teo KK, Pogue J, et al. ONTARGET Investigators, Telmisartan, ramipril, or both in patients at high risk for vascular events. N Engl J Med 2008;358:1547–1559.</w:t>
      </w:r>
    </w:p>
    <w:p>
      <w:pPr>
        <w:spacing w:after="0" w:line="2"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 pressure lowering on outcome incidence in hypertension: 4. Effects of various classes of antihypertensive drugs — overview and meta-analyses. J Hypertens 2015;33:195–211.</w:t>
      </w:r>
      <w:r>
        <w:rPr>
          <w:rFonts w:ascii="Lucida Sans Unicode" w:cs="Lucida Sans Unicode" w:eastAsia="Lucida Sans Unicode" w:hAnsi="Lucida Sans Unicode"/>
          <w:sz w:val="27"/>
          <w:szCs w:val="27"/>
          <w:color w:val="auto"/>
        </w:rPr>
        <w:t> </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Corrao G, Zambon A, Parodi A, et al. Discontinuation of and changes in drug therapy for hypertension among newly-treated patients: a population-based study in Italy. J Hypertens 2008;26:819–824.</w:t>
      </w:r>
    </w:p>
    <w:p>
      <w:pPr>
        <w:spacing w:after="0" w:line="3" w:lineRule="exact"/>
        <w:rPr>
          <w:rFonts w:ascii="Arial" w:cs="Arial" w:eastAsia="Arial" w:hAnsi="Arial"/>
          <w:sz w:val="27"/>
          <w:szCs w:val="27"/>
          <w:color w:val="auto"/>
        </w:rPr>
      </w:pPr>
    </w:p>
    <w:p>
      <w:pPr>
        <w:jc w:val="both"/>
        <w:ind w:left="660" w:right="220" w:hanging="569"/>
        <w:spacing w:after="0" w:line="317" w:lineRule="auto"/>
        <w:tabs>
          <w:tab w:leader="none" w:pos="660" w:val="left"/>
        </w:tabs>
        <w:numPr>
          <w:ilvl w:val="0"/>
          <w:numId w:val="75"/>
        </w:numPr>
        <w:rPr>
          <w:rFonts w:ascii="Arial" w:cs="Arial" w:eastAsia="Arial" w:hAnsi="Arial"/>
          <w:sz w:val="27"/>
          <w:szCs w:val="27"/>
          <w:color w:val="auto"/>
        </w:rPr>
      </w:pPr>
      <w:r>
        <w:rPr>
          <w:rFonts w:ascii="Arial" w:cs="Arial" w:eastAsia="Arial" w:hAnsi="Arial"/>
          <w:sz w:val="27"/>
          <w:szCs w:val="27"/>
          <w:color w:val="auto"/>
        </w:rPr>
        <w:t>Brown MJ, Williams B, Morant SV, et al. Effect of amiloride, or amiloride plus hydrochlorothiazide, versus hydro- chlorothiazide on glucose tolerance and blood pressure (PATHWAY-3): a parallel-</w:t>
      </w:r>
    </w:p>
    <w:p>
      <w:pPr>
        <w:sectPr>
          <w:pgSz w:w="11900" w:h="16840" w:orient="portrait"/>
          <w:cols w:equalWidth="0" w:num="1">
            <w:col w:w="9020"/>
          </w:cols>
          <w:pgMar w:left="1440" w:top="19" w:right="1440" w:bottom="0" w:gutter="0" w:footer="0" w:header="0"/>
        </w:sectPr>
      </w:pPr>
    </w:p>
    <w:bookmarkStart w:id="102" w:name="page103"/>
    <w:bookmarkEnd w:id="102"/>
    <w:p>
      <w:pPr>
        <w:ind w:left="660" w:right="220"/>
        <w:spacing w:after="0" w:line="301" w:lineRule="auto"/>
        <w:rPr>
          <w:sz w:val="20"/>
          <w:szCs w:val="20"/>
          <w:color w:val="auto"/>
        </w:rPr>
      </w:pPr>
      <w:r>
        <w:rPr>
          <w:rFonts w:ascii="Arial" w:cs="Arial" w:eastAsia="Arial" w:hAnsi="Arial"/>
          <w:sz w:val="27"/>
          <w:szCs w:val="27"/>
          <w:color w:val="auto"/>
        </w:rPr>
        <w:t>group, double-blind randomised phase 4 trial. Lancet Diabetes Endocrinol 2016;4:136–147.</w:t>
      </w:r>
    </w:p>
    <w:p>
      <w:pPr>
        <w:spacing w:after="0" w:line="2" w:lineRule="exact"/>
        <w:rPr>
          <w:sz w:val="20"/>
          <w:szCs w:val="20"/>
          <w:color w:val="auto"/>
        </w:rPr>
      </w:pPr>
    </w:p>
    <w:p>
      <w:pPr>
        <w:jc w:val="both"/>
        <w:ind w:left="660" w:right="220" w:hanging="569"/>
        <w:spacing w:after="0" w:line="278"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Rimoldi SF et al. Efficacy and safety of calcium channel blocker/diuretics combination therapy in hypertensive patients: a meta</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analysis. The Journal of Clinical Hypertension 17.3 (2015):193–199.</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Wald DS et al. Combination therapy versus monotherapy in reducing blood pressure: meta-analysis on 11,000 participants from 42 trials. The American journal of medicine 122.3 (2009):290–300.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Kang Seng et al. A systematic review and meta-analysis of the efficacy and safety of a fixed, low-dose perindopril-indapamide combination as first-line treatment of hypertension. Clinical therapeutics 26.2 (2004): 257–270.</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Webb AJS et al. Effects of antihypertensive-drug class on interindividual variation in blood pressure and risk of stroke: a systematic review and meta-analysis. The Lancet 375.9718 (2010): 906–915.</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Чазова И</w:t>
      </w:r>
      <w:r>
        <w:rPr>
          <w:rFonts w:ascii="Arial" w:cs="Arial" w:eastAsia="Arial" w:hAnsi="Arial"/>
          <w:sz w:val="27"/>
          <w:szCs w:val="27"/>
          <w:color w:val="auto"/>
        </w:rPr>
        <w:t>.</w:t>
      </w:r>
      <w:r>
        <w:rPr>
          <w:rFonts w:ascii="Arial" w:cs="Arial" w:eastAsia="Arial" w:hAnsi="Arial"/>
          <w:sz w:val="27"/>
          <w:szCs w:val="27"/>
          <w:color w:val="auto"/>
        </w:rPr>
        <w:t xml:space="preserve"> Е</w:t>
      </w:r>
      <w:r>
        <w:rPr>
          <w:rFonts w:ascii="Arial" w:cs="Arial" w:eastAsia="Arial" w:hAnsi="Arial"/>
          <w:sz w:val="27"/>
          <w:szCs w:val="27"/>
          <w:color w:val="auto"/>
        </w:rPr>
        <w:t>.,</w:t>
      </w:r>
      <w:r>
        <w:rPr>
          <w:rFonts w:ascii="Arial" w:cs="Arial" w:eastAsia="Arial" w:hAnsi="Arial"/>
          <w:sz w:val="27"/>
          <w:szCs w:val="27"/>
          <w:color w:val="auto"/>
        </w:rPr>
        <w:t xml:space="preserve"> Мычка В</w:t>
      </w:r>
      <w:r>
        <w:rPr>
          <w:rFonts w:ascii="Arial" w:cs="Arial" w:eastAsia="Arial" w:hAnsi="Arial"/>
          <w:sz w:val="27"/>
          <w:szCs w:val="27"/>
          <w:color w:val="auto"/>
        </w:rPr>
        <w:t>.</w:t>
      </w:r>
      <w:r>
        <w:rPr>
          <w:rFonts w:ascii="Arial" w:cs="Arial" w:eastAsia="Arial" w:hAnsi="Arial"/>
          <w:sz w:val="27"/>
          <w:szCs w:val="27"/>
          <w:color w:val="auto"/>
        </w:rPr>
        <w:t xml:space="preserve"> Б</w:t>
      </w:r>
      <w:r>
        <w:rPr>
          <w:rFonts w:ascii="Arial" w:cs="Arial" w:eastAsia="Arial" w:hAnsi="Arial"/>
          <w:sz w:val="27"/>
          <w:szCs w:val="27"/>
          <w:color w:val="auto"/>
        </w:rPr>
        <w:t>.</w:t>
      </w:r>
      <w:r>
        <w:rPr>
          <w:rFonts w:ascii="Arial" w:cs="Arial" w:eastAsia="Arial" w:hAnsi="Arial"/>
          <w:sz w:val="27"/>
          <w:szCs w:val="27"/>
          <w:color w:val="auto"/>
        </w:rPr>
        <w:t xml:space="preserve"> Новые возможности в лечении больных с метаболическим синдромом</w:t>
      </w:r>
      <w:r>
        <w:rPr>
          <w:rFonts w:ascii="Arial" w:cs="Arial" w:eastAsia="Arial" w:hAnsi="Arial"/>
          <w:sz w:val="27"/>
          <w:szCs w:val="27"/>
          <w:color w:val="auto"/>
        </w:rPr>
        <w:t>:</w:t>
      </w:r>
      <w:r>
        <w:rPr>
          <w:rFonts w:ascii="Arial" w:cs="Arial" w:eastAsia="Arial" w:hAnsi="Arial"/>
          <w:sz w:val="27"/>
          <w:szCs w:val="27"/>
          <w:color w:val="auto"/>
        </w:rPr>
        <w:t xml:space="preserve"> результаты исследования </w:t>
      </w:r>
      <w:r>
        <w:rPr>
          <w:rFonts w:ascii="Arial" w:cs="Arial" w:eastAsia="Arial" w:hAnsi="Arial"/>
          <w:sz w:val="27"/>
          <w:szCs w:val="27"/>
          <w:color w:val="auto"/>
        </w:rPr>
        <w:t>ALMAZ,</w:t>
      </w:r>
      <w:r>
        <w:rPr>
          <w:rFonts w:ascii="Arial" w:cs="Arial" w:eastAsia="Arial" w:hAnsi="Arial"/>
          <w:sz w:val="27"/>
          <w:szCs w:val="27"/>
          <w:color w:val="auto"/>
        </w:rPr>
        <w:t xml:space="preserve"> Системные гипертензии </w:t>
      </w:r>
      <w:r>
        <w:rPr>
          <w:rFonts w:ascii="Arial" w:cs="Arial" w:eastAsia="Arial" w:hAnsi="Arial"/>
          <w:sz w:val="27"/>
          <w:szCs w:val="27"/>
          <w:color w:val="auto"/>
        </w:rPr>
        <w:t>2006;2:14–17.</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Schlaich MP. Improved hypertension control with the imidazoline agonist moxonidine in a multinational metabolic syndrome population: principal results of the MERSY study. International journal of hypertension 2013 (2013).</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Rayner B. Selective imidazoline agonist moxonidine plus the ACE inhibitor ramipril in hypertensive patients with impaired insulin sensitivity: partners in a successful MARRIAGE? Current medical research and opinion 20.3 (2004): 359–367.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Bhatt DL, Kandzari DE, O’Neill WW, et al. for the Symplicity HTN-3 Investigators. A controlled trial of renal denervation for resistant hypertension. N Engl J Med 2014;370:1393–1401.</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Mathiassen ON, Vase H, Bech JN, et al. Renal denervation in treatment-resistant essential hypertension. A randomized, SHAM-controlled, double-blinded 24-h blood pressure-based trial. J Hypertens 2016;34:1639–1647.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DiBona GF. Physiology in perspective: the wisdom of the body. Neural control . of the kidney. Am J Physiol Regul Integr Comp Physiol 2005;289:R633–R641.</w:t>
      </w:r>
    </w:p>
    <w:p>
      <w:pPr>
        <w:spacing w:after="0" w:line="2" w:lineRule="exact"/>
        <w:rPr>
          <w:rFonts w:ascii="Arial" w:cs="Arial" w:eastAsia="Arial" w:hAnsi="Arial"/>
          <w:sz w:val="27"/>
          <w:szCs w:val="27"/>
          <w:color w:val="auto"/>
        </w:rPr>
      </w:pPr>
    </w:p>
    <w:p>
      <w:pPr>
        <w:jc w:val="both"/>
        <w:ind w:left="660" w:right="220" w:hanging="569"/>
        <w:spacing w:after="0" w:line="312" w:lineRule="auto"/>
        <w:tabs>
          <w:tab w:leader="none" w:pos="660" w:val="left"/>
        </w:tabs>
        <w:numPr>
          <w:ilvl w:val="0"/>
          <w:numId w:val="76"/>
        </w:numPr>
        <w:rPr>
          <w:rFonts w:ascii="Arial" w:cs="Arial" w:eastAsia="Arial" w:hAnsi="Arial"/>
          <w:sz w:val="27"/>
          <w:szCs w:val="27"/>
          <w:color w:val="auto"/>
        </w:rPr>
      </w:pPr>
      <w:r>
        <w:rPr>
          <w:rFonts w:ascii="Arial" w:cs="Arial" w:eastAsia="Arial" w:hAnsi="Arial"/>
          <w:sz w:val="27"/>
          <w:szCs w:val="27"/>
          <w:color w:val="auto"/>
        </w:rPr>
        <w:t>Mahfoud F, Bohm M, Azizi M et al. Proceedings from the European Clinical Consensus Conference for Renal Denervation: considerations on future clinical trial design. Eur Heart J 2015;36:2219–2227.</w:t>
      </w:r>
    </w:p>
    <w:p>
      <w:pPr>
        <w:sectPr>
          <w:pgSz w:w="11900" w:h="16840" w:orient="portrait"/>
          <w:cols w:equalWidth="0" w:num="1">
            <w:col w:w="9020"/>
          </w:cols>
          <w:pgMar w:left="1440" w:top="19" w:right="1440" w:bottom="0" w:gutter="0" w:footer="0" w:header="0"/>
        </w:sectPr>
      </w:pPr>
    </w:p>
    <w:bookmarkStart w:id="103" w:name="page104"/>
    <w:bookmarkEnd w:id="103"/>
    <w:p>
      <w:pPr>
        <w:spacing w:after="0" w:line="195" w:lineRule="exact"/>
        <w:rPr>
          <w:sz w:val="20"/>
          <w:szCs w:val="20"/>
          <w:color w:val="auto"/>
        </w:rPr>
      </w:pPr>
    </w:p>
    <w:p>
      <w:pPr>
        <w:jc w:val="both"/>
        <w:ind w:left="660" w:right="220" w:hanging="569"/>
        <w:spacing w:after="0" w:line="27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 xml:space="preserve">Narkiewicz K, Ratcliffe LE, Hart EC, et al. Unilateral carotid body resection in resistant hypertension: a safety and feasibility trial. JACC Basic Transl Sci 2016;1:313–324. </w:t>
      </w:r>
      <w:r>
        <w:rPr>
          <w:rFonts w:ascii="Lucida Sans Unicode" w:cs="Lucida Sans Unicode" w:eastAsia="Lucida Sans Unicode" w:hAnsi="Lucida Sans Unicode"/>
          <w:sz w:val="27"/>
          <w:szCs w:val="27"/>
          <w:color w:val="auto"/>
        </w:rPr>
        <w:t> </w:t>
      </w: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Bohm M, Mahfoud F, Ukena C et al. GSR Investigators. First report of the Global SYMPLICITY Registry on the effect of renal artery denervation in patients with uncontrolled hyper- tension. Hypertension 2015;65:766–774.</w:t>
      </w:r>
    </w:p>
    <w:p>
      <w:pPr>
        <w:spacing w:after="0" w:line="3" w:lineRule="exact"/>
        <w:rPr>
          <w:rFonts w:ascii="Arial" w:cs="Arial" w:eastAsia="Arial" w:hAnsi="Arial"/>
          <w:sz w:val="27"/>
          <w:szCs w:val="27"/>
          <w:color w:val="auto"/>
        </w:rPr>
      </w:pPr>
    </w:p>
    <w:p>
      <w:pPr>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Ng FL, Saxena M, Mahfoud F, et al. Device-based therapy for hypertension. Curr Hypertens Rep 2016;18:61.</w:t>
      </w:r>
    </w:p>
    <w:p>
      <w:pPr>
        <w:spacing w:after="0" w:line="1" w:lineRule="exact"/>
        <w:rPr>
          <w:rFonts w:ascii="Arial" w:cs="Arial" w:eastAsia="Arial" w:hAnsi="Arial"/>
          <w:sz w:val="27"/>
          <w:szCs w:val="27"/>
          <w:color w:val="auto"/>
        </w:rPr>
      </w:pPr>
    </w:p>
    <w:p>
      <w:pPr>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Burchell AE, Lobo MD, Sulke N, et al. Arteriovenous anastomosis: is this the way to control hypertension? Hypertension 2014;64:6–12.</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Kario K. et al. Comparative Effects of an Angiotensin II Receptor Blocker (ARB)/Diuretic vs. ARB/Calcium-Channel Blocker Combination on Uncontrolled Nocturnal Hypertension Evaluated by Information and Communication Technology-Based Nocturnal Home Blood Pressure Monitoring</w:t>
      </w:r>
      <w:r>
        <w:rPr>
          <w:rFonts w:ascii="Times New Roman" w:cs="Times New Roman" w:eastAsia="Times New Roman" w:hAnsi="Times New Roman"/>
          <w:sz w:val="27"/>
          <w:szCs w:val="27"/>
          <w:color w:val="auto"/>
        </w:rPr>
        <w:t>―</w:t>
      </w:r>
      <w:r>
        <w:rPr>
          <w:rFonts w:ascii="Arial" w:cs="Arial" w:eastAsia="Arial" w:hAnsi="Arial"/>
          <w:sz w:val="27"/>
          <w:szCs w:val="27"/>
          <w:color w:val="auto"/>
        </w:rPr>
        <w:t>The NOCTURNE Study</w:t>
      </w:r>
      <w:r>
        <w:rPr>
          <w:rFonts w:ascii="Times New Roman" w:cs="Times New Roman" w:eastAsia="Times New Roman" w:hAnsi="Times New Roman"/>
          <w:sz w:val="27"/>
          <w:szCs w:val="27"/>
          <w:color w:val="auto"/>
        </w:rPr>
        <w:t>―</w:t>
      </w:r>
      <w:r>
        <w:rPr>
          <w:rFonts w:ascii="Arial" w:cs="Arial" w:eastAsia="Arial" w:hAnsi="Arial"/>
          <w:sz w:val="27"/>
          <w:szCs w:val="27"/>
          <w:color w:val="auto"/>
        </w:rPr>
        <w:t xml:space="preserve"> //Circulation Journal. – 2017. – Т. 81. – №. 7. – С. 948-957.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Tsai WC, Wu HY, Peng YS, et al. Association of intensive blood pressure control and kidney disease progression in nondiabetic patients with chronic kidney disease: a systematic review and meta-analysis. JAMA Intern Med 2017;177:792–799.</w:t>
      </w:r>
    </w:p>
    <w:p>
      <w:pPr>
        <w:spacing w:after="0" w:line="3" w:lineRule="exact"/>
        <w:rPr>
          <w:rFonts w:ascii="Arial" w:cs="Arial" w:eastAsia="Arial" w:hAnsi="Arial"/>
          <w:sz w:val="27"/>
          <w:szCs w:val="27"/>
          <w:color w:val="auto"/>
        </w:rPr>
      </w:pPr>
    </w:p>
    <w:p>
      <w:pPr>
        <w:jc w:val="both"/>
        <w:ind w:left="660" w:right="220" w:hanging="569"/>
        <w:spacing w:after="0" w:line="314"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Jafar TH, Stark PC, Schmid CH, et al. AIPRD Study Group. Progression of chronic kid- ney disease: the role of blood pressure control, proteinuria, and angiotensin- converting enzyme inhibition: a patient-level meta-analysis. Ann Intern Med 2003;139:244–252.</w:t>
      </w:r>
    </w:p>
    <w:p>
      <w:pPr>
        <w:spacing w:after="0" w:line="325"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Sim JJ, Shi J, Kovesdy CP, et al. Impact of achieved blood pressures on mortality risk and end-stage renal disease among a large, diverse hypertension population. J Am Coll Cardiol 2014;64:588– 597.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Bakris GL, Sarafidis PA, Weir MR, et al. ACCOMPLISH Trial Investigators. Renal outcomes with different fixed-dose combination therapies in patients with hypertension at high risk for cardiovascular events (ACCOMPLISH): a prespecified secondary analysis of a randomised controlled trial. Lancet 2010;375:1173– 1181.</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Xie X, Atkins E, Lv J et al. Effects of intensive blood pressure lowering on cardio- vascular and renal outcomes: updated systematic review and meta-analysis. Lancet 2016;387:435–443.</w:t>
      </w:r>
    </w:p>
    <w:p>
      <w:pPr>
        <w:spacing w:after="0" w:line="2" w:lineRule="exact"/>
        <w:rPr>
          <w:rFonts w:ascii="Arial" w:cs="Arial" w:eastAsia="Arial" w:hAnsi="Arial"/>
          <w:sz w:val="27"/>
          <w:szCs w:val="27"/>
          <w:color w:val="auto"/>
        </w:rPr>
      </w:pPr>
    </w:p>
    <w:p>
      <w:pPr>
        <w:jc w:val="both"/>
        <w:ind w:left="660" w:right="220" w:hanging="569"/>
        <w:spacing w:after="0" w:line="309" w:lineRule="auto"/>
        <w:tabs>
          <w:tab w:leader="none" w:pos="660" w:val="left"/>
        </w:tabs>
        <w:numPr>
          <w:ilvl w:val="0"/>
          <w:numId w:val="77"/>
        </w:numPr>
        <w:rPr>
          <w:rFonts w:ascii="Arial" w:cs="Arial" w:eastAsia="Arial" w:hAnsi="Arial"/>
          <w:sz w:val="27"/>
          <w:szCs w:val="27"/>
          <w:color w:val="auto"/>
        </w:rPr>
      </w:pPr>
      <w:r>
        <w:rPr>
          <w:rFonts w:ascii="Arial" w:cs="Arial" w:eastAsia="Arial" w:hAnsi="Arial"/>
          <w:sz w:val="27"/>
          <w:szCs w:val="27"/>
          <w:color w:val="auto"/>
        </w:rPr>
        <w:t>Law MR, Morris JK, Wald NJ. Use of blood pressure lowering drugs in the prevention of cardiovascular disease: meta-analysis of 147 randomised trials in the context of expectations from prospective epidemiological studies. BMJ 2009;338:b1665.</w:t>
      </w:r>
    </w:p>
    <w:p>
      <w:pPr>
        <w:sectPr>
          <w:pgSz w:w="11900" w:h="17035" w:orient="portrait"/>
          <w:cols w:equalWidth="0" w:num="1">
            <w:col w:w="9020"/>
          </w:cols>
          <w:pgMar w:left="1440" w:top="19" w:right="1440" w:bottom="0" w:gutter="0" w:footer="0" w:header="0"/>
        </w:sectPr>
      </w:pPr>
    </w:p>
    <w:bookmarkStart w:id="104" w:name="page105"/>
    <w:bookmarkEnd w:id="104"/>
    <w:p>
      <w:pPr>
        <w:spacing w:after="0" w:line="199" w:lineRule="exact"/>
        <w:rPr>
          <w:sz w:val="20"/>
          <w:szCs w:val="20"/>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Ponikowski P, Voors AA, Anker SD et al. 2016 ESC Guidelines for the diagnosis and treatment of acute and chronic heart failure: the Task Force for the diagno- sis and treatment of acute and chronic heart failure of the European Society of Cardiology (ESC). Developed with the special contribution of the Heart Failure Association (HFA) of the ESC. Eur Heart J 2016;37:2129–2200.</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Emdin CA et al. Meta-analysis of large-scale randomized trials to determine the effectiveness of inhibition of the renin-angiotensin aldosterone system in heart failure. The American journal of cardiology 116.1 (2015): 155–161.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Borlaug BA, Paulus WJ. Heart failure with preserved ejection fraction: pathophysiology, diagnosis, and treatment //Eur heart J 2010;32(6):670–679.</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Nanayakkara S, Kaye DM. Management of heart failure with preserved ejection fraction: a review. Clinical therapeutics 37.10 (2015): 2186–2198.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Shah SJ et al. Phenotype-specific treatment of heart failure with preserved ejection fraction: a multiorgan roadmap. Circulation 2016;134(1):73–90.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Shah RV, Akshay SD, Givertz MM. The effect of renin-angiotensin system inhibitors on mortality and heart failure hospitalization in patients with heart failure and preserved ejection fraction: a systematic review and meta-analysis. Journal of cardiac failure 16.3 (2010): 260–267.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Soliman EZ et al. Effect of intensive blood pressure lowering on left ventricular hypertrophy in patients with hypertension: SPRINT (Systolic Blood Pressure Intervention Trial). Circulation 2017:136(5):440–450.</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Klingbeil AU et al. A meta-analysis of the effects of treatment on left ventricular mass in essential hypertension. The American journal of medicine 115.1 (2003):41–46.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Dahlöf B, Kjell P, Hansson L. Reversal of left ventricular hypertrophy in hypertensive patients: a metaanalysis of 109 treatment studies. 1992. P. 95–110.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Lip GYH, Coca A, Kahan T et al. Hypertension and cardiac arrhythmias: a consensus document from the European Heart Rhythm Association (EHRA) and ESC Council on. Hypertension, endorsed by the Heart Rhythm Society (HRS), Asia-Pacific Heart. Rhythm Society (APHRS) and Sociedad Latinoamericana de Estimulacion. Cardiaca y Electrofisiologia (SOLEACE). Europace 2017;19:891–911.</w:t>
      </w:r>
    </w:p>
    <w:p>
      <w:pPr>
        <w:spacing w:after="0" w:line="5" w:lineRule="exact"/>
        <w:rPr>
          <w:rFonts w:ascii="Arial" w:cs="Arial" w:eastAsia="Arial" w:hAnsi="Arial"/>
          <w:sz w:val="27"/>
          <w:szCs w:val="27"/>
          <w:color w:val="auto"/>
        </w:rPr>
      </w:pPr>
    </w:p>
    <w:p>
      <w:pPr>
        <w:jc w:val="both"/>
        <w:ind w:left="660" w:right="220" w:hanging="569"/>
        <w:spacing w:after="0" w:line="318" w:lineRule="auto"/>
        <w:tabs>
          <w:tab w:leader="none" w:pos="660" w:val="left"/>
        </w:tabs>
        <w:numPr>
          <w:ilvl w:val="0"/>
          <w:numId w:val="78"/>
        </w:numPr>
        <w:rPr>
          <w:rFonts w:ascii="Arial" w:cs="Arial" w:eastAsia="Arial" w:hAnsi="Arial"/>
          <w:sz w:val="27"/>
          <w:szCs w:val="27"/>
          <w:color w:val="auto"/>
        </w:rPr>
      </w:pPr>
      <w:r>
        <w:rPr>
          <w:rFonts w:ascii="Arial" w:cs="Arial" w:eastAsia="Arial" w:hAnsi="Arial"/>
          <w:sz w:val="27"/>
          <w:szCs w:val="27"/>
          <w:color w:val="auto"/>
        </w:rPr>
        <w:t>Kirchhof P, Benussi S, Kotecha D et al 2016 ESC Guidelines for the management of atrial fibrillation developed in collaboration with</w:t>
      </w:r>
    </w:p>
    <w:p>
      <w:pPr>
        <w:sectPr>
          <w:pgSz w:w="11900" w:h="17039" w:orient="portrait"/>
          <w:cols w:equalWidth="0" w:num="1">
            <w:col w:w="9020"/>
          </w:cols>
          <w:pgMar w:left="1440" w:top="19" w:right="1440" w:bottom="0" w:gutter="0" w:footer="0" w:header="0"/>
        </w:sectPr>
      </w:pPr>
    </w:p>
    <w:bookmarkStart w:id="105" w:name="page106"/>
    <w:bookmarkEnd w:id="105"/>
    <w:p>
      <w:pPr>
        <w:ind w:left="660"/>
        <w:spacing w:after="0"/>
        <w:rPr>
          <w:sz w:val="20"/>
          <w:szCs w:val="20"/>
          <w:color w:val="auto"/>
        </w:rPr>
      </w:pPr>
      <w:r>
        <w:rPr>
          <w:rFonts w:ascii="Arial" w:cs="Arial" w:eastAsia="Arial" w:hAnsi="Arial"/>
          <w:sz w:val="27"/>
          <w:szCs w:val="27"/>
          <w:color w:val="auto"/>
        </w:rPr>
        <w:t>EACTS Eur Heart J. 2016 Oct 7;37(38):2893–2962.</w:t>
      </w:r>
    </w:p>
    <w:p>
      <w:pPr>
        <w:spacing w:after="0" w:line="80" w:lineRule="exact"/>
        <w:rPr>
          <w:sz w:val="20"/>
          <w:szCs w:val="20"/>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Hart RG et al. Antithrombotic therapy to prevent stroke in patients with atrial fibrillation: a meta-analysis. Annals of internal medicine 131 (1999):492–501; 536, 556.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Фибрилляция и трепетание предсердий у взрослых</w:t>
      </w:r>
      <w:r>
        <w:rPr>
          <w:rFonts w:ascii="Arial" w:cs="Arial" w:eastAsia="Arial" w:hAnsi="Arial"/>
          <w:sz w:val="27"/>
          <w:szCs w:val="27"/>
          <w:color w:val="auto"/>
        </w:rPr>
        <w:t>.</w:t>
      </w:r>
      <w:r>
        <w:rPr>
          <w:rFonts w:ascii="Arial" w:cs="Arial" w:eastAsia="Arial" w:hAnsi="Arial"/>
          <w:sz w:val="27"/>
          <w:szCs w:val="27"/>
          <w:color w:val="auto"/>
        </w:rPr>
        <w:t xml:space="preserve"> Клинические рекомендации</w:t>
      </w:r>
      <w:r>
        <w:rPr>
          <w:rFonts w:ascii="Arial" w:cs="Arial" w:eastAsia="Arial" w:hAnsi="Arial"/>
          <w:sz w:val="27"/>
          <w:szCs w:val="27"/>
          <w:color w:val="auto"/>
        </w:rPr>
        <w:t>.</w:t>
      </w:r>
      <w:r>
        <w:rPr>
          <w:rFonts w:ascii="Arial" w:cs="Arial" w:eastAsia="Arial" w:hAnsi="Arial"/>
          <w:sz w:val="27"/>
          <w:szCs w:val="27"/>
          <w:color w:val="auto"/>
        </w:rPr>
        <w:t xml:space="preserve"> Всероссийское научное общество</w:t>
      </w:r>
    </w:p>
    <w:p>
      <w:pPr>
        <w:spacing w:after="0" w:line="1" w:lineRule="exact"/>
        <w:rPr>
          <w:rFonts w:ascii="Arial" w:cs="Arial" w:eastAsia="Arial" w:hAnsi="Arial"/>
          <w:sz w:val="27"/>
          <w:szCs w:val="27"/>
          <w:color w:val="auto"/>
        </w:rPr>
      </w:pPr>
    </w:p>
    <w:p>
      <w:pPr>
        <w:jc w:val="both"/>
        <w:ind w:left="660" w:right="220"/>
        <w:spacing w:after="0" w:line="301" w:lineRule="auto"/>
        <w:rPr>
          <w:rFonts w:ascii="Arial" w:cs="Arial" w:eastAsia="Arial" w:hAnsi="Arial"/>
          <w:sz w:val="27"/>
          <w:szCs w:val="27"/>
          <w:color w:val="auto"/>
        </w:rPr>
      </w:pPr>
      <w:r>
        <w:rPr>
          <w:rFonts w:ascii="Arial" w:cs="Arial" w:eastAsia="Arial" w:hAnsi="Arial"/>
          <w:sz w:val="27"/>
          <w:szCs w:val="27"/>
          <w:color w:val="auto"/>
        </w:rPr>
        <w:t>специалистов поклинической электрофизиологии</w:t>
      </w:r>
      <w:r>
        <w:rPr>
          <w:rFonts w:ascii="Arial" w:cs="Arial" w:eastAsia="Arial" w:hAnsi="Arial"/>
          <w:sz w:val="27"/>
          <w:szCs w:val="27"/>
          <w:color w:val="auto"/>
        </w:rPr>
        <w:t>,</w:t>
      </w:r>
      <w:r>
        <w:rPr>
          <w:rFonts w:ascii="Arial" w:cs="Arial" w:eastAsia="Arial" w:hAnsi="Arial"/>
          <w:sz w:val="27"/>
          <w:szCs w:val="27"/>
          <w:color w:val="auto"/>
        </w:rPr>
        <w:t xml:space="preserve"> аритмологии и электростимуляции</w:t>
      </w:r>
      <w:r>
        <w:rPr>
          <w:rFonts w:ascii="Arial" w:cs="Arial" w:eastAsia="Arial" w:hAnsi="Arial"/>
          <w:sz w:val="27"/>
          <w:szCs w:val="27"/>
          <w:color w:val="auto"/>
        </w:rPr>
        <w:t>.</w:t>
      </w:r>
      <w:r>
        <w:rPr>
          <w:rFonts w:ascii="Arial" w:cs="Arial" w:eastAsia="Arial" w:hAnsi="Arial"/>
          <w:sz w:val="27"/>
          <w:szCs w:val="27"/>
          <w:color w:val="auto"/>
        </w:rPr>
        <w:t xml:space="preserve"> Общество специалистов по неотложной кардиологии</w:t>
      </w:r>
      <w:r>
        <w:rPr>
          <w:rFonts w:ascii="Arial" w:cs="Arial" w:eastAsia="Arial" w:hAnsi="Arial"/>
          <w:sz w:val="27"/>
          <w:szCs w:val="27"/>
          <w:color w:val="auto"/>
        </w:rPr>
        <w:t>. 2016.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Arima H, Chalmers J, Woodward M, et al. PROGRESS Collaborative Group. Lower target blood pressures are safe and effective for the prevention of recurrent stroke: the PROGRESS trial. J Hypertens 2006;24:1201–1208.</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Rodriguez-Luna D, Pineiro S, Rubiera M, et al. Impact of blood pressure changes and courseon hematoma growth in acute intracerebral hemorrhage. Eur J Neurol.2013;20:1277–1283.</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Sakamoto Y, Koga M, Yamagami H et al. Systolic blood pressure afterintravenous antihypertensive treatment and clinical outcomes in hyperacute intracerebral hemorrhage: the stroke acute management with urgent risk-factorassessment and improvement intracerebral hemorrhage study. Stroke.2013;44:1846–1851.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Anderson CS, Heeley E, Huang Y, et al. INTERACT2Investigators. Rapid blood-pressure lowering in patients with acute intracerebral hemorrhage. N Engl J Med 2013;368:2355–2365.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Qureshi AI, Palesch YY, Barsan WG, et al. Intensive blood-pressure lowering in patients with acute cerebral hemorrhage. . N Engl J Med 2016;375:1033–1043.</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Tsivgoulis G, Katsanos AH, Butcher KS et al. Intensive blood pressure reduction in acute intracerebral hemorrhage: a meta-analysis. Neurology 2014;83:1523–1529.</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T. Steiner et al. European Stroke Organisation (ESO) guidelines for the management of spontaneous intracerebral hemorrhage. International Journal of Stroke, Vol. 9, October 2014, p. 840–855.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Hemphill et al. Guidelines for the Management of Spontaneous Intracerebral Hemorrhage. A Guideline for Healthcare Professionals From the American Heart Association/American Stroke</w:t>
      </w:r>
    </w:p>
    <w:p>
      <w:pPr>
        <w:spacing w:after="0" w:line="2" w:lineRule="exact"/>
        <w:rPr>
          <w:rFonts w:ascii="Arial" w:cs="Arial" w:eastAsia="Arial" w:hAnsi="Arial"/>
          <w:sz w:val="27"/>
          <w:szCs w:val="27"/>
          <w:color w:val="auto"/>
        </w:rPr>
      </w:pPr>
    </w:p>
    <w:p>
      <w:pPr>
        <w:ind w:left="660" w:right="220"/>
        <w:spacing w:after="0" w:line="301" w:lineRule="auto"/>
        <w:rPr>
          <w:rFonts w:ascii="Arial" w:cs="Arial" w:eastAsia="Arial" w:hAnsi="Arial"/>
          <w:sz w:val="27"/>
          <w:szCs w:val="27"/>
          <w:color w:val="auto"/>
        </w:rPr>
      </w:pPr>
      <w:r>
        <w:rPr>
          <w:rFonts w:ascii="Arial" w:cs="Arial" w:eastAsia="Arial" w:hAnsi="Arial"/>
          <w:sz w:val="27"/>
          <w:szCs w:val="27"/>
          <w:color w:val="auto"/>
        </w:rPr>
        <w:t>Association. Stroke. 2015;46:2032–2060. doi: 10.1161/STR.0000000000000069].</w:t>
      </w:r>
    </w:p>
    <w:p>
      <w:pPr>
        <w:spacing w:after="0" w:line="1" w:lineRule="exact"/>
        <w:rPr>
          <w:rFonts w:ascii="Arial" w:cs="Arial" w:eastAsia="Arial" w:hAnsi="Arial"/>
          <w:sz w:val="27"/>
          <w:szCs w:val="27"/>
          <w:color w:val="auto"/>
        </w:rPr>
      </w:pPr>
    </w:p>
    <w:p>
      <w:pPr>
        <w:jc w:val="both"/>
        <w:ind w:left="660" w:right="220" w:hanging="569"/>
        <w:spacing w:after="0" w:line="312" w:lineRule="auto"/>
        <w:tabs>
          <w:tab w:leader="none" w:pos="660" w:val="left"/>
        </w:tabs>
        <w:numPr>
          <w:ilvl w:val="0"/>
          <w:numId w:val="79"/>
        </w:numPr>
        <w:rPr>
          <w:rFonts w:ascii="Arial" w:cs="Arial" w:eastAsia="Arial" w:hAnsi="Arial"/>
          <w:sz w:val="27"/>
          <w:szCs w:val="27"/>
          <w:color w:val="auto"/>
        </w:rPr>
      </w:pPr>
      <w:r>
        <w:rPr>
          <w:rFonts w:ascii="Arial" w:cs="Arial" w:eastAsia="Arial" w:hAnsi="Arial"/>
          <w:sz w:val="27"/>
          <w:szCs w:val="27"/>
          <w:color w:val="auto"/>
        </w:rPr>
        <w:t>Powers WJ et al. 2018 Guidelines for the Early Management of Patients With Acute Ischemic Stroke. A Guideline for Healthcare Professionals From the American Heart Association/American Stroke Association. Stroke 2018; 49 (3): e46–e138.</w:t>
      </w:r>
    </w:p>
    <w:p>
      <w:pPr>
        <w:sectPr>
          <w:pgSz w:w="11900" w:h="16840" w:orient="portrait"/>
          <w:cols w:equalWidth="0" w:num="1">
            <w:col w:w="9020"/>
          </w:cols>
          <w:pgMar w:left="1440" w:top="19" w:right="1440" w:bottom="0" w:gutter="0" w:footer="0" w:header="0"/>
        </w:sectPr>
      </w:pPr>
    </w:p>
    <w:bookmarkStart w:id="106" w:name="page107"/>
    <w:bookmarkEnd w:id="106"/>
    <w:p>
      <w:pPr>
        <w:spacing w:after="0" w:line="198" w:lineRule="exact"/>
        <w:rPr>
          <w:sz w:val="20"/>
          <w:szCs w:val="20"/>
          <w:color w:val="auto"/>
        </w:rPr>
      </w:pPr>
    </w:p>
    <w:p>
      <w:pPr>
        <w:jc w:val="both"/>
        <w:ind w:left="660" w:right="220" w:hanging="569"/>
        <w:spacing w:after="0" w:line="356" w:lineRule="auto"/>
        <w:tabs>
          <w:tab w:leader="none" w:pos="660" w:val="left"/>
        </w:tabs>
        <w:numPr>
          <w:ilvl w:val="0"/>
          <w:numId w:val="80"/>
        </w:numPr>
        <w:rPr>
          <w:rFonts w:ascii="Arial" w:cs="Arial" w:eastAsia="Arial" w:hAnsi="Arial"/>
          <w:sz w:val="26"/>
          <w:szCs w:val="26"/>
          <w:color w:val="auto"/>
        </w:rPr>
      </w:pPr>
      <w:r>
        <w:rPr>
          <w:rFonts w:ascii="Arial" w:cs="Arial" w:eastAsia="Arial" w:hAnsi="Arial"/>
          <w:sz w:val="26"/>
          <w:szCs w:val="26"/>
          <w:color w:val="auto"/>
        </w:rPr>
        <w:t>Lee M, Ovbiagele B, Hong KS, et al. Effectof blood pressure lowering in early ischemic stroke: meta-analysis. Stroke.2015;46:1883–1889.</w:t>
      </w:r>
    </w:p>
    <w:p>
      <w:pPr>
        <w:spacing w:after="0" w:line="283" w:lineRule="exact"/>
        <w:rPr>
          <w:rFonts w:ascii="Arial" w:cs="Arial" w:eastAsia="Arial" w:hAnsi="Arial"/>
          <w:sz w:val="26"/>
          <w:szCs w:val="26"/>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Zhao R, Liu FD, Wang S et al. Blood pressure reduction in the acute phase of an ischemic stroke does not improve short- or long-term dependency or mortality: a meta-analysis of current literature. Medicine(Baltimore). 2015;94:e896.</w:t>
      </w:r>
    </w:p>
    <w:p>
      <w:pPr>
        <w:spacing w:after="0" w:line="3" w:lineRule="exact"/>
        <w:rPr>
          <w:rFonts w:ascii="Arial" w:cs="Arial" w:eastAsia="Arial" w:hAnsi="Arial"/>
          <w:sz w:val="27"/>
          <w:szCs w:val="27"/>
          <w:color w:val="auto"/>
        </w:rPr>
      </w:pPr>
    </w:p>
    <w:p>
      <w:pPr>
        <w:jc w:val="both"/>
        <w:ind w:left="660" w:right="220" w:hanging="569"/>
        <w:spacing w:after="0" w:line="285"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 xml:space="preserve">Ahmed N, Wahlgren N, Brainin M, et al. Relationship of blood pressure, antihypertensive therapy, and outcome inischemic stroke treated with intravenous thrombolysis: retrospective analysis from Safe Implementation of Thrombolysis in Stroke-International StrokeThrombolysis Register (SITS-ISTR). Stroke 2009;40:2442– 2449. </w:t>
      </w:r>
      <w:r>
        <w:rPr>
          <w:rFonts w:ascii="Lucida Sans Unicode" w:cs="Lucida Sans Unicode" w:eastAsia="Lucida Sans Unicode" w:hAnsi="Lucida Sans Unicode"/>
          <w:sz w:val="27"/>
          <w:szCs w:val="27"/>
          <w:color w:val="auto"/>
        </w:rPr>
        <w:t> </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WuW, HuoX, ZhaoX, et al. Relationship between blood pressure and outcomes in acute ischemic stroke patients administered lytic medication in the TIMS-China Study. PLoS One 2016;11:e0144260.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PROGRESS Collaborative Group. Randomised trial of a perindopril-based blood-pressure-lowering regimen among 6105 individuals with previous stroke or transient ischaemic attack. The Lancet 358.9287 (2001):1033–1041.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White CL, Szychowski JM, Pergola PE et al. Secondary Prevention of Small Subcortical Strokes Study Investigators. Can blood pressure be lowered safely in older adults with lacunar stroke? The Secondary Prevention of Small Subcortical Strokes study experience. J Am Geriatr Soc 2015;63:722–729.</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SPRINT Research Group. A randomized trial of intensive versus standard blood pressure control. New England Journal of Medicine 2015;373(22):2103–2116.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Wang Ji-Guang et al. Carotid intima-media thickness and antihypertensive treatment: a meta-analysis of randomized controlled trials. Stroke 37.7 (2006): 1933–1940.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Lane D. A., Lip G. Y. H. Treatment of hypertension in peripheral arterial disease //Cochrane database of systematic reviews. – 2013.</w:t>
      </w:r>
    </w:p>
    <w:p>
      <w:pPr>
        <w:spacing w:after="0" w:line="1" w:lineRule="exact"/>
        <w:rPr>
          <w:rFonts w:ascii="Arial" w:cs="Arial" w:eastAsia="Arial" w:hAnsi="Arial"/>
          <w:sz w:val="27"/>
          <w:szCs w:val="27"/>
          <w:color w:val="auto"/>
        </w:rPr>
      </w:pPr>
    </w:p>
    <w:p>
      <w:pPr>
        <w:ind w:left="660"/>
        <w:spacing w:after="0"/>
        <w:rPr>
          <w:rFonts w:ascii="Arial" w:cs="Arial" w:eastAsia="Arial" w:hAnsi="Arial"/>
          <w:sz w:val="27"/>
          <w:szCs w:val="27"/>
          <w:color w:val="auto"/>
        </w:rPr>
      </w:pPr>
      <w:r>
        <w:rPr>
          <w:rFonts w:ascii="Arial" w:cs="Arial" w:eastAsia="Arial" w:hAnsi="Arial"/>
          <w:sz w:val="27"/>
          <w:szCs w:val="27"/>
          <w:color w:val="auto"/>
        </w:rPr>
        <w:t>– №. 12.</w:t>
      </w:r>
    </w:p>
    <w:p>
      <w:pPr>
        <w:spacing w:after="0" w:line="79"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Vidal-Petiot E. et al. Cardiovascular event rates and mortality according to achieved systolic and diastolic blood pressure in patients with stable coronary artery disease: an international cohort study. The Lancet 2016; 388(10056):2142–2152.</w:t>
      </w:r>
    </w:p>
    <w:p>
      <w:pPr>
        <w:spacing w:after="0" w:line="3" w:lineRule="exact"/>
        <w:rPr>
          <w:rFonts w:ascii="Arial" w:cs="Arial" w:eastAsia="Arial" w:hAnsi="Arial"/>
          <w:sz w:val="27"/>
          <w:szCs w:val="27"/>
          <w:color w:val="auto"/>
        </w:rPr>
      </w:pPr>
    </w:p>
    <w:p>
      <w:pPr>
        <w:jc w:val="both"/>
        <w:ind w:left="660" w:right="220" w:hanging="569"/>
        <w:spacing w:after="0" w:line="308" w:lineRule="auto"/>
        <w:tabs>
          <w:tab w:leader="none" w:pos="660" w:val="left"/>
        </w:tabs>
        <w:numPr>
          <w:ilvl w:val="0"/>
          <w:numId w:val="80"/>
        </w:numPr>
        <w:rPr>
          <w:rFonts w:ascii="Arial" w:cs="Arial" w:eastAsia="Arial" w:hAnsi="Arial"/>
          <w:sz w:val="27"/>
          <w:szCs w:val="27"/>
          <w:color w:val="auto"/>
        </w:rPr>
      </w:pPr>
      <w:r>
        <w:rPr>
          <w:rFonts w:ascii="Arial" w:cs="Arial" w:eastAsia="Arial" w:hAnsi="Arial"/>
          <w:sz w:val="27"/>
          <w:szCs w:val="27"/>
          <w:color w:val="auto"/>
        </w:rPr>
        <w:t>Zanchetti A, Hennig M, Hollweck R et al. Baseline values but not treatment-induced changes incarotid intima-media thickness predict incident cardiovascular events in treatedhypertensive patients: findings in the European Lacidipine Study on Atherosclerosis (ELSA). Circulation 2009;120:1084–1090.</w:t>
      </w:r>
    </w:p>
    <w:p>
      <w:pPr>
        <w:sectPr>
          <w:pgSz w:w="11900" w:h="17038" w:orient="portrait"/>
          <w:cols w:equalWidth="0" w:num="1">
            <w:col w:w="9020"/>
          </w:cols>
          <w:pgMar w:left="1440" w:top="19" w:right="1440" w:bottom="0" w:gutter="0" w:footer="0" w:header="0"/>
        </w:sectPr>
      </w:pPr>
    </w:p>
    <w:bookmarkStart w:id="107" w:name="page108"/>
    <w:bookmarkEnd w:id="107"/>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Zanchetti A, Crepaldi G, Bond MG, et al. PHYLLIS Investigators. Different effects of antihypertensive regimens based on fosinopril or hydrochlorothiazide with or without lipid lowering by pravastatin on progression of asymptomatic carotid atherosclerosis: principal results of PHYLLIS–a randomized double-blind trial. Stroke 2004;35:2807–2812.</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Myou S, Fujimura M, Kamio Y, et al.Effect of losartan, a type 1 angiotensin II receptor antagonist, on bronchial hyperresponsiveness to methacholine in patients with bronchial asthma. Am J Respir Crit Care Med 2000;162:40-4.</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Chiu KY, Li JG, Lin Y. Calcium channel blockers for lung function improvement in asthma: A systematic review and meta-analysis. Ann Allergy Asthma Immunol 2017;119(6):518-523.e3.</w:t>
      </w:r>
    </w:p>
    <w:p>
      <w:pPr>
        <w:spacing w:after="0" w:line="2"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Caldeira D, David C, Sampaio C. Tolerability of angiotensin-receptor blockers in patients with intolerance to angiotensinconverting enzyme inhibitors: a systematic review and meta-analysis. Am J Cardiovasc Drugs 2012;12:263-77.</w:t>
      </w:r>
      <w:r>
        <w:rPr>
          <w:rFonts w:ascii="Lucida Sans Unicode" w:cs="Lucida Sans Unicode" w:eastAsia="Lucida Sans Unicode" w:hAnsi="Lucida Sans Unicode"/>
          <w:sz w:val="27"/>
          <w:szCs w:val="27"/>
          <w:color w:val="auto"/>
        </w:rPr>
        <w:t> </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Mortensen EM, Copeland LA, Pugh MJV, et al. Impact of statins and ACE inhibitors on mortality after COPD exacerbations. Respir Res. 2009;10:45.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Shrikrishna D, Astin R, Kemp PR, Hopkinson NS. Renin-angiotensin system blockade: a novel therapeutic approach in chronic obstructive pulmonary disease. Clin Sci (Lond) 2012;123(8):487– 498.</w:t>
      </w:r>
    </w:p>
    <w:p>
      <w:pPr>
        <w:spacing w:after="0" w:line="3"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Tanaka H, Teramoto S, Oashi K, et al. Effects of candesartan on cough and bronchial hyperresponsiveness in mildly to moderately hypertensive patients with symptomatic asthma. Circulation. 2001;104(3):281–285.</w:t>
      </w:r>
      <w:r>
        <w:rPr>
          <w:rFonts w:ascii="Lucida Sans Unicode" w:cs="Lucida Sans Unicode" w:eastAsia="Lucida Sans Unicode" w:hAnsi="Lucida Sans Unicode"/>
          <w:sz w:val="27"/>
          <w:szCs w:val="27"/>
          <w:color w:val="auto"/>
        </w:rPr>
        <w:t> </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Сукмарова З</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r>
        <w:rPr>
          <w:rFonts w:ascii="Arial" w:cs="Arial" w:eastAsia="Arial" w:hAnsi="Arial"/>
          <w:sz w:val="27"/>
          <w:szCs w:val="27"/>
          <w:color w:val="auto"/>
        </w:rPr>
        <w:t xml:space="preserve"> Литвин А</w:t>
      </w:r>
      <w:r>
        <w:rPr>
          <w:rFonts w:ascii="Arial" w:cs="Arial" w:eastAsia="Arial" w:hAnsi="Arial"/>
          <w:sz w:val="27"/>
          <w:szCs w:val="27"/>
          <w:color w:val="auto"/>
        </w:rPr>
        <w:t>.</w:t>
      </w:r>
      <w:r>
        <w:rPr>
          <w:rFonts w:ascii="Arial" w:cs="Arial" w:eastAsia="Arial" w:hAnsi="Arial"/>
          <w:sz w:val="27"/>
          <w:szCs w:val="27"/>
          <w:color w:val="auto"/>
        </w:rPr>
        <w:t xml:space="preserve"> Ю</w:t>
      </w:r>
      <w:r>
        <w:rPr>
          <w:rFonts w:ascii="Arial" w:cs="Arial" w:eastAsia="Arial" w:hAnsi="Arial"/>
          <w:sz w:val="27"/>
          <w:szCs w:val="27"/>
          <w:color w:val="auto"/>
        </w:rPr>
        <w:t>.,</w:t>
      </w:r>
      <w:r>
        <w:rPr>
          <w:rFonts w:ascii="Arial" w:cs="Arial" w:eastAsia="Arial" w:hAnsi="Arial"/>
          <w:sz w:val="27"/>
          <w:szCs w:val="27"/>
          <w:color w:val="auto"/>
        </w:rPr>
        <w:t xml:space="preserve"> Чазова И</w:t>
      </w:r>
      <w:r>
        <w:rPr>
          <w:rFonts w:ascii="Arial" w:cs="Arial" w:eastAsia="Arial" w:hAnsi="Arial"/>
          <w:sz w:val="27"/>
          <w:szCs w:val="27"/>
          <w:color w:val="auto"/>
        </w:rPr>
        <w:t>.</w:t>
      </w:r>
      <w:r>
        <w:rPr>
          <w:rFonts w:ascii="Arial" w:cs="Arial" w:eastAsia="Arial" w:hAnsi="Arial"/>
          <w:sz w:val="27"/>
          <w:szCs w:val="27"/>
          <w:color w:val="auto"/>
        </w:rPr>
        <w:t xml:space="preserve"> Е</w:t>
      </w:r>
      <w:r>
        <w:rPr>
          <w:rFonts w:ascii="Arial" w:cs="Arial" w:eastAsia="Arial" w:hAnsi="Arial"/>
          <w:sz w:val="27"/>
          <w:szCs w:val="27"/>
          <w:color w:val="auto"/>
        </w:rPr>
        <w:t>.,</w:t>
      </w:r>
      <w:r>
        <w:rPr>
          <w:rFonts w:ascii="Arial" w:cs="Arial" w:eastAsia="Arial" w:hAnsi="Arial"/>
          <w:sz w:val="27"/>
          <w:szCs w:val="27"/>
          <w:color w:val="auto"/>
        </w:rPr>
        <w:t xml:space="preserve"> Рогоза А</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r>
        <w:rPr>
          <w:rFonts w:ascii="Arial" w:cs="Arial" w:eastAsia="Arial" w:hAnsi="Arial"/>
          <w:sz w:val="27"/>
          <w:szCs w:val="27"/>
          <w:color w:val="auto"/>
        </w:rPr>
        <w:t xml:space="preserve"> Эффективность комплексной медикаментозной и </w:t>
      </w:r>
      <w:r>
        <w:rPr>
          <w:rFonts w:ascii="Arial" w:cs="Arial" w:eastAsia="Arial" w:hAnsi="Arial"/>
          <w:sz w:val="27"/>
          <w:szCs w:val="27"/>
          <w:color w:val="auto"/>
        </w:rPr>
        <w:t>CPAP-</w:t>
      </w:r>
      <w:r>
        <w:rPr>
          <w:rFonts w:ascii="Arial" w:cs="Arial" w:eastAsia="Arial" w:hAnsi="Arial"/>
          <w:sz w:val="27"/>
          <w:szCs w:val="27"/>
          <w:color w:val="auto"/>
        </w:rPr>
        <w:t xml:space="preserve">терапии у пациентов с артериальной гипертонией </w:t>
      </w:r>
      <w:r>
        <w:rPr>
          <w:rFonts w:ascii="Arial" w:cs="Arial" w:eastAsia="Arial" w:hAnsi="Arial"/>
          <w:sz w:val="27"/>
          <w:szCs w:val="27"/>
          <w:color w:val="auto"/>
        </w:rPr>
        <w:t>2–3-</w:t>
      </w:r>
      <w:r>
        <w:rPr>
          <w:rFonts w:ascii="Arial" w:cs="Arial" w:eastAsia="Arial" w:hAnsi="Arial"/>
          <w:sz w:val="27"/>
          <w:szCs w:val="27"/>
          <w:color w:val="auto"/>
        </w:rPr>
        <w:t>й степени и тяжелой степенью синдрома обструктивного апноэ во время сна</w:t>
      </w:r>
      <w:r>
        <w:rPr>
          <w:rFonts w:ascii="Arial" w:cs="Arial" w:eastAsia="Arial" w:hAnsi="Arial"/>
          <w:sz w:val="27"/>
          <w:szCs w:val="27"/>
          <w:color w:val="auto"/>
        </w:rPr>
        <w:t>.</w:t>
      </w:r>
      <w:r>
        <w:rPr>
          <w:rFonts w:ascii="Arial" w:cs="Arial" w:eastAsia="Arial" w:hAnsi="Arial"/>
          <w:sz w:val="27"/>
          <w:szCs w:val="27"/>
          <w:color w:val="auto"/>
        </w:rPr>
        <w:t xml:space="preserve"> ФГУ РКНПК Минздравсоцразвития РФ</w:t>
      </w:r>
      <w:r>
        <w:rPr>
          <w:rFonts w:ascii="Arial" w:cs="Arial" w:eastAsia="Arial" w:hAnsi="Arial"/>
          <w:sz w:val="27"/>
          <w:szCs w:val="27"/>
          <w:color w:val="auto"/>
        </w:rPr>
        <w:t>,</w:t>
      </w:r>
      <w:r>
        <w:rPr>
          <w:rFonts w:ascii="Arial" w:cs="Arial" w:eastAsia="Arial" w:hAnsi="Arial"/>
          <w:sz w:val="27"/>
          <w:szCs w:val="27"/>
          <w:color w:val="auto"/>
        </w:rPr>
        <w:t xml:space="preserve"> Москва</w:t>
      </w:r>
      <w:r>
        <w:rPr>
          <w:rFonts w:ascii="Arial" w:cs="Arial" w:eastAsia="Arial" w:hAnsi="Arial"/>
          <w:sz w:val="27"/>
          <w:szCs w:val="27"/>
          <w:color w:val="auto"/>
        </w:rPr>
        <w:t>.</w:t>
      </w:r>
      <w:r>
        <w:rPr>
          <w:rFonts w:ascii="Arial" w:cs="Arial" w:eastAsia="Arial" w:hAnsi="Arial"/>
          <w:sz w:val="27"/>
          <w:szCs w:val="27"/>
          <w:color w:val="auto"/>
        </w:rPr>
        <w:t xml:space="preserve"> Системные гипертензии</w:t>
      </w:r>
      <w:r>
        <w:rPr>
          <w:rFonts w:ascii="Arial" w:cs="Arial" w:eastAsia="Arial" w:hAnsi="Arial"/>
          <w:sz w:val="27"/>
          <w:szCs w:val="27"/>
          <w:color w:val="auto"/>
        </w:rPr>
        <w:t>, 2011:8(1), 40.</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Kristensen SD, Knuuti J, Saraste A, et al. 2014 ESC/ESAGuidelines on non-cardiac surgery: cardiovascular assessment and management:The Joint Task Force on non-cardiac surgery: cardiovascular assessment andmanagement of the European Society of Cardiology (ESC) and the EuropeanSociety of Anaesthesiology (ESA). Eur Heart J 2014;35:2383–2431.</w:t>
      </w:r>
    </w:p>
    <w:p>
      <w:pPr>
        <w:spacing w:after="0" w:line="4" w:lineRule="exact"/>
        <w:rPr>
          <w:rFonts w:ascii="Arial" w:cs="Arial" w:eastAsia="Arial" w:hAnsi="Arial"/>
          <w:sz w:val="27"/>
          <w:szCs w:val="27"/>
          <w:color w:val="auto"/>
        </w:rPr>
      </w:pPr>
    </w:p>
    <w:p>
      <w:pPr>
        <w:jc w:val="both"/>
        <w:ind w:left="660" w:right="220" w:hanging="569"/>
        <w:spacing w:after="0" w:line="334" w:lineRule="auto"/>
        <w:tabs>
          <w:tab w:leader="none" w:pos="660" w:val="left"/>
        </w:tabs>
        <w:numPr>
          <w:ilvl w:val="0"/>
          <w:numId w:val="81"/>
        </w:numPr>
        <w:rPr>
          <w:rFonts w:ascii="Arial" w:cs="Arial" w:eastAsia="Arial" w:hAnsi="Arial"/>
          <w:sz w:val="27"/>
          <w:szCs w:val="27"/>
          <w:color w:val="auto"/>
        </w:rPr>
      </w:pPr>
      <w:r>
        <w:rPr>
          <w:rFonts w:ascii="Arial" w:cs="Arial" w:eastAsia="Arial" w:hAnsi="Arial"/>
          <w:sz w:val="27"/>
          <w:szCs w:val="27"/>
          <w:color w:val="auto"/>
        </w:rPr>
        <w:t>Futier E, Lefrant JY, Guinot PG et al. Effect of individualized vs standardblood pressure management strategies on postoperative</w:t>
      </w:r>
    </w:p>
    <w:p>
      <w:pPr>
        <w:sectPr>
          <w:pgSz w:w="11900" w:h="16840" w:orient="portrait"/>
          <w:cols w:equalWidth="0" w:num="1">
            <w:col w:w="9020"/>
          </w:cols>
          <w:pgMar w:left="1440" w:top="19" w:right="1440" w:bottom="0" w:gutter="0" w:footer="0" w:header="0"/>
        </w:sectPr>
      </w:pPr>
    </w:p>
    <w:bookmarkStart w:id="108" w:name="page109"/>
    <w:bookmarkEnd w:id="108"/>
    <w:p>
      <w:pPr>
        <w:ind w:left="660" w:right="220"/>
        <w:spacing w:after="0" w:line="301" w:lineRule="auto"/>
        <w:rPr>
          <w:sz w:val="20"/>
          <w:szCs w:val="20"/>
          <w:color w:val="auto"/>
        </w:rPr>
      </w:pPr>
      <w:r>
        <w:rPr>
          <w:rFonts w:ascii="Arial" w:cs="Arial" w:eastAsia="Arial" w:hAnsi="Arial"/>
          <w:sz w:val="27"/>
          <w:szCs w:val="27"/>
          <w:color w:val="auto"/>
        </w:rPr>
        <w:t>organ dysfunctionamong high-risk patients undergoing major surgery: a randomized clinical trial. JAMA 2017;318:1346–1357.</w:t>
      </w:r>
    </w:p>
    <w:p>
      <w:pPr>
        <w:spacing w:after="0" w:line="2" w:lineRule="exact"/>
        <w:rPr>
          <w:sz w:val="20"/>
          <w:szCs w:val="20"/>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London MJ, Hur K, Schwartz GG, Henderson WG. Association of perioperative beta-blockade with mortality and cardiovascular morbidity following major non-cardiac surgery. JAMA 2013;309:1704–1713.</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Andersson C, Merie C, Jorgensen M, et al. Association of beta-blocker therapy with risks of adverse cardiovascular events and deaths in patients with ischemic heart disease undergoing noncardiac surgery: a Danish nationwidecohort study. JAMA Intern Med 2014;174:336–344.</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Blessberger H, Kammler J, Domanovits H, et al. Perioperative beta-blockers for preventing surgery-related mortality and morbidity. Cochrane Database Syst Rev. 2018;3:CD004476.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Lederballe Pedersen O, Mikkelsen E, Lanng Nielsen J, Christensen NJ. Abrupt withdrawal of beta-blocking agents in patients with arterial hypertension. Effect on blood pressure, heart rate and plasma catecholamines and prolactin. Eur J Clin Pharmacol. 1979 Apr 17;15(3):215-7.</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Gupta P, Patel P, Strauch B et al. Biochemical screening for nonadherence is associated with blood pressure reduction and improvement in adherence. Hypertension 2017;70:1042–1048.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Noubiap JJ, Nansseu JR, Nyaga UF et al. Global prevalence of resistant hypertension: a meta-analysis of data from 3.2 million patients Heart 2019;105:98–105.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Pimenta E, Gaddam KK, Oparil S, et al. Effects of dietary sodium reduction on blood pressure in subjects with resistanthypertension: results from a randomized trial. Hypertension 2009;54:475–481.</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Liu L, Xu B, Ju Y. Addition of spironolactone in patients with resistant hypertension: a meta-analysis of randomized controlled trials. Clin Exp Hypertens.2017;39:257–263.</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Wang C, Xiong B, Huang J. Efficacy and safety of spironolactone in patientswith resistant hypertension: a meta-analysis of randomised controlled trials.Heart Lung Circ 2016;25:1021–1030.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Huang Y, Huang W, Mai W, et al. White-coat hypertension is a risk factor for cardiovascular diseases and total mortality. J Hypertens 2017;35:677–688.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Briasoulis A, Androulakis E, Palla M, et al. White-coat hypertension and cardiovascular events: a meta-analysis. J Hypertens 2016;34:593–599.</w:t>
      </w:r>
    </w:p>
    <w:p>
      <w:pPr>
        <w:spacing w:after="0" w:line="2" w:lineRule="exact"/>
        <w:rPr>
          <w:rFonts w:ascii="Arial" w:cs="Arial" w:eastAsia="Arial" w:hAnsi="Arial"/>
          <w:sz w:val="27"/>
          <w:szCs w:val="27"/>
          <w:color w:val="auto"/>
        </w:rPr>
      </w:pPr>
    </w:p>
    <w:p>
      <w:pPr>
        <w:ind w:left="660" w:right="220" w:hanging="569"/>
        <w:spacing w:after="0" w:line="334" w:lineRule="auto"/>
        <w:tabs>
          <w:tab w:leader="none" w:pos="660" w:val="left"/>
        </w:tabs>
        <w:numPr>
          <w:ilvl w:val="0"/>
          <w:numId w:val="82"/>
        </w:numPr>
        <w:rPr>
          <w:rFonts w:ascii="Arial" w:cs="Arial" w:eastAsia="Arial" w:hAnsi="Arial"/>
          <w:sz w:val="27"/>
          <w:szCs w:val="27"/>
          <w:color w:val="auto"/>
        </w:rPr>
      </w:pPr>
      <w:r>
        <w:rPr>
          <w:rFonts w:ascii="Arial" w:cs="Arial" w:eastAsia="Arial" w:hAnsi="Arial"/>
          <w:sz w:val="27"/>
          <w:szCs w:val="27"/>
          <w:color w:val="auto"/>
        </w:rPr>
        <w:t>Grassi G, Seravalle G, Trevano FQ, et al. Neurogenic abnormalities in masked hypertension. Hypertension 2007;50:537–542.</w:t>
      </w:r>
    </w:p>
    <w:p>
      <w:pPr>
        <w:sectPr>
          <w:pgSz w:w="11900" w:h="16840" w:orient="portrait"/>
          <w:cols w:equalWidth="0" w:num="1">
            <w:col w:w="9020"/>
          </w:cols>
          <w:pgMar w:left="1440" w:top="19" w:right="1440" w:bottom="0" w:gutter="0" w:footer="0" w:header="0"/>
        </w:sectPr>
      </w:pPr>
    </w:p>
    <w:bookmarkStart w:id="109" w:name="page110"/>
    <w:bookmarkEnd w:id="109"/>
    <w:p>
      <w:pPr>
        <w:spacing w:after="0" w:line="199" w:lineRule="exact"/>
        <w:rPr>
          <w:sz w:val="20"/>
          <w:szCs w:val="20"/>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Banegas JR, Ruilope LM, de la Sierra A, et al. Relationship between clinic and ambulatory blood-pressure measurements and mortality. N Engl J Med 2018;378:1509–1520.</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Cuspidi C, Rescaldani M, Tadic M, et al. White-coat hypertension, as defined by ambulatory blood pressure monitoring, and subclinical cardiac organ damage: a meta-analysis. J Hypertens 2015;33:24–32.</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Mancia G, Bombelli M, Facchetti R, et al. Increased long-term risk of new-onset diabetes mellitus in white-coat and masked hypertension. J Hypertens 2009;27:1672–1678.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Tientcheu D, Ayers C, Das SR, et al. Target organ complications and cardiovascular events associated with masked hypertension and white-coat hypertension: analysis from the Dallas Heart Study. J Am Coll Cardiol 2015;66:2159–2169.</w:t>
      </w:r>
    </w:p>
    <w:p>
      <w:pPr>
        <w:spacing w:after="0" w:line="3"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Mancia G, Bombelli M, Facchetti R, et al. Long-term risk of sustained hypertension in white-coat or masked hypertension. Hypertension 2009;54:226–232.</w:t>
      </w:r>
      <w:r>
        <w:rPr>
          <w:rFonts w:ascii="Lucida Sans Unicode" w:cs="Lucida Sans Unicode" w:eastAsia="Lucida Sans Unicode" w:hAnsi="Lucida Sans Unicode"/>
          <w:sz w:val="27"/>
          <w:szCs w:val="27"/>
          <w:color w:val="auto"/>
        </w:rPr>
        <w:t> </w:t>
      </w:r>
    </w:p>
    <w:p>
      <w:pPr>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Thakkar H. V., Pope A., &amp; Anpalahan, M. Masked Hypertension: A Systematic Review. Heart, Lung and Circulation. 2019.</w:t>
      </w:r>
    </w:p>
    <w:p>
      <w:pPr>
        <w:spacing w:after="0" w:line="1" w:lineRule="exact"/>
        <w:rPr>
          <w:rFonts w:ascii="Arial" w:cs="Arial" w:eastAsia="Arial" w:hAnsi="Arial"/>
          <w:sz w:val="27"/>
          <w:szCs w:val="27"/>
          <w:color w:val="auto"/>
        </w:rPr>
      </w:pPr>
    </w:p>
    <w:p>
      <w:pPr>
        <w:jc w:val="both"/>
        <w:ind w:left="660" w:right="220" w:hanging="569"/>
        <w:spacing w:after="0" w:line="313" w:lineRule="auto"/>
        <w:tabs>
          <w:tab w:leader="none" w:pos="660" w:val="left"/>
        </w:tabs>
        <w:numPr>
          <w:ilvl w:val="0"/>
          <w:numId w:val="83"/>
        </w:numPr>
        <w:rPr>
          <w:rFonts w:ascii="Arial" w:cs="Arial" w:eastAsia="Arial" w:hAnsi="Arial"/>
          <w:sz w:val="26"/>
          <w:szCs w:val="26"/>
          <w:color w:val="auto"/>
        </w:rPr>
      </w:pPr>
      <w:r>
        <w:rPr>
          <w:rFonts w:ascii="Arial" w:cs="Arial" w:eastAsia="Arial" w:hAnsi="Arial"/>
          <w:sz w:val="26"/>
          <w:szCs w:val="26"/>
          <w:color w:val="auto"/>
        </w:rPr>
        <w:t>Ogedegbe G, Agyemang C, Ravenell JE. Masked hypertension: evidence of the need to treat. Curr Hypertens Rep 2010;12:349–355.</w:t>
      </w: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Pierdomenico SD, Cuccurullo F. Prognostic value of white-coat and masked hypertension diagnosed by ambulatory monitoring in initially untreated subjects: an updated meta analysis. American journal of hypertension 24.1 (2011): 52–58.</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Agarwal R et al. Role of home blood pressure monitoring in overcoming therapeutic inertia and improving hypertension control: a systematic review and meta-analysis. Hypertension 57.1 (2011): 29–38.</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Rolnik DL, Wright D, Poon LC et al. Aspirin versus placebo in pregnancies at high risk for preterm preeclampsia. N Engl J Med 2017;377:613–622.</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Easterling T. et al. Oral antihypertensive regimens (nifedipine retard, labetalol, and methyldopa) for management of severe hypertension in pregnancy: an open-label, randomised controlled trial //The Lancet. – 2019. – Т. 394. – №. 10203. – С. 1011-1021.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Ogihara T, Saruta T, Rakugi H, et al.; COLM Investigators. Combination therapy of hypertension in the elderly: a subgroup analysis of the Combination of OLMesartan and a calcium channel blocker or diuretic in Japanese elderly hypertensive patients trial. Hypertens Res 2015;38:89-96.</w:t>
      </w:r>
    </w:p>
    <w:p>
      <w:pPr>
        <w:spacing w:after="0" w:line="3" w:lineRule="exact"/>
        <w:rPr>
          <w:rFonts w:ascii="Arial" w:cs="Arial" w:eastAsia="Arial" w:hAnsi="Arial"/>
          <w:sz w:val="27"/>
          <w:szCs w:val="27"/>
          <w:color w:val="auto"/>
        </w:rPr>
      </w:pPr>
    </w:p>
    <w:p>
      <w:pPr>
        <w:jc w:val="both"/>
        <w:ind w:left="660" w:right="220" w:hanging="569"/>
        <w:spacing w:after="0" w:line="318" w:lineRule="auto"/>
        <w:tabs>
          <w:tab w:leader="none" w:pos="660" w:val="left"/>
        </w:tabs>
        <w:numPr>
          <w:ilvl w:val="0"/>
          <w:numId w:val="83"/>
        </w:numPr>
        <w:rPr>
          <w:rFonts w:ascii="Arial" w:cs="Arial" w:eastAsia="Arial" w:hAnsi="Arial"/>
          <w:sz w:val="27"/>
          <w:szCs w:val="27"/>
          <w:color w:val="auto"/>
        </w:rPr>
      </w:pPr>
      <w:r>
        <w:rPr>
          <w:rFonts w:ascii="Arial" w:cs="Arial" w:eastAsia="Arial" w:hAnsi="Arial"/>
          <w:sz w:val="27"/>
          <w:szCs w:val="27"/>
          <w:color w:val="auto"/>
        </w:rPr>
        <w:t>Thomopoulos C, Parati G., Zanchetti A. Effects of blood pressure-lowering treatment on cardiovascular outcomes and mortality: 14–</w:t>
      </w:r>
    </w:p>
    <w:p>
      <w:pPr>
        <w:sectPr>
          <w:pgSz w:w="11900" w:h="17039" w:orient="portrait"/>
          <w:cols w:equalWidth="0" w:num="1">
            <w:col w:w="9020"/>
          </w:cols>
          <w:pgMar w:left="1440" w:top="19" w:right="1440" w:bottom="0" w:gutter="0" w:footer="0" w:header="0"/>
        </w:sectPr>
      </w:pPr>
    </w:p>
    <w:bookmarkStart w:id="110" w:name="page111"/>
    <w:bookmarkEnd w:id="110"/>
    <w:p>
      <w:pPr>
        <w:spacing w:after="0" w:line="199" w:lineRule="exact"/>
        <w:rPr>
          <w:sz w:val="20"/>
          <w:szCs w:val="20"/>
          <w:color w:val="auto"/>
        </w:rPr>
      </w:pPr>
    </w:p>
    <w:p>
      <w:pPr>
        <w:jc w:val="both"/>
        <w:ind w:left="660" w:right="220"/>
        <w:spacing w:after="0" w:line="301" w:lineRule="auto"/>
        <w:rPr>
          <w:sz w:val="20"/>
          <w:szCs w:val="20"/>
          <w:color w:val="auto"/>
        </w:rPr>
      </w:pPr>
      <w:r>
        <w:rPr>
          <w:rFonts w:ascii="Arial" w:cs="Arial" w:eastAsia="Arial" w:hAnsi="Arial"/>
          <w:sz w:val="27"/>
          <w:szCs w:val="27"/>
          <w:color w:val="auto"/>
        </w:rPr>
        <w:t>effects of different classes of antihypertensive drugs in older and younger patients overview and meta-analysis. Journal of hypertension 2018; 36(8):1637–1647.</w:t>
      </w:r>
    </w:p>
    <w:p>
      <w:pPr>
        <w:spacing w:after="0" w:line="2" w:lineRule="exact"/>
        <w:rPr>
          <w:sz w:val="20"/>
          <w:szCs w:val="20"/>
          <w:color w:val="auto"/>
        </w:rPr>
      </w:pPr>
    </w:p>
    <w:p>
      <w:pPr>
        <w:jc w:val="both"/>
        <w:ind w:left="660" w:right="220" w:hanging="569"/>
        <w:spacing w:after="0" w:line="282"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 xml:space="preserve">Corrao G, Mazzola P, Monzio Compagnoni M, et al. Antihypertensive medications, loop diuretics, and risk of hip fracturein the elderly: a population-based cohort study of 81,617 Italian patients newly treated between 2005 and 2009. Drugs Aging 2015;32:927–936. </w:t>
      </w:r>
      <w:r>
        <w:rPr>
          <w:rFonts w:ascii="Lucida Sans Unicode" w:cs="Lucida Sans Unicode" w:eastAsia="Lucida Sans Unicode" w:hAnsi="Lucida Sans Unicode"/>
          <w:sz w:val="27"/>
          <w:szCs w:val="27"/>
          <w:color w:val="auto"/>
        </w:rPr>
        <w:t> </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Kjeldsen SE, Stenehjem A, Os I, et al. Treatment of high blood pressure in elderlyand octogenarians: European Society of Hypertension statement on blood pressure targets. Blood Press 2016;25:333–336.</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Egan BM, Li J, Hutchison FN, Ferdinand KC. Hypertension in the United States, 1999 to 2012: progress toward Healthy People 2020 goals. Circulation. 2014;130(19):1692–1699.</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779" w:val="left"/>
        </w:tabs>
        <w:numPr>
          <w:ilvl w:val="0"/>
          <w:numId w:val="84"/>
        </w:numPr>
        <w:rPr>
          <w:rFonts w:ascii="Arial" w:cs="Arial" w:eastAsia="Arial" w:hAnsi="Arial"/>
          <w:sz w:val="27"/>
          <w:szCs w:val="27"/>
          <w:color w:val="auto"/>
        </w:rPr>
      </w:pPr>
      <w:r>
        <w:rPr>
          <w:rFonts w:ascii="Arial" w:cs="Arial" w:eastAsia="Arial" w:hAnsi="Arial"/>
          <w:sz w:val="27"/>
          <w:szCs w:val="27"/>
          <w:color w:val="auto"/>
        </w:rPr>
        <w:t>Liu X, Rodriguez CJ, Wang K. Prevalence and trends of isolated systolic hypertension among untreated adults in the United States. J Am Soc Hypertens. 2015;9(3):197–205.</w:t>
      </w:r>
    </w:p>
    <w:p>
      <w:pPr>
        <w:spacing w:after="0" w:line="2" w:lineRule="exact"/>
        <w:rPr>
          <w:rFonts w:ascii="Arial" w:cs="Arial" w:eastAsia="Arial" w:hAnsi="Arial"/>
          <w:sz w:val="27"/>
          <w:szCs w:val="27"/>
          <w:color w:val="auto"/>
        </w:rPr>
      </w:pPr>
    </w:p>
    <w:p>
      <w:pPr>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Bavishi C, Goel S, Messerli FH. Isolated Systolic Hypertension: An Update After SPRINT Am J Med. 2016;129(12):1251–1258.</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Ekundayo OJ, Allman RM, Sanders PW, et al. Isolated systolic hypertension and incident heart failure in older adults: a propensity-matched study. Hypertension. 2009;53(3):458–465.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Li Y, Wei FF, Thijs L et al. Ambulatory hypertension subtypes and 24-hour systolic and diastolic blood pressure as distinct outcome predictors in 8341 untreated people recruited from 12 populations. Circulation. 2014;130(6):466–474.</w:t>
      </w:r>
    </w:p>
    <w:p>
      <w:pPr>
        <w:spacing w:after="0" w:line="3" w:lineRule="exact"/>
        <w:rPr>
          <w:rFonts w:ascii="Arial" w:cs="Arial" w:eastAsia="Arial" w:hAnsi="Arial"/>
          <w:sz w:val="27"/>
          <w:szCs w:val="27"/>
          <w:color w:val="auto"/>
        </w:rPr>
      </w:pPr>
    </w:p>
    <w:p>
      <w:pPr>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O’Rourke MF, Adji A. Guidelines on guidelines: focus on isolated systolic hypertension in youth. J Hypertens 2013;31:649–654.</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Yano Y, Stamler J, Garside DB, et al. Isolated systolic hypertension in young and middle-aged adults and 31-year risk for cardiovascular mortality: the Chicago Heart Association Detection Project in Industry study. JAmCollCardiol 2015;65:327–335.</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Penny JA, Halligan AW, Shennan AH, et al. Automated, ambulatory, or conventional blood pressure measurement in pregnancy: which is the better predictor of severe hypertension? Am JObstet Gynecol 1998;178:521–526.</w:t>
      </w:r>
    </w:p>
    <w:p>
      <w:pPr>
        <w:spacing w:after="0" w:line="3" w:lineRule="exact"/>
        <w:rPr>
          <w:rFonts w:ascii="Arial" w:cs="Arial" w:eastAsia="Arial" w:hAnsi="Arial"/>
          <w:sz w:val="27"/>
          <w:szCs w:val="27"/>
          <w:color w:val="auto"/>
        </w:rPr>
      </w:pPr>
    </w:p>
    <w:p>
      <w:pPr>
        <w:jc w:val="both"/>
        <w:ind w:left="660" w:right="220" w:hanging="569"/>
        <w:spacing w:after="0" w:line="321"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Weitz C. et al. Treatment of hypertension in pregnancy with methyldopa: a randomized double blind study //International Journal of Gynecology &amp; Obstetrics. – 1987. – Т. 25. – №. 1. – С. 35-40.</w:t>
      </w:r>
    </w:p>
    <w:p>
      <w:pPr>
        <w:spacing w:after="0" w:line="314" w:lineRule="exact"/>
        <w:rPr>
          <w:rFonts w:ascii="Arial" w:cs="Arial" w:eastAsia="Arial" w:hAnsi="Arial"/>
          <w:sz w:val="27"/>
          <w:szCs w:val="27"/>
          <w:color w:val="auto"/>
        </w:rPr>
      </w:pPr>
    </w:p>
    <w:p>
      <w:pPr>
        <w:jc w:val="both"/>
        <w:ind w:left="660" w:right="220" w:hanging="569"/>
        <w:spacing w:after="0" w:line="318" w:lineRule="auto"/>
        <w:tabs>
          <w:tab w:leader="none" w:pos="660" w:val="left"/>
        </w:tabs>
        <w:numPr>
          <w:ilvl w:val="0"/>
          <w:numId w:val="84"/>
        </w:numPr>
        <w:rPr>
          <w:rFonts w:ascii="Arial" w:cs="Arial" w:eastAsia="Arial" w:hAnsi="Arial"/>
          <w:sz w:val="27"/>
          <w:szCs w:val="27"/>
          <w:color w:val="auto"/>
        </w:rPr>
      </w:pPr>
      <w:r>
        <w:rPr>
          <w:rFonts w:ascii="Arial" w:cs="Arial" w:eastAsia="Arial" w:hAnsi="Arial"/>
          <w:sz w:val="27"/>
          <w:szCs w:val="27"/>
          <w:color w:val="auto"/>
        </w:rPr>
        <w:t>Williams B et al. 2018 Practice guidelines for the management of arterial hypertension of the European Society of Cardiology and the</w:t>
      </w:r>
    </w:p>
    <w:p>
      <w:pPr>
        <w:sectPr>
          <w:pgSz w:w="11900" w:h="17039" w:orient="portrait"/>
          <w:cols w:equalWidth="0" w:num="1">
            <w:col w:w="9020"/>
          </w:cols>
          <w:pgMar w:left="1440" w:top="19" w:right="1440" w:bottom="0" w:gutter="0" w:footer="0" w:header="0"/>
        </w:sectPr>
      </w:pPr>
    </w:p>
    <w:bookmarkStart w:id="111" w:name="page112"/>
    <w:bookmarkEnd w:id="111"/>
    <w:p>
      <w:pPr>
        <w:spacing w:after="0" w:line="199" w:lineRule="exact"/>
        <w:rPr>
          <w:sz w:val="20"/>
          <w:szCs w:val="20"/>
          <w:color w:val="auto"/>
        </w:rPr>
      </w:pPr>
    </w:p>
    <w:p>
      <w:pPr>
        <w:ind w:left="660" w:right="220"/>
        <w:spacing w:after="0" w:line="301" w:lineRule="auto"/>
        <w:rPr>
          <w:sz w:val="20"/>
          <w:szCs w:val="20"/>
          <w:color w:val="auto"/>
        </w:rPr>
      </w:pPr>
      <w:r>
        <w:rPr>
          <w:rFonts w:ascii="Arial" w:cs="Arial" w:eastAsia="Arial" w:hAnsi="Arial"/>
          <w:sz w:val="27"/>
          <w:szCs w:val="27"/>
          <w:color w:val="auto"/>
        </w:rPr>
        <w:t>European Society of Hypertension. Blood pressure 27.6 (2018): 314– 340.</w:t>
      </w:r>
    </w:p>
    <w:p>
      <w:pPr>
        <w:spacing w:after="0" w:line="2" w:lineRule="exact"/>
        <w:rPr>
          <w:sz w:val="20"/>
          <w:szCs w:val="20"/>
          <w:color w:val="auto"/>
        </w:rPr>
      </w:pP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Curtis KM et al. Combined oral contraceptive use among women with hypertension: a systematic review. Contraception 73.2 (2006):179–188.</w:t>
      </w:r>
    </w:p>
    <w:p>
      <w:pPr>
        <w:spacing w:after="0" w:line="2"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Lubianca JN, Moreira LB, Gus M, Fuchs FD. Stopping oral contraceptives: an effective blood pressure-lowering intervention in women with hypertension. J Hum Hypertens 2005;19:451–455.</w:t>
      </w:r>
      <w:r>
        <w:rPr>
          <w:rFonts w:ascii="Lucida Sans Unicode" w:cs="Lucida Sans Unicode" w:eastAsia="Lucida Sans Unicode" w:hAnsi="Lucida Sans Unicode"/>
          <w:sz w:val="27"/>
          <w:szCs w:val="27"/>
          <w:color w:val="auto"/>
        </w:rPr>
        <w:t> </w:t>
      </w:r>
    </w:p>
    <w:p>
      <w:pPr>
        <w:jc w:val="both"/>
        <w:ind w:left="660" w:right="220" w:hanging="569"/>
        <w:spacing w:after="0" w:line="27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Chasan-Taber L, Willett WC, Manson JE, et al. Prospective study of oral contraceptives and hypertension among women in the United States. Circulation 1996;94:483–489.</w:t>
      </w:r>
      <w:r>
        <w:rPr>
          <w:rFonts w:ascii="Lucida Sans Unicode" w:cs="Lucida Sans Unicode" w:eastAsia="Lucida Sans Unicode" w:hAnsi="Lucida Sans Unicode"/>
          <w:sz w:val="27"/>
          <w:szCs w:val="27"/>
          <w:color w:val="auto"/>
        </w:rPr>
        <w:t> </w:t>
      </w: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Dong W, Colhoun HM, Poulter NR. Blood pressure in women using oral contraceptives: results from the Health Survey for England 1994. J Hypertens 1997;15:1063–1068.</w:t>
      </w:r>
    </w:p>
    <w:p>
      <w:pPr>
        <w:spacing w:after="0" w:line="2" w:lineRule="exact"/>
        <w:rPr>
          <w:rFonts w:ascii="Arial" w:cs="Arial" w:eastAsia="Arial" w:hAnsi="Arial"/>
          <w:sz w:val="27"/>
          <w:szCs w:val="27"/>
          <w:color w:val="auto"/>
        </w:rPr>
      </w:pPr>
    </w:p>
    <w:p>
      <w:pPr>
        <w:ind w:left="660" w:right="220" w:hanging="569"/>
        <w:spacing w:after="0" w:line="258"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Gillum LA, Mamidipudi SK, Johnston SC. Ischemic stroke risk with oral contraceptives: a meta-analysis. JAMA 2000;284:72–78.</w:t>
      </w:r>
      <w:r>
        <w:rPr>
          <w:rFonts w:ascii="Lucida Sans Unicode" w:cs="Lucida Sans Unicode" w:eastAsia="Lucida Sans Unicode" w:hAnsi="Lucida Sans Unicode"/>
          <w:sz w:val="27"/>
          <w:szCs w:val="27"/>
          <w:color w:val="auto"/>
        </w:rPr>
        <w:t> </w:t>
      </w:r>
    </w:p>
    <w:p>
      <w:pPr>
        <w:ind w:left="660" w:hanging="569"/>
        <w:spacing w:after="0"/>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World  Health  Organization.  Medical  eligibility  criteria  for</w:t>
      </w:r>
    </w:p>
    <w:p>
      <w:pPr>
        <w:spacing w:after="0" w:line="79" w:lineRule="exact"/>
        <w:rPr>
          <w:rFonts w:ascii="Arial" w:cs="Arial" w:eastAsia="Arial" w:hAnsi="Arial"/>
          <w:sz w:val="27"/>
          <w:szCs w:val="27"/>
          <w:color w:val="auto"/>
        </w:rPr>
      </w:pPr>
    </w:p>
    <w:p>
      <w:pPr>
        <w:jc w:val="both"/>
        <w:ind w:left="660" w:right="220"/>
        <w:spacing w:after="0" w:line="301" w:lineRule="auto"/>
        <w:rPr>
          <w:rFonts w:ascii="Arial" w:cs="Arial" w:eastAsia="Arial" w:hAnsi="Arial"/>
          <w:sz w:val="27"/>
          <w:szCs w:val="27"/>
          <w:color w:val="auto"/>
        </w:rPr>
      </w:pPr>
      <w:r>
        <w:rPr>
          <w:rFonts w:ascii="Arial" w:cs="Arial" w:eastAsia="Arial" w:hAnsi="Arial"/>
          <w:sz w:val="27"/>
          <w:szCs w:val="27"/>
          <w:color w:val="auto"/>
        </w:rPr>
        <w:t>contraceptive use. Third edition, 2004. http://apps.who.int/iris/bitstream/10665/42907/1/ 9241562668.pdf (date accessed June 28th 2018).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La Torre A, Giupponi G, Duffy D, et al. Sexual dysfunction related to drugs: a critical review. Part IV: cardiovascular drugs.Pharmacopsychiatry 2015;48:1–6.</w:t>
      </w:r>
    </w:p>
    <w:p>
      <w:pPr>
        <w:spacing w:after="0" w:line="2"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Pickering TG, Shepherd AM, Puddey I, et al. Sildenafil citrate for erectile dysfunction in men receiving multiple antihypertensive agents: a randomized controlled trial.</w:t>
      </w: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Am J Hypertens. 2004 Dec;17(12 Pt 1):1135–42.</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Jain M, Townsend RR. Chemotherapy agents and hypertension: a focus on angiogenesis blockade. Curr Hypertens Rep 2007;9:320– 328.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Abi Aad S, Pierce M, Barmaimon G et al. Hypertension induced by chemotherapeutic and immunosuppresive agents: a . new challenge. Crit Rev Oncol Hematol 2015;93:28–35.</w:t>
      </w:r>
    </w:p>
    <w:p>
      <w:pPr>
        <w:spacing w:after="0" w:line="2"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 xml:space="preserve">Maitland ML, Bakris GL, Black HR, et al. Initial assessment, surveillance, and management of blood pressure in patients receiving vascular endothelial growth factor signaling pathway inhibitors. J Natl Cancer Inst. 2010;102:596–604. </w:t>
      </w:r>
      <w:r>
        <w:rPr>
          <w:rFonts w:ascii="Lucida Sans Unicode" w:cs="Lucida Sans Unicode" w:eastAsia="Lucida Sans Unicode" w:hAnsi="Lucida Sans Unicode"/>
          <w:sz w:val="27"/>
          <w:szCs w:val="27"/>
          <w:color w:val="auto"/>
        </w:rPr>
        <w:t> </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Chang HM, Okwuosa TM, Scarabelli T, et al. Cardiovascular complications of cancer therapy: best practices in diagnosis, prevention, and management: Part 2. J Am Coll Cardiol 2017;70:2552–2565.</w:t>
      </w:r>
    </w:p>
    <w:p>
      <w:pPr>
        <w:spacing w:after="0" w:line="3" w:lineRule="exact"/>
        <w:rPr>
          <w:rFonts w:ascii="Arial" w:cs="Arial" w:eastAsia="Arial" w:hAnsi="Arial"/>
          <w:sz w:val="27"/>
          <w:szCs w:val="27"/>
          <w:color w:val="auto"/>
        </w:rPr>
      </w:pPr>
    </w:p>
    <w:p>
      <w:pPr>
        <w:ind w:left="660" w:right="220" w:hanging="569"/>
        <w:spacing w:after="0" w:line="318" w:lineRule="auto"/>
        <w:tabs>
          <w:tab w:leader="none" w:pos="660" w:val="left"/>
        </w:tabs>
        <w:numPr>
          <w:ilvl w:val="0"/>
          <w:numId w:val="85"/>
        </w:numPr>
        <w:rPr>
          <w:rFonts w:ascii="Arial" w:cs="Arial" w:eastAsia="Arial" w:hAnsi="Arial"/>
          <w:sz w:val="27"/>
          <w:szCs w:val="27"/>
          <w:color w:val="auto"/>
        </w:rPr>
      </w:pPr>
      <w:r>
        <w:rPr>
          <w:rFonts w:ascii="Arial" w:cs="Arial" w:eastAsia="Arial" w:hAnsi="Arial"/>
          <w:sz w:val="27"/>
          <w:szCs w:val="27"/>
          <w:color w:val="auto"/>
        </w:rPr>
        <w:t>Milan A, Puglisi E, Ferrari L et al. Arterial hypertension and cancer. Int J Cancer 2014;134:2269–2277.</w:t>
      </w:r>
    </w:p>
    <w:p>
      <w:pPr>
        <w:sectPr>
          <w:pgSz w:w="11900" w:h="17039" w:orient="portrait"/>
          <w:cols w:equalWidth="0" w:num="1">
            <w:col w:w="9020"/>
          </w:cols>
          <w:pgMar w:left="1440" w:top="19" w:right="1440" w:bottom="0" w:gutter="0" w:footer="0" w:header="0"/>
        </w:sectPr>
      </w:pPr>
    </w:p>
    <w:bookmarkStart w:id="112" w:name="page113"/>
    <w:bookmarkEnd w:id="112"/>
    <w:p>
      <w:pPr>
        <w:spacing w:after="0" w:line="200" w:lineRule="exact"/>
        <w:rPr>
          <w:sz w:val="20"/>
          <w:szCs w:val="20"/>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Sever PS, Dahlof B, Poulter NR, et al. ASCOT Investigators. Prevention of coronary and stroke events with atorvastatin in hypertensive patients who have average or lower-than- average cholesterol concentrations, in the Anglo-Scandinavian Cardiac Outcomes Trial — Lipid Lowering Arm (ASCOT-LLA): a multicentre randomised controlled trial. Lancet 2003;361:1149–1158.</w:t>
      </w:r>
    </w:p>
    <w:p>
      <w:pPr>
        <w:spacing w:after="0" w:line="4"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Authors/Task Force Members: Catapano AL, Graham I, De Backer G, et al. 2016 ESC/EAS Guidelines for the Management of Dyslipidaemias. Eur Heart J 2016;37:2999–3058.</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Cholesterol Treatment Trialists’ Collaboration, Fulcher J, O’Connell R, Voysey M, Emberson J, et al. Efficacy and safety of LDL-lowering therapy among men and women: meta-analysis of individual data from 174,000 participants in 27 randomised trials. Lancet 2015;385:1397–1405.</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Lip GY, Felmeden DC, Dwivedi G. Antiplatelet agents and anticoagulants for hypertension. Cochrane Database Syst Rev 2011;12:CD003186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van den Born BJ, Lip GYH, Brguljan-Hitij J, et al. ESC Council on hypertension position document on the management of hypertensive emergencies. Eur Heart J Cardiovasc Pharmacotherapy 2018.</w:t>
      </w:r>
    </w:p>
    <w:p>
      <w:pPr>
        <w:spacing w:after="0" w:line="3" w:lineRule="exact"/>
        <w:rPr>
          <w:rFonts w:ascii="Arial" w:cs="Arial" w:eastAsia="Arial" w:hAnsi="Arial"/>
          <w:sz w:val="27"/>
          <w:szCs w:val="27"/>
          <w:color w:val="auto"/>
        </w:rPr>
      </w:pPr>
    </w:p>
    <w:p>
      <w:pPr>
        <w:ind w:left="660" w:right="220" w:hanging="569"/>
        <w:spacing w:after="0" w:line="301" w:lineRule="auto"/>
        <w:tabs>
          <w:tab w:leader="none" w:pos="877" w:val="left"/>
        </w:tabs>
        <w:numPr>
          <w:ilvl w:val="0"/>
          <w:numId w:val="86"/>
        </w:numPr>
        <w:rPr>
          <w:rFonts w:ascii="Arial" w:cs="Arial" w:eastAsia="Arial" w:hAnsi="Arial"/>
          <w:sz w:val="27"/>
          <w:szCs w:val="27"/>
          <w:color w:val="auto"/>
        </w:rPr>
      </w:pPr>
      <w:r>
        <w:rPr>
          <w:rFonts w:ascii="Arial" w:cs="Arial" w:eastAsia="Arial" w:hAnsi="Arial"/>
          <w:sz w:val="27"/>
          <w:szCs w:val="27"/>
          <w:color w:val="auto"/>
        </w:rPr>
        <w:t>Vaughan CJ, Delanty N. Hypertensive emergencies. Lancet 2000;356:411–417.</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Chester EM, Agamanolis DP, Banker BQ, Victor M. Hypertensive encephalopathy: a clinicopathologic study of 20 cases. Neurology 1978;28:928–939.</w:t>
      </w:r>
    </w:p>
    <w:p>
      <w:pPr>
        <w:spacing w:after="0" w:line="2" w:lineRule="exact"/>
        <w:rPr>
          <w:rFonts w:ascii="Arial" w:cs="Arial" w:eastAsia="Arial" w:hAnsi="Arial"/>
          <w:sz w:val="27"/>
          <w:szCs w:val="27"/>
          <w:color w:val="auto"/>
        </w:rPr>
      </w:pPr>
    </w:p>
    <w:p>
      <w:pPr>
        <w:jc w:val="both"/>
        <w:ind w:left="660" w:right="220" w:hanging="569"/>
        <w:spacing w:after="0" w:line="313" w:lineRule="auto"/>
        <w:tabs>
          <w:tab w:leader="none" w:pos="660" w:val="left"/>
        </w:tabs>
        <w:numPr>
          <w:ilvl w:val="0"/>
          <w:numId w:val="86"/>
        </w:numPr>
        <w:rPr>
          <w:rFonts w:ascii="Arial" w:cs="Arial" w:eastAsia="Arial" w:hAnsi="Arial"/>
          <w:sz w:val="26"/>
          <w:szCs w:val="26"/>
          <w:color w:val="auto"/>
        </w:rPr>
      </w:pPr>
      <w:r>
        <w:rPr>
          <w:rFonts w:ascii="Arial" w:cs="Arial" w:eastAsia="Arial" w:hAnsi="Arial"/>
          <w:sz w:val="26"/>
          <w:szCs w:val="26"/>
          <w:color w:val="auto"/>
        </w:rPr>
        <w:t>van den Born BJ, Koopmans RP, Groeneveld JO, van Montfrans GA. Ethnic disparities in the incidence, presentation and complications of malignant hypertension. J Hypertens 2006;24:2299–2304.</w:t>
      </w: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Cremer A, Amraoui F, Lip GY, et al. From malignant hypertension to hypertension-MOD: a modern definition for an old but still dangerous emergency. J Hum Hypertens 2016;30:463–466.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Pinna G, Pascale C, Fornengo P, et al. Hospital admissions for hypertensive crisis in the emergency departments: a large multicenter Italian study. PLoS One 2014;9:e93542.</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van den Born BJ, Lowenberg EC, van der Hoeven NV, et al. Endothelial dysfunction, platelet activation, thrombogenesis and fibrinolysis in patients with hypertensive crisis. J Hypertens 2011;29:922–927.</w:t>
      </w:r>
    </w:p>
    <w:p>
      <w:pPr>
        <w:spacing w:after="0" w:line="3" w:lineRule="exact"/>
        <w:rPr>
          <w:rFonts w:ascii="Arial" w:cs="Arial" w:eastAsia="Arial" w:hAnsi="Arial"/>
          <w:sz w:val="27"/>
          <w:szCs w:val="27"/>
          <w:color w:val="auto"/>
        </w:rPr>
      </w:pPr>
    </w:p>
    <w:p>
      <w:pPr>
        <w:jc w:val="both"/>
        <w:ind w:left="660" w:right="220" w:hanging="569"/>
        <w:spacing w:after="0" w:line="310" w:lineRule="auto"/>
        <w:tabs>
          <w:tab w:leader="none" w:pos="660" w:val="left"/>
        </w:tabs>
        <w:numPr>
          <w:ilvl w:val="0"/>
          <w:numId w:val="86"/>
        </w:numPr>
        <w:rPr>
          <w:rFonts w:ascii="Arial" w:cs="Arial" w:eastAsia="Arial" w:hAnsi="Arial"/>
          <w:sz w:val="27"/>
          <w:szCs w:val="27"/>
          <w:color w:val="auto"/>
        </w:rPr>
      </w:pPr>
      <w:r>
        <w:rPr>
          <w:rFonts w:ascii="Arial" w:cs="Arial" w:eastAsia="Arial" w:hAnsi="Arial"/>
          <w:sz w:val="27"/>
          <w:szCs w:val="27"/>
          <w:color w:val="auto"/>
        </w:rPr>
        <w:t>Grassi D, O’Flaherty M, Pellizzari M, et al. Hypertensive urgencies in the emergency department: evaluating blood pressure response to rest and to antihypertensive drugs with different profiles. J Clin Hypertens (Greenwich) 2008;10:662–667.</w:t>
      </w:r>
    </w:p>
    <w:p>
      <w:pPr>
        <w:sectPr>
          <w:pgSz w:w="11900" w:h="17040" w:orient="portrait"/>
          <w:cols w:equalWidth="0" w:num="1">
            <w:col w:w="9020"/>
          </w:cols>
          <w:pgMar w:left="1440" w:top="19" w:right="1440" w:bottom="0" w:gutter="0" w:footer="0" w:header="0"/>
        </w:sectPr>
      </w:pPr>
    </w:p>
    <w:bookmarkStart w:id="113" w:name="page114"/>
    <w:bookmarkEnd w:id="113"/>
    <w:p>
      <w:pPr>
        <w:spacing w:after="0" w:line="199" w:lineRule="exact"/>
        <w:rPr>
          <w:sz w:val="20"/>
          <w:szCs w:val="20"/>
          <w:color w:val="auto"/>
        </w:rPr>
      </w:pPr>
    </w:p>
    <w:p>
      <w:pPr>
        <w:ind w:left="660" w:hanging="569"/>
        <w:spacing w:after="0"/>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Grossman A, Messerli FH, Grossman E. Drug induced hypertension</w:t>
      </w:r>
    </w:p>
    <w:p>
      <w:pPr>
        <w:spacing w:after="0" w:line="79" w:lineRule="exact"/>
        <w:rPr>
          <w:rFonts w:ascii="Arial" w:cs="Arial" w:eastAsia="Arial" w:hAnsi="Arial"/>
          <w:sz w:val="27"/>
          <w:szCs w:val="27"/>
          <w:color w:val="auto"/>
        </w:rPr>
      </w:pPr>
    </w:p>
    <w:p>
      <w:pPr>
        <w:ind w:left="660" w:right="220"/>
        <w:spacing w:after="0" w:line="301" w:lineRule="auto"/>
        <w:rPr>
          <w:rFonts w:ascii="Arial" w:cs="Arial" w:eastAsia="Arial" w:hAnsi="Arial"/>
          <w:sz w:val="27"/>
          <w:szCs w:val="27"/>
          <w:color w:val="auto"/>
        </w:rPr>
      </w:pPr>
      <w:r>
        <w:rPr>
          <w:rFonts w:ascii="Arial" w:cs="Arial" w:eastAsia="Arial" w:hAnsi="Arial"/>
          <w:sz w:val="27"/>
          <w:szCs w:val="27"/>
          <w:color w:val="auto"/>
        </w:rPr>
        <w:t>— An unappreciated cause of secondary hypertension. Eur J Pharmacol 2015;763:15–22.</w:t>
      </w:r>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Perez MI, Musini VM. Pharmacological interventions for hypertensive emergencies: a Cochrane systematic review. J Hum Hypertens 2008;22:596–607.</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Amraoui F, Van Der Hoeven NV, Van Valkengoed IG et al. Mortality and cardiovascular risk in patients with a history of malignant hypertension: a case-control study. J Clin Hypertens (Greenwich) 2014;16:122–126.</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Gonzalez R, Morales E, Segura J et al. Long-term renal survival in malignant hypertension. Nephrol Dial Transplant 2010;25:3266– 3272.</w:t>
      </w:r>
    </w:p>
    <w:p>
      <w:pPr>
        <w:spacing w:after="0" w:line="2"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Cornelissen V. A., Smart N. A. Exercise training for blood pressure: a systematic review and meta</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analysis //Journal of the American Heart Association. – 2013. – Т. 2. – №. 1. – С. e004473.</w:t>
      </w: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Julius S, Nesbitt SD, Egan BM, et al. Trial of Preventing Hypertension Study Investigators. Feasibility of treating prehypertension with an angiotensin-receptor blocker. N Engl J Med 2006;354:1685–1697.</w:t>
      </w:r>
    </w:p>
    <w:p>
      <w:pPr>
        <w:spacing w:after="0" w:line="3" w:lineRule="exact"/>
        <w:rPr>
          <w:rFonts w:ascii="Arial" w:cs="Arial" w:eastAsia="Arial" w:hAnsi="Arial"/>
          <w:sz w:val="27"/>
          <w:szCs w:val="27"/>
          <w:color w:val="auto"/>
        </w:rPr>
      </w:pPr>
    </w:p>
    <w:p>
      <w:pPr>
        <w:jc w:val="both"/>
        <w:ind w:left="660" w:right="220" w:hanging="569"/>
        <w:spacing w:after="0" w:line="278"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 xml:space="preserve">Cook NR, Cutler JA, Obarzanek E et al. Long term effects of dietary sodium reduction on cardiovascular disease outcomes: observational follow-up of the trials of hypertension prevention (TOHP). BMJ 2007;334:885–888. </w:t>
      </w:r>
      <w:r>
        <w:rPr>
          <w:rFonts w:ascii="Lucida Sans Unicode" w:cs="Lucida Sans Unicode" w:eastAsia="Lucida Sans Unicode" w:hAnsi="Lucida Sans Unicode"/>
          <w:sz w:val="27"/>
          <w:szCs w:val="27"/>
          <w:color w:val="auto"/>
        </w:rPr>
        <w:t> </w:t>
      </w:r>
    </w:p>
    <w:p>
      <w:pPr>
        <w:spacing w:after="0" w:line="1" w:lineRule="exact"/>
        <w:rPr>
          <w:rFonts w:ascii="Arial" w:cs="Arial" w:eastAsia="Arial" w:hAnsi="Arial"/>
          <w:sz w:val="27"/>
          <w:szCs w:val="27"/>
          <w:color w:val="auto"/>
        </w:rPr>
      </w:pPr>
    </w:p>
    <w:p>
      <w:pPr>
        <w:jc w:val="both"/>
        <w:ind w:left="660" w:right="220" w:hanging="569"/>
        <w:spacing w:after="0" w:line="27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 xml:space="preserve">Viera AJ, Bangura F, Mitchell CM, et al. Do clinicians tell patientsthey have prehypertension? J Am Board Fam Med 2011;24:117–118. </w:t>
      </w:r>
      <w:r>
        <w:rPr>
          <w:rFonts w:ascii="Lucida Sans Unicode" w:cs="Lucida Sans Unicode" w:eastAsia="Lucida Sans Unicode" w:hAnsi="Lucida Sans Unicode"/>
          <w:sz w:val="27"/>
          <w:szCs w:val="27"/>
          <w:color w:val="auto"/>
        </w:rPr>
        <w:t> </w:t>
      </w:r>
    </w:p>
    <w:p>
      <w:pPr>
        <w:jc w:val="both"/>
        <w:ind w:left="660" w:right="220" w:hanging="569"/>
        <w:spacing w:after="0" w:line="294"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Gupta AK, McGlone M, Greenway FL, Johnson WD. Prehypertension in disease-free adults: a marker for an adverse cardiometabolic risk profile.Hypertens Res 2010;33:905–910.</w:t>
      </w:r>
    </w:p>
    <w:p>
      <w:pPr>
        <w:spacing w:after="0" w:line="1" w:lineRule="exact"/>
        <w:rPr>
          <w:rFonts w:ascii="Arial" w:cs="Arial" w:eastAsia="Arial" w:hAnsi="Arial"/>
          <w:sz w:val="27"/>
          <w:szCs w:val="27"/>
          <w:color w:val="auto"/>
        </w:rPr>
      </w:pPr>
    </w:p>
    <w:p>
      <w:pPr>
        <w:jc w:val="both"/>
        <w:ind w:left="660" w:right="220" w:hanging="569"/>
        <w:spacing w:after="0" w:line="245" w:lineRule="auto"/>
        <w:tabs>
          <w:tab w:leader="none" w:pos="660" w:val="left"/>
        </w:tabs>
        <w:numPr>
          <w:ilvl w:val="0"/>
          <w:numId w:val="87"/>
        </w:numPr>
        <w:rPr>
          <w:rFonts w:ascii="Arial" w:cs="Arial" w:eastAsia="Arial" w:hAnsi="Arial"/>
          <w:sz w:val="27"/>
          <w:szCs w:val="27"/>
          <w:color w:val="auto"/>
        </w:rPr>
      </w:pPr>
      <w:r>
        <w:rPr>
          <w:rFonts w:ascii="Lucida Sans Unicode" w:cs="Lucida Sans Unicode" w:eastAsia="Lucida Sans Unicode" w:hAnsi="Lucida Sans Unicode"/>
          <w:sz w:val="27"/>
          <w:szCs w:val="27"/>
          <w:color w:val="auto"/>
        </w:rPr>
        <w:t> </w:t>
      </w:r>
      <w:r>
        <w:rPr>
          <w:rFonts w:ascii="Arial" w:cs="Arial" w:eastAsia="Arial" w:hAnsi="Arial"/>
          <w:sz w:val="27"/>
          <w:szCs w:val="27"/>
          <w:color w:val="auto"/>
        </w:rPr>
        <w:t>Thompson AM, Hu T, Eshelbrenner CL, et al. Antihypertensive</w:t>
      </w:r>
      <w:r>
        <w:rPr>
          <w:rFonts w:ascii="Lucida Sans Unicode" w:cs="Lucida Sans Unicode" w:eastAsia="Lucida Sans Unicode" w:hAnsi="Lucida Sans Unicode"/>
          <w:sz w:val="27"/>
          <w:szCs w:val="27"/>
          <w:color w:val="auto"/>
        </w:rPr>
        <w:t xml:space="preserve"> </w:t>
      </w:r>
      <w:r>
        <w:rPr>
          <w:rFonts w:ascii="Arial" w:cs="Arial" w:eastAsia="Arial" w:hAnsi="Arial"/>
          <w:sz w:val="27"/>
          <w:szCs w:val="27"/>
          <w:color w:val="auto"/>
        </w:rPr>
        <w:t xml:space="preserve">treatment and secondary prevention of cardiovascular disease events among persons without hypertension: a meta-analysis. JAMA . 2011;305:913–922. </w:t>
      </w:r>
      <w:r>
        <w:rPr>
          <w:rFonts w:ascii="Lucida Sans Unicode" w:cs="Lucida Sans Unicode" w:eastAsia="Lucida Sans Unicode" w:hAnsi="Lucida Sans Unicode"/>
          <w:sz w:val="27"/>
          <w:szCs w:val="27"/>
          <w:color w:val="auto"/>
        </w:rPr>
        <w:t> </w:t>
      </w: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Bosworth H. B. et al. Two self-management interventions to improve hypertension control: a randomized trial //Annals of internal medicine. – 2009. – Т. 151. – №. 10. – С. 687-695.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7"/>
        </w:numPr>
        <w:rPr>
          <w:rFonts w:ascii="Arial" w:cs="Arial" w:eastAsia="Arial" w:hAnsi="Arial"/>
          <w:sz w:val="27"/>
          <w:szCs w:val="27"/>
          <w:color w:val="auto"/>
        </w:rPr>
      </w:pPr>
      <w:r>
        <w:rPr>
          <w:rFonts w:ascii="Arial" w:cs="Arial" w:eastAsia="Arial" w:hAnsi="Arial"/>
          <w:sz w:val="27"/>
          <w:szCs w:val="27"/>
          <w:color w:val="auto"/>
        </w:rPr>
        <w:t>Birtwhistle RV, Godwin MS, Delva MD, et al. Randomised equivalence trial comparing three month and six month follow up of patients with hypertension by family practitioners. BMJ.2004;328:204.</w:t>
      </w:r>
    </w:p>
    <w:p>
      <w:pPr>
        <w:spacing w:after="0" w:line="3" w:lineRule="exact"/>
        <w:rPr>
          <w:rFonts w:ascii="Arial" w:cs="Arial" w:eastAsia="Arial" w:hAnsi="Arial"/>
          <w:sz w:val="27"/>
          <w:szCs w:val="27"/>
          <w:color w:val="auto"/>
        </w:rPr>
      </w:pPr>
    </w:p>
    <w:p>
      <w:pPr>
        <w:jc w:val="both"/>
        <w:ind w:left="660" w:right="220" w:hanging="569"/>
        <w:spacing w:after="0" w:line="318" w:lineRule="auto"/>
        <w:tabs>
          <w:tab w:leader="none" w:pos="741" w:val="left"/>
        </w:tabs>
        <w:numPr>
          <w:ilvl w:val="0"/>
          <w:numId w:val="87"/>
        </w:numPr>
        <w:rPr>
          <w:rFonts w:ascii="Arial" w:cs="Arial" w:eastAsia="Arial" w:hAnsi="Arial"/>
          <w:sz w:val="27"/>
          <w:szCs w:val="27"/>
          <w:color w:val="auto"/>
        </w:rPr>
      </w:pPr>
      <w:r>
        <w:rPr>
          <w:rFonts w:ascii="Arial" w:cs="Arial" w:eastAsia="Arial" w:hAnsi="Arial"/>
          <w:sz w:val="27"/>
          <w:szCs w:val="27"/>
          <w:color w:val="auto"/>
        </w:rPr>
        <w:t>Fahey T., Schroeder K., Ebrahim S. Educational and organisational interventions used to improve the management of hypertension in</w:t>
      </w:r>
    </w:p>
    <w:p>
      <w:pPr>
        <w:sectPr>
          <w:pgSz w:w="11900" w:h="17039" w:orient="portrait"/>
          <w:cols w:equalWidth="0" w:num="1">
            <w:col w:w="9020"/>
          </w:cols>
          <w:pgMar w:left="1440" w:top="19" w:right="1440" w:bottom="0" w:gutter="0" w:footer="0" w:header="0"/>
        </w:sectPr>
      </w:pPr>
    </w:p>
    <w:bookmarkStart w:id="114" w:name="page115"/>
    <w:bookmarkEnd w:id="114"/>
    <w:p>
      <w:pPr>
        <w:ind w:left="660"/>
        <w:spacing w:after="0"/>
        <w:rPr>
          <w:sz w:val="20"/>
          <w:szCs w:val="20"/>
          <w:color w:val="auto"/>
        </w:rPr>
      </w:pPr>
      <w:r>
        <w:rPr>
          <w:rFonts w:ascii="Arial" w:cs="Arial" w:eastAsia="Arial" w:hAnsi="Arial"/>
          <w:sz w:val="27"/>
          <w:szCs w:val="27"/>
          <w:color w:val="auto"/>
        </w:rPr>
        <w:t>primary care: a systematic review //Br J Gen Pract. – 2005. – Т. 55.</w:t>
      </w:r>
    </w:p>
    <w:p>
      <w:pPr>
        <w:spacing w:after="0" w:line="80" w:lineRule="exact"/>
        <w:rPr>
          <w:sz w:val="20"/>
          <w:szCs w:val="20"/>
          <w:color w:val="auto"/>
        </w:rPr>
      </w:pPr>
    </w:p>
    <w:p>
      <w:pPr>
        <w:ind w:left="660"/>
        <w:spacing w:after="0"/>
        <w:rPr>
          <w:sz w:val="20"/>
          <w:szCs w:val="20"/>
          <w:color w:val="auto"/>
        </w:rPr>
      </w:pPr>
      <w:r>
        <w:rPr>
          <w:rFonts w:ascii="Arial" w:cs="Arial" w:eastAsia="Arial" w:hAnsi="Arial"/>
          <w:sz w:val="27"/>
          <w:szCs w:val="27"/>
          <w:color w:val="auto"/>
        </w:rPr>
        <w:t>– №. 520. – С. 875-882.</w:t>
      </w:r>
    </w:p>
    <w:p>
      <w:pPr>
        <w:spacing w:after="0" w:line="79" w:lineRule="exact"/>
        <w:rPr>
          <w:sz w:val="20"/>
          <w:szCs w:val="20"/>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Glynn L. G. et al. Interventions used to improve control of blood pressure in patients with hypertension //Cochrane database of systematic reviews. – 2010. – №. 3.</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Omboni S, Gazzola T, Carabelli G, Parati G. Clinical usefulness and cost effectiveness of home blood pressure telemonitoring: meta-analysis of randomized controlled studies. J Hypertens. 2013;31:455-468.</w:t>
      </w:r>
    </w:p>
    <w:p>
      <w:pPr>
        <w:spacing w:after="0" w:line="3" w:lineRule="exact"/>
        <w:rPr>
          <w:rFonts w:ascii="Arial" w:cs="Arial" w:eastAsia="Arial" w:hAnsi="Arial"/>
          <w:sz w:val="27"/>
          <w:szCs w:val="27"/>
          <w:color w:val="auto"/>
        </w:rPr>
      </w:pPr>
    </w:p>
    <w:p>
      <w:pPr>
        <w:jc w:val="both"/>
        <w:ind w:left="660" w:right="220" w:hanging="569"/>
        <w:spacing w:after="0" w:line="313" w:lineRule="auto"/>
        <w:tabs>
          <w:tab w:leader="none" w:pos="660" w:val="left"/>
        </w:tabs>
        <w:numPr>
          <w:ilvl w:val="0"/>
          <w:numId w:val="88"/>
        </w:numPr>
        <w:rPr>
          <w:rFonts w:ascii="Arial" w:cs="Arial" w:eastAsia="Arial" w:hAnsi="Arial"/>
          <w:sz w:val="26"/>
          <w:szCs w:val="26"/>
          <w:color w:val="auto"/>
        </w:rPr>
      </w:pPr>
      <w:r>
        <w:rPr>
          <w:rFonts w:ascii="Arial" w:cs="Arial" w:eastAsia="Arial" w:hAnsi="Arial"/>
          <w:sz w:val="26"/>
          <w:szCs w:val="26"/>
          <w:color w:val="auto"/>
        </w:rPr>
        <w:t>Duan Y, Xie Z, Dong F, et al. Effectiveness of home blood pressure telemonitoring: a systematic review and meta-analysis of randomised controlled studies. J Hum Hypertens. 2017;31:427–437.</w:t>
      </w: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Omboni S, Ferrari R. The role of telemedicine in hypertension management: focus on blood pressure telemonitoring. Curr Hypertens Rep. 2015;17:535.</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Bray EP, Holder R, Mant J, McManus RJ. Does self-monitoring reduce bloodpressure? Meta-analysis with meta-regression of randomized controlled trials. . Ann Med 2010;42:371–386.</w:t>
      </w:r>
    </w:p>
    <w:p>
      <w:pPr>
        <w:spacing w:after="0" w:line="2"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Niiranen TJ, Hanninen MR, Johansson J, et al. Home-measuredblood pressure is a stronger predictor of cardiovascular risk than office bloodpressure: the Finn-Home study. Hypertension 2010;55:1346–1351.</w:t>
      </w:r>
    </w:p>
    <w:p>
      <w:pPr>
        <w:spacing w:after="0" w:line="3"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r>
        <w:rPr>
          <w:rFonts w:ascii="Arial" w:cs="Arial" w:eastAsia="Arial" w:hAnsi="Arial"/>
          <w:sz w:val="27"/>
          <w:szCs w:val="27"/>
          <w:color w:val="auto"/>
        </w:rPr>
        <w:t>Диспансерное наблюдение больных хроническими неинфекционными заболеваниями и пациентов с высоким риском их развития. Методические рекомендации. Под ред. С.А. Бойцова и А.Г. Чучалина. М.: 2014. 112 с. URL:</w:t>
      </w:r>
    </w:p>
    <w:p>
      <w:pPr>
        <w:spacing w:after="0" w:line="3" w:lineRule="exact"/>
        <w:rPr>
          <w:rFonts w:ascii="Arial" w:cs="Arial" w:eastAsia="Arial" w:hAnsi="Arial"/>
          <w:sz w:val="27"/>
          <w:szCs w:val="27"/>
          <w:color w:val="auto"/>
        </w:rPr>
      </w:pPr>
    </w:p>
    <w:p>
      <w:pPr>
        <w:ind w:left="660" w:right="220"/>
        <w:spacing w:after="0" w:line="287" w:lineRule="auto"/>
        <w:rPr>
          <w:rFonts w:ascii="Arial" w:cs="Arial" w:eastAsia="Arial" w:hAnsi="Arial"/>
          <w:sz w:val="27"/>
          <w:szCs w:val="27"/>
          <w:color w:val="auto"/>
        </w:rPr>
      </w:pPr>
      <w:hyperlink r:id="rId277">
        <w:r>
          <w:rPr>
            <w:rFonts w:ascii="Arial" w:cs="Arial" w:eastAsia="Arial" w:hAnsi="Arial"/>
            <w:sz w:val="27"/>
            <w:szCs w:val="27"/>
            <w:color w:val="auto"/>
          </w:rPr>
          <w:t>http://www.gnicpm.ru, http://www.ropniz.ru</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(http://www.ropniz.ru)</w:t>
        </w:r>
      </w:hyperlink>
    </w:p>
    <w:p>
      <w:pPr>
        <w:spacing w:after="0" w:line="200" w:lineRule="exact"/>
        <w:rPr>
          <w:rFonts w:ascii="Arial" w:cs="Arial" w:eastAsia="Arial" w:hAnsi="Arial"/>
          <w:sz w:val="27"/>
          <w:szCs w:val="27"/>
          <w:color w:val="auto"/>
        </w:rPr>
      </w:pPr>
    </w:p>
    <w:p>
      <w:pPr>
        <w:spacing w:after="0" w:line="209"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hyperlink r:id="rId277">
        <w:r>
          <w:rPr>
            <w:rFonts w:ascii="Arial" w:cs="Arial" w:eastAsia="Arial" w:hAnsi="Arial"/>
            <w:sz w:val="27"/>
            <w:szCs w:val="27"/>
            <w:color w:val="auto"/>
          </w:rPr>
          <w:t>Vanezis, A. P., &amp; Bhopal, R. (2008). Validity of electrocardiographic</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classification of left ventricular hypertrophy across adult ethnic</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groups with echocardiography as a standard. Journal of</w:t>
        </w:r>
      </w:hyperlink>
    </w:p>
    <w:p>
      <w:pPr>
        <w:spacing w:after="0" w:line="2" w:lineRule="exact"/>
        <w:rPr>
          <w:rFonts w:ascii="Arial" w:cs="Arial" w:eastAsia="Arial" w:hAnsi="Arial"/>
          <w:sz w:val="27"/>
          <w:szCs w:val="27"/>
          <w:color w:val="auto"/>
        </w:rPr>
      </w:pPr>
    </w:p>
    <w:p>
      <w:pPr>
        <w:ind w:left="660" w:right="220"/>
        <w:spacing w:after="0" w:line="301" w:lineRule="auto"/>
        <w:rPr>
          <w:rFonts w:ascii="Arial" w:cs="Arial" w:eastAsia="Arial" w:hAnsi="Arial"/>
          <w:sz w:val="27"/>
          <w:szCs w:val="27"/>
          <w:color w:val="auto"/>
        </w:rPr>
      </w:pPr>
      <w:hyperlink r:id="rId277">
        <w:r>
          <w:rPr>
            <w:rFonts w:ascii="Arial" w:cs="Arial" w:eastAsia="Arial" w:hAnsi="Arial"/>
            <w:sz w:val="27"/>
            <w:szCs w:val="27"/>
            <w:color w:val="auto"/>
          </w:rPr>
          <w:t>Electrocardiology, 41(5), 404–</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412.doi:10.1016/j.jelectrocard.2008.02.013 (http://www.ropniz.ru)</w:t>
        </w:r>
      </w:hyperlink>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8"/>
        </w:numPr>
        <w:rPr>
          <w:rFonts w:ascii="Arial" w:cs="Arial" w:eastAsia="Arial" w:hAnsi="Arial"/>
          <w:sz w:val="27"/>
          <w:szCs w:val="27"/>
          <w:color w:val="auto"/>
        </w:rPr>
      </w:pPr>
      <w:hyperlink r:id="rId277">
        <w:r>
          <w:rPr>
            <w:rFonts w:ascii="Arial" w:cs="Arial" w:eastAsia="Arial" w:hAnsi="Arial"/>
            <w:sz w:val="27"/>
            <w:szCs w:val="27"/>
            <w:color w:val="auto"/>
          </w:rPr>
          <w:t>Jahromi A. S. et al. Sensitivity and specificity of color duplex</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ultrasound measurement in the estimation of internal carotid</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artery stenosis: a systematic review and meta-analysis //Journal of</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vascular surgery. – 2005. – Т. 41. – № . 6. – С. 962-972.</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(http://www.ropniz.ru)</w:t>
        </w:r>
      </w:hyperlink>
    </w:p>
    <w:p>
      <w:pPr>
        <w:spacing w:after="0" w:line="3" w:lineRule="exact"/>
        <w:rPr>
          <w:rFonts w:ascii="Arial" w:cs="Arial" w:eastAsia="Arial" w:hAnsi="Arial"/>
          <w:sz w:val="27"/>
          <w:szCs w:val="27"/>
          <w:color w:val="auto"/>
        </w:rPr>
      </w:pPr>
    </w:p>
    <w:p>
      <w:pPr>
        <w:jc w:val="both"/>
        <w:ind w:left="660" w:right="220" w:hanging="569"/>
        <w:spacing w:after="0" w:line="312" w:lineRule="auto"/>
        <w:tabs>
          <w:tab w:leader="none" w:pos="660" w:val="left"/>
        </w:tabs>
        <w:numPr>
          <w:ilvl w:val="0"/>
          <w:numId w:val="88"/>
        </w:numPr>
        <w:rPr>
          <w:rFonts w:ascii="Arial" w:cs="Arial" w:eastAsia="Arial" w:hAnsi="Arial"/>
          <w:sz w:val="27"/>
          <w:szCs w:val="27"/>
          <w:color w:val="auto"/>
        </w:rPr>
      </w:pPr>
      <w:hyperlink r:id="rId277">
        <w:r>
          <w:rPr>
            <w:rFonts w:ascii="Arial" w:cs="Arial" w:eastAsia="Arial" w:hAnsi="Arial"/>
            <w:sz w:val="27"/>
            <w:szCs w:val="27"/>
            <w:color w:val="auto"/>
          </w:rPr>
          <w:t>Thomopoulos C, Parati G, Zanchetti A. Effects of blood-pressure-</w:t>
        </w:r>
      </w:hyperlink>
      <w:hyperlink r:id="rId277">
        <w:r>
          <w:rPr>
            <w:rFonts w:ascii="Arial" w:cs="Arial" w:eastAsia="Arial" w:hAnsi="Arial"/>
            <w:sz w:val="27"/>
            <w:szCs w:val="27"/>
            <w:color w:val="auto"/>
          </w:rPr>
          <w:t>lowering treatment on outcome incidence in hypertension: 10 —</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Should blood pressure management differ in hypertensive patients</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with and without diabetes mellitus? Overview and meta-analyses of</w:t>
        </w:r>
      </w:hyperlink>
    </w:p>
    <w:p>
      <w:pPr>
        <w:sectPr>
          <w:pgSz w:w="11900" w:h="16840" w:orient="portrait"/>
          <w:cols w:equalWidth="0" w:num="1">
            <w:col w:w="9020"/>
          </w:cols>
          <w:pgMar w:left="1440" w:top="19" w:right="1440" w:bottom="0" w:gutter="0" w:footer="0" w:header="0"/>
        </w:sectPr>
      </w:pPr>
    </w:p>
    <w:bookmarkStart w:id="115" w:name="page116"/>
    <w:bookmarkEnd w:id="115"/>
    <w:p>
      <w:pPr>
        <w:ind w:left="660" w:right="220"/>
        <w:spacing w:after="0" w:line="301" w:lineRule="auto"/>
        <w:rPr>
          <w:rFonts w:ascii="Arial" w:cs="Arial" w:eastAsia="Arial" w:hAnsi="Arial"/>
          <w:sz w:val="27"/>
          <w:szCs w:val="27"/>
          <w:color w:val="auto"/>
        </w:rPr>
      </w:pPr>
      <w:hyperlink r:id="rId277">
        <w:r>
          <w:rPr>
            <w:rFonts w:ascii="Arial" w:cs="Arial" w:eastAsia="Arial" w:hAnsi="Arial"/>
            <w:sz w:val="27"/>
            <w:szCs w:val="27"/>
            <w:color w:val="auto"/>
          </w:rPr>
          <w:t>randomized trials. J Hypertens 2017;35:922–944.</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(http://www.ropniz.ru)</w:t>
        </w:r>
      </w:hyperlink>
    </w:p>
    <w:p>
      <w:pPr>
        <w:spacing w:after="0" w:line="2" w:lineRule="exact"/>
        <w:rPr>
          <w:sz w:val="20"/>
          <w:szCs w:val="20"/>
          <w:color w:val="auto"/>
        </w:rPr>
      </w:pPr>
    </w:p>
    <w:p>
      <w:pPr>
        <w:jc w:val="both"/>
        <w:ind w:left="660" w:right="220" w:hanging="569"/>
        <w:spacing w:after="0" w:line="278" w:lineRule="auto"/>
        <w:tabs>
          <w:tab w:leader="none" w:pos="660" w:val="left"/>
        </w:tabs>
        <w:numPr>
          <w:ilvl w:val="0"/>
          <w:numId w:val="89"/>
        </w:numPr>
        <w:rPr>
          <w:rFonts w:ascii="Arial" w:cs="Arial" w:eastAsia="Arial" w:hAnsi="Arial"/>
          <w:sz w:val="27"/>
          <w:szCs w:val="27"/>
          <w:color w:val="auto"/>
        </w:rPr>
      </w:pPr>
      <w:hyperlink r:id="rId277">
        <w:r>
          <w:rPr>
            <w:rFonts w:ascii="Arial" w:cs="Arial" w:eastAsia="Arial" w:hAnsi="Arial"/>
            <w:sz w:val="27"/>
            <w:szCs w:val="27"/>
            <w:color w:val="auto"/>
          </w:rPr>
          <w:t>Kelley G. A., Kelley K. A., Vu Tran Z. Aerobic exercise and resting</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blood pressure: a meta</w:t>
        </w:r>
        <w:r>
          <w:rPr>
            <w:rFonts w:ascii="Lucida Sans Unicode" w:cs="Lucida Sans Unicode" w:eastAsia="Lucida Sans Unicode" w:hAnsi="Lucida Sans Unicode"/>
            <w:sz w:val="27"/>
            <w:szCs w:val="27"/>
            <w:color w:val="auto"/>
          </w:rPr>
          <w:t>‐</w:t>
        </w:r>
        <w:r>
          <w:rPr>
            <w:rFonts w:ascii="Arial" w:cs="Arial" w:eastAsia="Arial" w:hAnsi="Arial"/>
            <w:sz w:val="27"/>
            <w:szCs w:val="27"/>
            <w:color w:val="auto"/>
          </w:rPr>
          <w:t>analytic review of randomized, controlled</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trials //Preventive cardiology. – 2001. – Т. 4. – № . 2. – С. 73-80.</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(http://www.ropniz.ru)</w:t>
        </w:r>
      </w:hyperlink>
    </w:p>
    <w:p>
      <w:pPr>
        <w:spacing w:after="0" w:line="1" w:lineRule="exact"/>
        <w:rPr>
          <w:rFonts w:ascii="Arial" w:cs="Arial" w:eastAsia="Arial" w:hAnsi="Arial"/>
          <w:sz w:val="27"/>
          <w:szCs w:val="27"/>
          <w:color w:val="auto"/>
        </w:rPr>
      </w:pPr>
    </w:p>
    <w:p>
      <w:pPr>
        <w:jc w:val="both"/>
        <w:ind w:left="660" w:right="220" w:hanging="569"/>
        <w:spacing w:after="0" w:line="301" w:lineRule="auto"/>
        <w:tabs>
          <w:tab w:leader="none" w:pos="660" w:val="left"/>
        </w:tabs>
        <w:numPr>
          <w:ilvl w:val="0"/>
          <w:numId w:val="89"/>
        </w:numPr>
        <w:rPr>
          <w:rFonts w:ascii="Arial" w:cs="Arial" w:eastAsia="Arial" w:hAnsi="Arial"/>
          <w:sz w:val="27"/>
          <w:szCs w:val="27"/>
          <w:color w:val="auto"/>
        </w:rPr>
      </w:pPr>
      <w:hyperlink r:id="rId277">
        <w:r>
          <w:rPr>
            <w:rFonts w:ascii="Arial" w:cs="Arial" w:eastAsia="Arial" w:hAnsi="Arial"/>
            <w:sz w:val="27"/>
            <w:szCs w:val="27"/>
            <w:color w:val="auto"/>
          </w:rPr>
          <w:t>Semlitsch T. et al. Increasing physical activity for the treatment of</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hypertension: a systematic review and meta-analysis //Sports</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medicine. – 2013. – Т. 43. – № . 10. – С. 1009-1023.</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(http://www.ropniz.ru)</w:t>
        </w:r>
      </w:hyperlink>
    </w:p>
    <w:p>
      <w:pPr>
        <w:spacing w:after="0" w:line="3" w:lineRule="exact"/>
        <w:rPr>
          <w:rFonts w:ascii="Arial" w:cs="Arial" w:eastAsia="Arial" w:hAnsi="Arial"/>
          <w:sz w:val="27"/>
          <w:szCs w:val="27"/>
          <w:color w:val="auto"/>
        </w:rPr>
      </w:pPr>
    </w:p>
    <w:p>
      <w:pPr>
        <w:jc w:val="both"/>
        <w:ind w:left="660" w:right="220" w:hanging="569"/>
        <w:spacing w:after="0" w:line="312" w:lineRule="auto"/>
        <w:tabs>
          <w:tab w:leader="none" w:pos="660" w:val="left"/>
        </w:tabs>
        <w:numPr>
          <w:ilvl w:val="0"/>
          <w:numId w:val="89"/>
        </w:numPr>
        <w:rPr>
          <w:rFonts w:ascii="Arial" w:cs="Arial" w:eastAsia="Arial" w:hAnsi="Arial"/>
          <w:sz w:val="27"/>
          <w:szCs w:val="27"/>
          <w:color w:val="auto"/>
        </w:rPr>
      </w:pPr>
      <w:hyperlink r:id="rId277">
        <w:r>
          <w:rPr>
            <w:rFonts w:ascii="Arial" w:cs="Arial" w:eastAsia="Arial" w:hAnsi="Arial"/>
            <w:sz w:val="27"/>
            <w:szCs w:val="27"/>
            <w:color w:val="auto"/>
          </w:rPr>
          <w:t>Клинические рекомендации «алгоритмы специализированной</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медицинской помощи больным сахарным диабетом» под</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редакцией И.И. Дедова, М.В. Шестаковой, А.Ю. Майорова, 9</w:t>
        </w:r>
      </w:hyperlink>
      <w:r>
        <w:rPr>
          <w:rFonts w:ascii="Arial" w:cs="Arial" w:eastAsia="Arial" w:hAnsi="Arial"/>
          <w:sz w:val="27"/>
          <w:szCs w:val="27"/>
          <w:color w:val="auto"/>
        </w:rPr>
        <w:t xml:space="preserve"> </w:t>
      </w:r>
      <w:hyperlink r:id="rId277">
        <w:r>
          <w:rPr>
            <w:rFonts w:ascii="Arial" w:cs="Arial" w:eastAsia="Arial" w:hAnsi="Arial"/>
            <w:sz w:val="27"/>
            <w:szCs w:val="27"/>
            <w:color w:val="auto"/>
          </w:rPr>
          <w:t>выпуск, дополненный. Москва 2019 (http://www.ropniz.ru)</w:t>
        </w:r>
      </w:hyperlink>
    </w:p>
    <w:p>
      <w:pPr>
        <w:spacing w:after="0" w:line="216" w:lineRule="exact"/>
        <w:rPr>
          <w:rFonts w:ascii="Arial" w:cs="Arial" w:eastAsia="Arial" w:hAnsi="Arial"/>
          <w:sz w:val="27"/>
          <w:szCs w:val="27"/>
          <w:color w:val="auto"/>
        </w:rPr>
      </w:pPr>
    </w:p>
    <w:p>
      <w:pPr>
        <w:ind w:left="500"/>
        <w:spacing w:after="0"/>
        <w:rPr>
          <w:rFonts w:ascii="Arial" w:cs="Arial" w:eastAsia="Arial" w:hAnsi="Arial"/>
          <w:sz w:val="27"/>
          <w:szCs w:val="27"/>
          <w:color w:val="auto"/>
        </w:rPr>
      </w:pPr>
      <w:hyperlink r:id="rId277">
        <w:r>
          <w:rPr>
            <w:rFonts w:ascii="Arial" w:cs="Arial" w:eastAsia="Arial" w:hAnsi="Arial"/>
            <w:sz w:val="27"/>
            <w:szCs w:val="27"/>
            <w:color w:val="auto"/>
          </w:rPr>
          <w:t>(http://www.ropniz.ru)</w:t>
        </w:r>
      </w:hyperlink>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400" w:lineRule="exact"/>
        <w:rPr>
          <w:rFonts w:ascii="Arial" w:cs="Arial" w:eastAsia="Arial" w:hAnsi="Arial"/>
          <w:sz w:val="27"/>
          <w:szCs w:val="27"/>
          <w:color w:val="auto"/>
        </w:rPr>
      </w:pPr>
    </w:p>
    <w:p>
      <w:pPr>
        <w:ind w:left="360"/>
        <w:spacing w:after="0"/>
        <w:rPr>
          <w:rFonts w:ascii="Arial" w:cs="Arial" w:eastAsia="Arial" w:hAnsi="Arial"/>
          <w:sz w:val="27"/>
          <w:szCs w:val="27"/>
          <w:color w:val="auto"/>
        </w:rPr>
      </w:pPr>
      <w:hyperlink r:id="rId277">
        <w:r>
          <w:rPr>
            <w:rFonts w:ascii="Arial" w:cs="Arial" w:eastAsia="Arial" w:hAnsi="Arial"/>
            <w:sz w:val="27"/>
            <w:szCs w:val="27"/>
            <w:color w:val="auto"/>
          </w:rPr>
          <w:t>(http://www.ropniz.ru)</w:t>
        </w:r>
      </w:hyperlink>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00" w:lineRule="exact"/>
        <w:rPr>
          <w:rFonts w:ascii="Arial" w:cs="Arial" w:eastAsia="Arial" w:hAnsi="Arial"/>
          <w:sz w:val="27"/>
          <w:szCs w:val="27"/>
          <w:color w:val="auto"/>
        </w:rPr>
      </w:pPr>
    </w:p>
    <w:p>
      <w:pPr>
        <w:spacing w:after="0" w:line="210" w:lineRule="exact"/>
        <w:rPr>
          <w:rFonts w:ascii="Arial" w:cs="Arial" w:eastAsia="Arial" w:hAnsi="Arial"/>
          <w:sz w:val="27"/>
          <w:szCs w:val="27"/>
          <w:color w:val="auto"/>
        </w:rPr>
      </w:pPr>
    </w:p>
    <w:p>
      <w:pPr>
        <w:ind w:left="360"/>
        <w:spacing w:after="0"/>
        <w:rPr>
          <w:rFonts w:ascii="Arial" w:cs="Arial" w:eastAsia="Arial" w:hAnsi="Arial"/>
          <w:sz w:val="27"/>
          <w:szCs w:val="27"/>
          <w:color w:val="auto"/>
        </w:rPr>
      </w:pPr>
      <w:hyperlink r:id="rId277">
        <w:r>
          <w:rPr>
            <w:rFonts w:ascii="Arial" w:cs="Arial" w:eastAsia="Arial" w:hAnsi="Arial"/>
            <w:sz w:val="27"/>
            <w:szCs w:val="27"/>
            <w:color w:val="auto"/>
          </w:rPr>
          <w:t>(http://www.ropniz.ru)</w:t>
        </w:r>
      </w:hyperlink>
    </w:p>
    <w:p>
      <w:pPr>
        <w:sectPr>
          <w:pgSz w:w="11900" w:h="16840" w:orient="portrait"/>
          <w:cols w:equalWidth="0" w:num="1">
            <w:col w:w="9020"/>
          </w:cols>
          <w:pgMar w:left="1440" w:top="19" w:right="1440" w:bottom="1440" w:gutter="0" w:footer="0" w:header="0"/>
        </w:sectPr>
      </w:pPr>
    </w:p>
    <w:bookmarkStart w:id="116" w:name="page117"/>
    <w:bookmarkEnd w:id="116"/>
    <w:p>
      <w:pPr>
        <w:ind w:left="360" w:right="820"/>
        <w:spacing w:after="0" w:line="244" w:lineRule="auto"/>
        <w:rPr>
          <w:sz w:val="20"/>
          <w:szCs w:val="20"/>
          <w:color w:val="auto"/>
        </w:rPr>
      </w:pPr>
      <w:r>
        <w:rPr>
          <w:rFonts w:ascii="Arial" w:cs="Arial" w:eastAsia="Arial" w:hAnsi="Arial"/>
          <w:sz w:val="48"/>
          <w:szCs w:val="48"/>
          <w:b w:val="1"/>
          <w:bCs w:val="1"/>
          <w:color w:val="auto"/>
        </w:rPr>
        <w:t>Приложение А</w:t>
      </w:r>
      <w:r>
        <w:rPr>
          <w:rFonts w:ascii="Arial" w:cs="Arial" w:eastAsia="Arial" w:hAnsi="Arial"/>
          <w:sz w:val="48"/>
          <w:szCs w:val="48"/>
          <w:b w:val="1"/>
          <w:bCs w:val="1"/>
          <w:color w:val="auto"/>
        </w:rPr>
        <w:t>1.</w:t>
      </w:r>
      <w:r>
        <w:rPr>
          <w:rFonts w:ascii="Arial" w:cs="Arial" w:eastAsia="Arial" w:hAnsi="Arial"/>
          <w:sz w:val="48"/>
          <w:szCs w:val="48"/>
          <w:b w:val="1"/>
          <w:bCs w:val="1"/>
          <w:color w:val="auto"/>
        </w:rPr>
        <w:t xml:space="preserve"> Состав рабочей группы</w:t>
      </w:r>
    </w:p>
    <w:p>
      <w:pPr>
        <w:spacing w:after="0" w:line="387"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Президиум рабочей группы</w:t>
      </w:r>
      <w:r>
        <w:rPr>
          <w:rFonts w:ascii="Arial" w:cs="Arial" w:eastAsia="Arial" w:hAnsi="Arial"/>
          <w:sz w:val="27"/>
          <w:szCs w:val="27"/>
          <w:b w:val="1"/>
          <w:bCs w:val="1"/>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Кобалава Ж</w:t>
      </w:r>
      <w:r>
        <w:rPr>
          <w:rFonts w:ascii="Arial" w:cs="Arial" w:eastAsia="Arial" w:hAnsi="Arial"/>
          <w:sz w:val="27"/>
          <w:szCs w:val="27"/>
          <w:color w:val="auto"/>
        </w:rPr>
        <w:t>.</w:t>
      </w:r>
      <w:r>
        <w:rPr>
          <w:rFonts w:ascii="Arial" w:cs="Arial" w:eastAsia="Arial" w:hAnsi="Arial"/>
          <w:sz w:val="27"/>
          <w:szCs w:val="27"/>
          <w:color w:val="auto"/>
        </w:rPr>
        <w:t xml:space="preserve"> 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7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Конради А</w:t>
      </w:r>
      <w:r>
        <w:rPr>
          <w:rFonts w:ascii="Arial" w:cs="Arial" w:eastAsia="Arial" w:hAnsi="Arial"/>
          <w:sz w:val="27"/>
          <w:szCs w:val="27"/>
          <w:color w:val="auto"/>
        </w:rPr>
        <w:t>.</w:t>
      </w:r>
      <w:r>
        <w:rPr>
          <w:rFonts w:ascii="Arial" w:cs="Arial" w:eastAsia="Arial" w:hAnsi="Arial"/>
          <w:sz w:val="27"/>
          <w:szCs w:val="27"/>
          <w:color w:val="auto"/>
        </w:rPr>
        <w:t xml:space="preserve"> О</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7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Недогода С</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Шляхто Е</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8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33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Другие члены рабочей группы</w:t>
      </w:r>
      <w:r>
        <w:rPr>
          <w:rFonts w:ascii="Arial" w:cs="Arial" w:eastAsia="Arial" w:hAnsi="Arial"/>
          <w:sz w:val="27"/>
          <w:szCs w:val="27"/>
          <w:b w:val="1"/>
          <w:bCs w:val="1"/>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Арутюнов Г</w:t>
      </w:r>
      <w:r>
        <w:rPr>
          <w:rFonts w:ascii="Arial" w:cs="Arial" w:eastAsia="Arial" w:hAnsi="Arial"/>
          <w:sz w:val="27"/>
          <w:szCs w:val="27"/>
          <w:color w:val="auto"/>
        </w:rPr>
        <w:t>.</w:t>
      </w:r>
      <w:r>
        <w:rPr>
          <w:rFonts w:ascii="Arial" w:cs="Arial" w:eastAsia="Arial" w:hAnsi="Arial"/>
          <w:sz w:val="27"/>
          <w:szCs w:val="27"/>
          <w:color w:val="auto"/>
        </w:rPr>
        <w:t xml:space="preserve"> П</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Баранова Е</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8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Барбараш О</w:t>
      </w:r>
      <w:r>
        <w:rPr>
          <w:rFonts w:ascii="Arial" w:cs="Arial" w:eastAsia="Arial" w:hAnsi="Arial"/>
          <w:sz w:val="27"/>
          <w:szCs w:val="27"/>
          <w:color w:val="auto"/>
        </w:rPr>
        <w:t>.</w:t>
      </w:r>
      <w:r>
        <w:rPr>
          <w:rFonts w:ascii="Arial" w:cs="Arial" w:eastAsia="Arial" w:hAnsi="Arial"/>
          <w:sz w:val="27"/>
          <w:szCs w:val="27"/>
          <w:color w:val="auto"/>
        </w:rPr>
        <w:t xml:space="preserve"> Л</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Бойцов С</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Вавилова Т</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8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Виллевальде С</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8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Галявич А</w:t>
      </w:r>
      <w:r>
        <w:rPr>
          <w:rFonts w:ascii="Arial" w:cs="Arial" w:eastAsia="Arial" w:hAnsi="Arial"/>
          <w:sz w:val="27"/>
          <w:szCs w:val="27"/>
          <w:color w:val="auto"/>
        </w:rPr>
        <w:t>.</w:t>
      </w:r>
      <w:r>
        <w:rPr>
          <w:rFonts w:ascii="Arial" w:cs="Arial" w:eastAsia="Arial" w:hAnsi="Arial"/>
          <w:sz w:val="27"/>
          <w:szCs w:val="27"/>
          <w:color w:val="auto"/>
        </w:rPr>
        <w:t xml:space="preserve"> С</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Глезер М</w:t>
      </w:r>
      <w:r>
        <w:rPr>
          <w:rFonts w:ascii="Arial" w:cs="Arial" w:eastAsia="Arial" w:hAnsi="Arial"/>
          <w:sz w:val="27"/>
          <w:szCs w:val="27"/>
          <w:color w:val="auto"/>
        </w:rPr>
        <w:t>.</w:t>
      </w:r>
      <w:r>
        <w:rPr>
          <w:rFonts w:ascii="Arial" w:cs="Arial" w:eastAsia="Arial" w:hAnsi="Arial"/>
          <w:sz w:val="27"/>
          <w:szCs w:val="27"/>
          <w:color w:val="auto"/>
        </w:rPr>
        <w:t xml:space="preserve"> Г</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Гринева Е</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9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Гринштейн Ю</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9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Драпкина О</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9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Жернакова Ю</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9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Звартау Н</w:t>
      </w:r>
      <w:r>
        <w:rPr>
          <w:rFonts w:ascii="Arial" w:cs="Arial" w:eastAsia="Arial" w:hAnsi="Arial"/>
          <w:sz w:val="27"/>
          <w:szCs w:val="27"/>
          <w:color w:val="auto"/>
        </w:rPr>
        <w:t>.</w:t>
      </w:r>
      <w:r>
        <w:rPr>
          <w:rFonts w:ascii="Arial" w:cs="Arial" w:eastAsia="Arial" w:hAnsi="Arial"/>
          <w:sz w:val="27"/>
          <w:szCs w:val="27"/>
          <w:color w:val="auto"/>
        </w:rPr>
        <w:t xml:space="preserve"> Э</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9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Кисляк О</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9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Козиолова Н</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Космачева Е</w:t>
      </w:r>
      <w:r>
        <w:rPr>
          <w:rFonts w:ascii="Arial" w:cs="Arial" w:eastAsia="Arial" w:hAnsi="Arial"/>
          <w:sz w:val="27"/>
          <w:szCs w:val="27"/>
          <w:color w:val="auto"/>
        </w:rPr>
        <w:t>.</w:t>
      </w:r>
      <w:r>
        <w:rPr>
          <w:rFonts w:ascii="Arial" w:cs="Arial" w:eastAsia="Arial" w:hAnsi="Arial"/>
          <w:sz w:val="27"/>
          <w:szCs w:val="27"/>
          <w:color w:val="auto"/>
        </w:rPr>
        <w:t xml:space="preserve"> 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9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Котовская Ю</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9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Либис Р</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9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Лопатин Ю</w:t>
      </w:r>
      <w:r>
        <w:rPr>
          <w:rFonts w:ascii="Arial" w:cs="Arial" w:eastAsia="Arial" w:hAnsi="Arial"/>
          <w:sz w:val="27"/>
          <w:szCs w:val="27"/>
          <w:color w:val="auto"/>
        </w:rPr>
        <w:t>.</w:t>
      </w:r>
      <w:r>
        <w:rPr>
          <w:rFonts w:ascii="Arial" w:cs="Arial" w:eastAsia="Arial" w:hAnsi="Arial"/>
          <w:sz w:val="27"/>
          <w:szCs w:val="27"/>
          <w:color w:val="auto"/>
        </w:rPr>
        <w:t xml:space="preserve"> М</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Небиридзе Д</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0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Недошивин А</w:t>
      </w:r>
      <w:r>
        <w:rPr>
          <w:rFonts w:ascii="Arial" w:cs="Arial" w:eastAsia="Arial" w:hAnsi="Arial"/>
          <w:sz w:val="27"/>
          <w:szCs w:val="27"/>
          <w:color w:val="auto"/>
        </w:rPr>
        <w:t>.</w:t>
      </w:r>
      <w:r>
        <w:rPr>
          <w:rFonts w:ascii="Arial" w:cs="Arial" w:eastAsia="Arial" w:hAnsi="Arial"/>
          <w:sz w:val="27"/>
          <w:szCs w:val="27"/>
          <w:color w:val="auto"/>
        </w:rPr>
        <w:t xml:space="preserve"> О</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Остроумова О</w:t>
      </w:r>
      <w:r>
        <w:rPr>
          <w:rFonts w:ascii="Arial" w:cs="Arial" w:eastAsia="Arial" w:hAnsi="Arial"/>
          <w:sz w:val="27"/>
          <w:szCs w:val="27"/>
          <w:color w:val="auto"/>
        </w:rPr>
        <w:t>.</w:t>
      </w:r>
      <w:r>
        <w:rPr>
          <w:rFonts w:ascii="Arial" w:cs="Arial" w:eastAsia="Arial" w:hAnsi="Arial"/>
          <w:sz w:val="27"/>
          <w:szCs w:val="27"/>
          <w:color w:val="auto"/>
        </w:rPr>
        <w:t xml:space="preserve"> Д</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Ощепкова Е</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Ратова Л</w:t>
      </w:r>
      <w:r>
        <w:rPr>
          <w:rFonts w:ascii="Arial" w:cs="Arial" w:eastAsia="Arial" w:hAnsi="Arial"/>
          <w:sz w:val="27"/>
          <w:szCs w:val="27"/>
          <w:color w:val="auto"/>
        </w:rPr>
        <w:t>.</w:t>
      </w:r>
      <w:r>
        <w:rPr>
          <w:rFonts w:ascii="Arial" w:cs="Arial" w:eastAsia="Arial" w:hAnsi="Arial"/>
          <w:sz w:val="27"/>
          <w:szCs w:val="27"/>
          <w:color w:val="auto"/>
        </w:rPr>
        <w:t xml:space="preserve"> Г</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Скибицкий В</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Ткачева О</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Чазова И</w:t>
      </w:r>
      <w:r>
        <w:rPr>
          <w:rFonts w:ascii="Arial" w:cs="Arial" w:eastAsia="Arial" w:hAnsi="Arial"/>
          <w:sz w:val="27"/>
          <w:szCs w:val="27"/>
          <w:color w:val="auto"/>
        </w:rPr>
        <w:t>.</w:t>
      </w:r>
      <w:r>
        <w:rPr>
          <w:rFonts w:ascii="Arial" w:cs="Arial" w:eastAsia="Arial" w:hAnsi="Arial"/>
          <w:sz w:val="27"/>
          <w:szCs w:val="27"/>
          <w:color w:val="auto"/>
        </w:rPr>
        <w:t xml:space="preserve"> 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Чесникова А</w:t>
      </w:r>
      <w:r>
        <w:rPr>
          <w:rFonts w:ascii="Arial" w:cs="Arial" w:eastAsia="Arial" w:hAnsi="Arial"/>
          <w:sz w:val="27"/>
          <w:szCs w:val="27"/>
          <w:color w:val="auto"/>
        </w:rPr>
        <w:t>.</w:t>
      </w:r>
      <w:r>
        <w:rPr>
          <w:rFonts w:ascii="Arial" w:cs="Arial" w:eastAsia="Arial" w:hAnsi="Arial"/>
          <w:sz w:val="27"/>
          <w:szCs w:val="27"/>
          <w:color w:val="auto"/>
        </w:rPr>
        <w:t xml:space="preserve"> 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0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Чумакова Г</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1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671" w:right="1440" w:bottom="0" w:gutter="0" w:footer="0" w:header="0"/>
        </w:sectPr>
      </w:pPr>
    </w:p>
    <w:bookmarkStart w:id="117" w:name="page118"/>
    <w:bookmarkEnd w:id="117"/>
    <w:p>
      <w:pPr>
        <w:ind w:left="680"/>
        <w:spacing w:after="0"/>
        <w:rPr>
          <w:sz w:val="20"/>
          <w:szCs w:val="20"/>
          <w:color w:val="auto"/>
        </w:rPr>
      </w:pPr>
      <w:r>
        <w:rPr>
          <w:rFonts w:ascii="Arial" w:cs="Arial" w:eastAsia="Arial" w:hAnsi="Arial"/>
          <w:sz w:val="27"/>
          <w:szCs w:val="27"/>
          <w:color w:val="auto"/>
        </w:rPr>
        <w:t>Шальнова С</w:t>
      </w:r>
      <w:r>
        <w:rPr>
          <w:rFonts w:ascii="Arial" w:cs="Arial" w:eastAsia="Arial" w:hAnsi="Arial"/>
          <w:sz w:val="27"/>
          <w:szCs w:val="27"/>
          <w:color w:val="auto"/>
        </w:rPr>
        <w:t>.</w:t>
      </w:r>
      <w:r>
        <w:rPr>
          <w:rFonts w:ascii="Arial" w:cs="Arial" w:eastAsia="Arial" w:hAnsi="Arial"/>
          <w:sz w:val="27"/>
          <w:szCs w:val="27"/>
          <w:color w:val="auto"/>
        </w:rPr>
        <w:t xml:space="preserve"> 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Шестакова М</w:t>
      </w:r>
      <w:r>
        <w:rPr>
          <w:rFonts w:ascii="Arial" w:cs="Arial" w:eastAsia="Arial" w:hAnsi="Arial"/>
          <w:sz w:val="27"/>
          <w:szCs w:val="27"/>
          <w:color w:val="auto"/>
        </w:rPr>
        <w:t>.</w:t>
      </w:r>
      <w:r>
        <w:rPr>
          <w:rFonts w:ascii="Arial" w:cs="Arial" w:eastAsia="Arial" w:hAnsi="Arial"/>
          <w:sz w:val="27"/>
          <w:szCs w:val="27"/>
          <w:color w:val="auto"/>
        </w:rPr>
        <w:t xml:space="preserve"> 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1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Якушин С</w:t>
      </w:r>
      <w:r>
        <w:rPr>
          <w:rFonts w:ascii="Arial" w:cs="Arial" w:eastAsia="Arial" w:hAnsi="Arial"/>
          <w:sz w:val="27"/>
          <w:szCs w:val="27"/>
          <w:color w:val="auto"/>
        </w:rPr>
        <w:t>.</w:t>
      </w:r>
      <w:r>
        <w:rPr>
          <w:rFonts w:ascii="Arial" w:cs="Arial" w:eastAsia="Arial" w:hAnsi="Arial"/>
          <w:sz w:val="27"/>
          <w:szCs w:val="27"/>
          <w:color w:val="auto"/>
        </w:rPr>
        <w:t xml:space="preserve"> С</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31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Янишевский С</w:t>
      </w:r>
      <w:r>
        <w:rPr>
          <w:rFonts w:ascii="Arial" w:cs="Arial" w:eastAsia="Arial" w:hAnsi="Arial"/>
          <w:sz w:val="27"/>
          <w:szCs w:val="27"/>
          <w:color w:val="auto"/>
        </w:rPr>
        <w:t>.</w:t>
      </w:r>
      <w:r>
        <w:rPr>
          <w:rFonts w:ascii="Arial" w:cs="Arial" w:eastAsia="Arial" w:hAnsi="Arial"/>
          <w:sz w:val="27"/>
          <w:szCs w:val="27"/>
          <w:color w:val="auto"/>
        </w:rPr>
        <w:t xml:space="preserve"> 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31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9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Члены Рабочей группы подтвердили отсутствие финансовой поддержки</w:t>
      </w:r>
      <w:r>
        <w:rPr>
          <w:rFonts w:ascii="Arial" w:cs="Arial" w:eastAsia="Arial" w:hAnsi="Arial"/>
          <w:sz w:val="27"/>
          <w:szCs w:val="27"/>
          <w:color w:val="auto"/>
        </w:rPr>
        <w:t>/</w:t>
      </w:r>
      <w:r>
        <w:rPr>
          <w:rFonts w:ascii="Arial" w:cs="Arial" w:eastAsia="Arial" w:hAnsi="Arial"/>
          <w:sz w:val="27"/>
          <w:szCs w:val="27"/>
          <w:color w:val="auto"/>
        </w:rPr>
        <w:t>конфликта интересов</w:t>
      </w:r>
      <w:r>
        <w:rPr>
          <w:rFonts w:ascii="Arial" w:cs="Arial" w:eastAsia="Arial" w:hAnsi="Arial"/>
          <w:sz w:val="27"/>
          <w:szCs w:val="27"/>
          <w:color w:val="auto"/>
        </w:rPr>
        <w:t>.</w:t>
      </w:r>
      <w:r>
        <w:rPr>
          <w:rFonts w:ascii="Arial" w:cs="Arial" w:eastAsia="Arial" w:hAnsi="Arial"/>
          <w:sz w:val="27"/>
          <w:szCs w:val="27"/>
          <w:color w:val="auto"/>
        </w:rPr>
        <w:t xml:space="preserve"> В случае сообщения о наличии конфликта интересов член</w:t>
      </w:r>
      <w:r>
        <w:rPr>
          <w:rFonts w:ascii="Arial" w:cs="Arial" w:eastAsia="Arial" w:hAnsi="Arial"/>
          <w:sz w:val="27"/>
          <w:szCs w:val="27"/>
          <w:color w:val="auto"/>
        </w:rPr>
        <w:t>(</w:t>
      </w:r>
      <w:r>
        <w:rPr>
          <w:rFonts w:ascii="Arial" w:cs="Arial" w:eastAsia="Arial" w:hAnsi="Arial"/>
          <w:sz w:val="27"/>
          <w:szCs w:val="27"/>
          <w:color w:val="auto"/>
        </w:rPr>
        <w:t>ы</w:t>
      </w:r>
      <w:r>
        <w:rPr>
          <w:rFonts w:ascii="Arial" w:cs="Arial" w:eastAsia="Arial" w:hAnsi="Arial"/>
          <w:sz w:val="27"/>
          <w:szCs w:val="27"/>
          <w:color w:val="auto"/>
        </w:rPr>
        <w:t>)</w:t>
      </w:r>
      <w:r>
        <w:rPr>
          <w:rFonts w:ascii="Arial" w:cs="Arial" w:eastAsia="Arial" w:hAnsi="Arial"/>
          <w:sz w:val="27"/>
          <w:szCs w:val="27"/>
          <w:color w:val="auto"/>
        </w:rPr>
        <w:t xml:space="preserve"> рабочей группы был</w:t>
      </w:r>
      <w:r>
        <w:rPr>
          <w:rFonts w:ascii="Arial" w:cs="Arial" w:eastAsia="Arial" w:hAnsi="Arial"/>
          <w:sz w:val="27"/>
          <w:szCs w:val="27"/>
          <w:color w:val="auto"/>
        </w:rPr>
        <w:t>(</w:t>
      </w:r>
      <w:r>
        <w:rPr>
          <w:rFonts w:ascii="Arial" w:cs="Arial" w:eastAsia="Arial" w:hAnsi="Arial"/>
          <w:sz w:val="27"/>
          <w:szCs w:val="27"/>
          <w:color w:val="auto"/>
        </w:rPr>
        <w:t>и</w:t>
      </w:r>
      <w:r>
        <w:rPr>
          <w:rFonts w:ascii="Arial" w:cs="Arial" w:eastAsia="Arial" w:hAnsi="Arial"/>
          <w:sz w:val="27"/>
          <w:szCs w:val="27"/>
          <w:color w:val="auto"/>
        </w:rPr>
        <w:t>)</w:t>
      </w:r>
      <w:r>
        <w:rPr>
          <w:rFonts w:ascii="Arial" w:cs="Arial" w:eastAsia="Arial" w:hAnsi="Arial"/>
          <w:sz w:val="27"/>
          <w:szCs w:val="27"/>
          <w:color w:val="auto"/>
        </w:rPr>
        <w:t xml:space="preserve"> исключен</w:t>
      </w:r>
      <w:r>
        <w:rPr>
          <w:rFonts w:ascii="Arial" w:cs="Arial" w:eastAsia="Arial" w:hAnsi="Arial"/>
          <w:sz w:val="27"/>
          <w:szCs w:val="27"/>
          <w:color w:val="auto"/>
        </w:rPr>
        <w:t>(</w:t>
      </w:r>
      <w:r>
        <w:rPr>
          <w:rFonts w:ascii="Arial" w:cs="Arial" w:eastAsia="Arial" w:hAnsi="Arial"/>
          <w:sz w:val="27"/>
          <w:szCs w:val="27"/>
          <w:color w:val="auto"/>
        </w:rPr>
        <w:t>ы</w:t>
      </w:r>
      <w:r>
        <w:rPr>
          <w:rFonts w:ascii="Arial" w:cs="Arial" w:eastAsia="Arial" w:hAnsi="Arial"/>
          <w:sz w:val="27"/>
          <w:szCs w:val="27"/>
          <w:color w:val="auto"/>
        </w:rPr>
        <w:t>)</w:t>
      </w:r>
      <w:r>
        <w:rPr>
          <w:rFonts w:ascii="Arial" w:cs="Arial" w:eastAsia="Arial" w:hAnsi="Arial"/>
          <w:sz w:val="27"/>
          <w:szCs w:val="27"/>
          <w:color w:val="auto"/>
        </w:rPr>
        <w:t xml:space="preserve"> из обсуждения разделов</w:t>
      </w:r>
      <w:r>
        <w:rPr>
          <w:rFonts w:ascii="Arial" w:cs="Arial" w:eastAsia="Arial" w:hAnsi="Arial"/>
          <w:sz w:val="27"/>
          <w:szCs w:val="27"/>
          <w:color w:val="auto"/>
        </w:rPr>
        <w:t>,</w:t>
      </w:r>
      <w:r>
        <w:rPr>
          <w:rFonts w:ascii="Arial" w:cs="Arial" w:eastAsia="Arial" w:hAnsi="Arial"/>
          <w:sz w:val="27"/>
          <w:szCs w:val="27"/>
          <w:color w:val="auto"/>
        </w:rPr>
        <w:t xml:space="preserve"> связанных с областью конфликта интересов</w:t>
      </w:r>
      <w:r>
        <w:rPr>
          <w:rFonts w:ascii="Arial" w:cs="Arial" w:eastAsia="Arial" w:hAnsi="Arial"/>
          <w:sz w:val="27"/>
          <w:szCs w:val="27"/>
          <w:color w:val="auto"/>
        </w:rPr>
        <w:t>.</w:t>
      </w:r>
    </w:p>
    <w:p>
      <w:pPr>
        <w:sectPr>
          <w:pgSz w:w="11900" w:h="16840" w:orient="portrait"/>
          <w:cols w:equalWidth="0" w:num="1">
            <w:col w:w="9020"/>
          </w:cols>
          <w:pgMar w:left="1440" w:top="19" w:right="1440" w:bottom="1440" w:gutter="0" w:footer="0" w:header="0"/>
        </w:sectPr>
      </w:pPr>
    </w:p>
    <w:bookmarkStart w:id="118" w:name="page119"/>
    <w:bookmarkEnd w:id="118"/>
    <w:p>
      <w:pPr>
        <w:ind w:left="360" w:right="1360"/>
        <w:spacing w:after="0" w:line="231" w:lineRule="auto"/>
        <w:rPr>
          <w:sz w:val="20"/>
          <w:szCs w:val="20"/>
          <w:color w:val="auto"/>
        </w:rPr>
      </w:pPr>
      <w:r>
        <w:rPr>
          <w:rFonts w:ascii="Arial" w:cs="Arial" w:eastAsia="Arial" w:hAnsi="Arial"/>
          <w:sz w:val="48"/>
          <w:szCs w:val="48"/>
          <w:b w:val="1"/>
          <w:bCs w:val="1"/>
          <w:color w:val="auto"/>
        </w:rPr>
        <w:t>Приложение А</w:t>
      </w:r>
      <w:r>
        <w:rPr>
          <w:rFonts w:ascii="Arial" w:cs="Arial" w:eastAsia="Arial" w:hAnsi="Arial"/>
          <w:sz w:val="48"/>
          <w:szCs w:val="48"/>
          <w:b w:val="1"/>
          <w:bCs w:val="1"/>
          <w:color w:val="auto"/>
        </w:rPr>
        <w:t>2.</w:t>
      </w:r>
      <w:r>
        <w:rPr>
          <w:rFonts w:ascii="Arial" w:cs="Arial" w:eastAsia="Arial" w:hAnsi="Arial"/>
          <w:sz w:val="48"/>
          <w:szCs w:val="48"/>
          <w:b w:val="1"/>
          <w:bCs w:val="1"/>
          <w:color w:val="auto"/>
        </w:rPr>
        <w:t xml:space="preserve"> Методология разработки клинических рекомендаций</w:t>
      </w:r>
    </w:p>
    <w:p>
      <w:pPr>
        <w:spacing w:after="0" w:line="395"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 xml:space="preserve">Представленные Рекомендации разработаны на основе Рекомендаций РМОАГ </w:t>
      </w:r>
      <w:r>
        <w:rPr>
          <w:rFonts w:ascii="Arial" w:cs="Arial" w:eastAsia="Arial" w:hAnsi="Arial"/>
          <w:sz w:val="27"/>
          <w:szCs w:val="27"/>
          <w:color w:val="auto"/>
        </w:rPr>
        <w:t>2019</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 xml:space="preserve"> по диагностике и лечению артериальной гипертензии и Рекомендаций по лечению артериальной гипертензии Европейского общества кардиологов </w:t>
      </w:r>
      <w:r>
        <w:rPr>
          <w:rFonts w:ascii="Arial" w:cs="Arial" w:eastAsia="Arial" w:hAnsi="Arial"/>
          <w:sz w:val="27"/>
          <w:szCs w:val="27"/>
          <w:color w:val="auto"/>
        </w:rPr>
        <w:t xml:space="preserve">2018 </w:t>
      </w:r>
      <w:r>
        <w:rPr>
          <w:rFonts w:ascii="Arial" w:cs="Arial" w:eastAsia="Arial" w:hAnsi="Arial"/>
          <w:sz w:val="27"/>
          <w:szCs w:val="27"/>
          <w:color w:val="auto"/>
        </w:rPr>
        <w:t>года</w:t>
      </w:r>
      <w:r>
        <w:rPr>
          <w:rFonts w:ascii="Arial" w:cs="Arial" w:eastAsia="Arial" w:hAnsi="Arial"/>
          <w:sz w:val="27"/>
          <w:szCs w:val="27"/>
          <w:color w:val="auto"/>
        </w:rPr>
        <w:t xml:space="preserve"> [28, 29].</w:t>
      </w:r>
    </w:p>
    <w:p>
      <w:pPr>
        <w:spacing w:after="0" w:line="222" w:lineRule="exact"/>
        <w:rPr>
          <w:sz w:val="20"/>
          <w:szCs w:val="20"/>
          <w:color w:val="auto"/>
        </w:rPr>
      </w:pPr>
    </w:p>
    <w:p>
      <w:pPr>
        <w:ind w:left="780" w:hanging="419"/>
        <w:spacing w:after="0"/>
        <w:tabs>
          <w:tab w:leader="none" w:pos="780" w:val="left"/>
        </w:tabs>
        <w:numPr>
          <w:ilvl w:val="0"/>
          <w:numId w:val="90"/>
        </w:numPr>
        <w:rPr>
          <w:rFonts w:ascii="Arial" w:cs="Arial" w:eastAsia="Arial" w:hAnsi="Arial"/>
          <w:sz w:val="27"/>
          <w:szCs w:val="27"/>
          <w:color w:val="auto"/>
        </w:rPr>
      </w:pPr>
      <w:r>
        <w:rPr>
          <w:rFonts w:ascii="Arial" w:cs="Arial" w:eastAsia="Arial" w:hAnsi="Arial"/>
          <w:sz w:val="27"/>
          <w:szCs w:val="27"/>
          <w:color w:val="auto"/>
        </w:rPr>
        <w:t>Рекомендациях</w:t>
      </w:r>
      <w:r>
        <w:rPr>
          <w:rFonts w:ascii="Arial" w:cs="Arial" w:eastAsia="Arial" w:hAnsi="Arial"/>
          <w:sz w:val="27"/>
          <w:szCs w:val="27"/>
          <w:color w:val="auto"/>
        </w:rPr>
        <w:t>,</w:t>
      </w:r>
      <w:r>
        <w:rPr>
          <w:rFonts w:ascii="Arial" w:cs="Arial" w:eastAsia="Arial" w:hAnsi="Arial"/>
          <w:sz w:val="27"/>
          <w:szCs w:val="27"/>
          <w:color w:val="auto"/>
        </w:rPr>
        <w:t xml:space="preserve">  основанных  на  результатах  крупнейших</w:t>
      </w:r>
    </w:p>
    <w:p>
      <w:pPr>
        <w:spacing w:after="0" w:line="79" w:lineRule="exact"/>
        <w:rPr>
          <w:rFonts w:ascii="Arial" w:cs="Arial" w:eastAsia="Arial" w:hAnsi="Arial"/>
          <w:sz w:val="27"/>
          <w:szCs w:val="27"/>
          <w:color w:val="auto"/>
        </w:rPr>
      </w:pPr>
    </w:p>
    <w:p>
      <w:pPr>
        <w:jc w:val="both"/>
        <w:ind w:left="360" w:right="220"/>
        <w:spacing w:after="0" w:line="305" w:lineRule="auto"/>
        <w:rPr>
          <w:rFonts w:ascii="Arial" w:cs="Arial" w:eastAsia="Arial" w:hAnsi="Arial"/>
          <w:sz w:val="27"/>
          <w:szCs w:val="27"/>
          <w:color w:val="auto"/>
        </w:rPr>
      </w:pPr>
      <w:r>
        <w:rPr>
          <w:rFonts w:ascii="Arial" w:cs="Arial" w:eastAsia="Arial" w:hAnsi="Arial"/>
          <w:sz w:val="27"/>
          <w:szCs w:val="27"/>
          <w:color w:val="auto"/>
        </w:rPr>
        <w:t>эпидемиологических</w:t>
      </w:r>
      <w:r>
        <w:rPr>
          <w:rFonts w:ascii="Arial" w:cs="Arial" w:eastAsia="Arial" w:hAnsi="Arial"/>
          <w:sz w:val="27"/>
          <w:szCs w:val="27"/>
          <w:color w:val="auto"/>
        </w:rPr>
        <w:t>,</w:t>
      </w:r>
      <w:r>
        <w:rPr>
          <w:rFonts w:ascii="Arial" w:cs="Arial" w:eastAsia="Arial" w:hAnsi="Arial"/>
          <w:sz w:val="27"/>
          <w:szCs w:val="27"/>
          <w:color w:val="auto"/>
        </w:rPr>
        <w:t xml:space="preserve"> рандомизированных клинических исследований и метаанализов</w:t>
      </w:r>
      <w:r>
        <w:rPr>
          <w:rFonts w:ascii="Arial" w:cs="Arial" w:eastAsia="Arial" w:hAnsi="Arial"/>
          <w:sz w:val="27"/>
          <w:szCs w:val="27"/>
          <w:color w:val="auto"/>
        </w:rPr>
        <w:t>,</w:t>
      </w:r>
      <w:r>
        <w:rPr>
          <w:rFonts w:ascii="Arial" w:cs="Arial" w:eastAsia="Arial" w:hAnsi="Arial"/>
          <w:sz w:val="27"/>
          <w:szCs w:val="27"/>
          <w:color w:val="auto"/>
        </w:rPr>
        <w:t xml:space="preserve"> обобщены и изложены основные принципы лечения пациентов с АГ в целом и в особых клинических ситуациях</w:t>
      </w:r>
      <w:r>
        <w:rPr>
          <w:rFonts w:ascii="Arial" w:cs="Arial" w:eastAsia="Arial" w:hAnsi="Arial"/>
          <w:sz w:val="27"/>
          <w:szCs w:val="27"/>
          <w:color w:val="auto"/>
        </w:rPr>
        <w:t>.</w:t>
      </w:r>
      <w:r>
        <w:rPr>
          <w:rFonts w:ascii="Arial" w:cs="Arial" w:eastAsia="Arial" w:hAnsi="Arial"/>
          <w:sz w:val="27"/>
          <w:szCs w:val="27"/>
          <w:color w:val="auto"/>
        </w:rPr>
        <w:t xml:space="preserve"> Основная цель Рекомендаций </w:t>
      </w:r>
      <w:r>
        <w:rPr>
          <w:rFonts w:ascii="Arial" w:cs="Arial" w:eastAsia="Arial" w:hAnsi="Arial"/>
          <w:sz w:val="27"/>
          <w:szCs w:val="27"/>
          <w:color w:val="auto"/>
        </w:rPr>
        <w:t>—</w:t>
      </w:r>
      <w:r>
        <w:rPr>
          <w:rFonts w:ascii="Arial" w:cs="Arial" w:eastAsia="Arial" w:hAnsi="Arial"/>
          <w:sz w:val="27"/>
          <w:szCs w:val="27"/>
          <w:color w:val="auto"/>
        </w:rPr>
        <w:t xml:space="preserve"> облегчить принятие решения при выборе оптимальной стратегии лечения конкретного пациента с АГ</w:t>
      </w:r>
      <w:r>
        <w:rPr>
          <w:rFonts w:ascii="Arial" w:cs="Arial" w:eastAsia="Arial" w:hAnsi="Arial"/>
          <w:sz w:val="27"/>
          <w:szCs w:val="27"/>
          <w:color w:val="auto"/>
        </w:rPr>
        <w:t>.</w:t>
      </w:r>
      <w:r>
        <w:rPr>
          <w:rFonts w:ascii="Arial" w:cs="Arial" w:eastAsia="Arial" w:hAnsi="Arial"/>
          <w:sz w:val="27"/>
          <w:szCs w:val="27"/>
          <w:color w:val="auto"/>
        </w:rPr>
        <w:t xml:space="preserve"> Тем не менее окончательное решение о лечении должно быть принято сучетом индивидуальныхособенностей механизмов развития и течения заболевания </w:t>
      </w:r>
      <w:r>
        <w:rPr>
          <w:rFonts w:ascii="Arial" w:cs="Arial" w:eastAsia="Arial" w:hAnsi="Arial"/>
          <w:sz w:val="27"/>
          <w:szCs w:val="27"/>
          <w:color w:val="auto"/>
        </w:rPr>
        <w:t>(</w:t>
      </w:r>
      <w:r>
        <w:rPr>
          <w:rFonts w:ascii="Arial" w:cs="Arial" w:eastAsia="Arial" w:hAnsi="Arial"/>
          <w:sz w:val="27"/>
          <w:szCs w:val="27"/>
          <w:color w:val="auto"/>
        </w:rPr>
        <w:t>например</w:t>
      </w:r>
      <w:r>
        <w:rPr>
          <w:rFonts w:ascii="Arial" w:cs="Arial" w:eastAsia="Arial" w:hAnsi="Arial"/>
          <w:sz w:val="27"/>
          <w:szCs w:val="27"/>
          <w:color w:val="auto"/>
        </w:rPr>
        <w:t>,</w:t>
      </w:r>
      <w:r>
        <w:rPr>
          <w:rFonts w:ascii="Arial" w:cs="Arial" w:eastAsia="Arial" w:hAnsi="Arial"/>
          <w:sz w:val="27"/>
          <w:szCs w:val="27"/>
          <w:color w:val="auto"/>
        </w:rPr>
        <w:t xml:space="preserve"> солечувствительность</w:t>
      </w:r>
      <w:r>
        <w:rPr>
          <w:rFonts w:ascii="Arial" w:cs="Arial" w:eastAsia="Arial" w:hAnsi="Arial"/>
          <w:sz w:val="27"/>
          <w:szCs w:val="27"/>
          <w:color w:val="auto"/>
        </w:rPr>
        <w:t>,</w:t>
      </w:r>
      <w:r>
        <w:rPr>
          <w:rFonts w:ascii="Arial" w:cs="Arial" w:eastAsia="Arial" w:hAnsi="Arial"/>
          <w:sz w:val="27"/>
          <w:szCs w:val="27"/>
          <w:color w:val="auto"/>
        </w:rPr>
        <w:t xml:space="preserve"> вторичный гиперальдостеронизм</w:t>
      </w:r>
      <w:r>
        <w:rPr>
          <w:rFonts w:ascii="Arial" w:cs="Arial" w:eastAsia="Arial" w:hAnsi="Arial"/>
          <w:sz w:val="27"/>
          <w:szCs w:val="27"/>
          <w:color w:val="auto"/>
        </w:rPr>
        <w:t>,</w:t>
      </w:r>
      <w:r>
        <w:rPr>
          <w:rFonts w:ascii="Arial" w:cs="Arial" w:eastAsia="Arial" w:hAnsi="Arial"/>
          <w:sz w:val="27"/>
          <w:szCs w:val="27"/>
          <w:color w:val="auto"/>
        </w:rPr>
        <w:t xml:space="preserve"> индивидуальная чувствительность к АГП</w:t>
      </w:r>
      <w:r>
        <w:rPr>
          <w:rFonts w:ascii="Arial" w:cs="Arial" w:eastAsia="Arial" w:hAnsi="Arial"/>
          <w:sz w:val="27"/>
          <w:szCs w:val="27"/>
          <w:color w:val="auto"/>
        </w:rPr>
        <w:t>).</w:t>
      </w:r>
    </w:p>
    <w:p>
      <w:pPr>
        <w:spacing w:after="0" w:line="22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Целевая аудитория данных клинических рекомендаций</w:t>
      </w:r>
      <w:r>
        <w:rPr>
          <w:rFonts w:ascii="Arial" w:cs="Arial" w:eastAsia="Arial" w:hAnsi="Arial"/>
          <w:sz w:val="27"/>
          <w:szCs w:val="27"/>
          <w:b w:val="1"/>
          <w:bCs w:val="1"/>
          <w:color w:val="auto"/>
        </w:rPr>
        <w:t>:</w:t>
      </w:r>
    </w:p>
    <w:p>
      <w:pPr>
        <w:spacing w:after="0" w:line="350" w:lineRule="exact"/>
        <w:rPr>
          <w:sz w:val="20"/>
          <w:szCs w:val="20"/>
          <w:color w:val="auto"/>
        </w:rPr>
      </w:pPr>
    </w:p>
    <w:p>
      <w:pPr>
        <w:ind w:left="640" w:hanging="279"/>
        <w:spacing w:after="0"/>
        <w:tabs>
          <w:tab w:leader="none" w:pos="640" w:val="left"/>
        </w:tabs>
        <w:numPr>
          <w:ilvl w:val="0"/>
          <w:numId w:val="91"/>
        </w:numPr>
        <w:rPr>
          <w:rFonts w:ascii="Arial" w:cs="Arial" w:eastAsia="Arial" w:hAnsi="Arial"/>
          <w:sz w:val="27"/>
          <w:szCs w:val="27"/>
          <w:color w:val="auto"/>
        </w:rPr>
      </w:pPr>
      <w:r>
        <w:rPr>
          <w:rFonts w:ascii="Arial" w:cs="Arial" w:eastAsia="Arial" w:hAnsi="Arial"/>
          <w:sz w:val="27"/>
          <w:szCs w:val="27"/>
          <w:color w:val="auto"/>
        </w:rPr>
        <w:t>Врач</w:t>
      </w:r>
      <w:r>
        <w:rPr>
          <w:rFonts w:ascii="Arial" w:cs="Arial" w:eastAsia="Arial" w:hAnsi="Arial"/>
          <w:sz w:val="27"/>
          <w:szCs w:val="27"/>
          <w:color w:val="auto"/>
        </w:rPr>
        <w:t>-</w:t>
      </w:r>
      <w:r>
        <w:rPr>
          <w:rFonts w:ascii="Arial" w:cs="Arial" w:eastAsia="Arial" w:hAnsi="Arial"/>
          <w:sz w:val="27"/>
          <w:szCs w:val="27"/>
          <w:color w:val="auto"/>
        </w:rPr>
        <w:t>кардиолог</w:t>
      </w:r>
      <w:r>
        <w:rPr>
          <w:rFonts w:ascii="Arial" w:cs="Arial" w:eastAsia="Arial" w:hAnsi="Arial"/>
          <w:sz w:val="27"/>
          <w:szCs w:val="27"/>
          <w:color w:val="auto"/>
        </w:rPr>
        <w:t>.</w:t>
      </w:r>
    </w:p>
    <w:p>
      <w:pPr>
        <w:spacing w:after="0" w:line="349" w:lineRule="exact"/>
        <w:rPr>
          <w:rFonts w:ascii="Arial" w:cs="Arial" w:eastAsia="Arial" w:hAnsi="Arial"/>
          <w:sz w:val="27"/>
          <w:szCs w:val="27"/>
          <w:color w:val="auto"/>
        </w:rPr>
      </w:pPr>
    </w:p>
    <w:p>
      <w:pPr>
        <w:ind w:left="640" w:hanging="279"/>
        <w:spacing w:after="0"/>
        <w:tabs>
          <w:tab w:leader="none" w:pos="640" w:val="left"/>
        </w:tabs>
        <w:numPr>
          <w:ilvl w:val="0"/>
          <w:numId w:val="91"/>
        </w:numPr>
        <w:rPr>
          <w:rFonts w:ascii="Arial" w:cs="Arial" w:eastAsia="Arial" w:hAnsi="Arial"/>
          <w:sz w:val="27"/>
          <w:szCs w:val="27"/>
          <w:color w:val="auto"/>
        </w:rPr>
      </w:pPr>
      <w:r>
        <w:rPr>
          <w:rFonts w:ascii="Arial" w:cs="Arial" w:eastAsia="Arial" w:hAnsi="Arial"/>
          <w:sz w:val="27"/>
          <w:szCs w:val="27"/>
          <w:color w:val="auto"/>
        </w:rPr>
        <w:t>Врач</w:t>
      </w:r>
      <w:r>
        <w:rPr>
          <w:rFonts w:ascii="Arial" w:cs="Arial" w:eastAsia="Arial" w:hAnsi="Arial"/>
          <w:sz w:val="27"/>
          <w:szCs w:val="27"/>
          <w:color w:val="auto"/>
        </w:rPr>
        <w:t>-</w:t>
      </w:r>
      <w:r>
        <w:rPr>
          <w:rFonts w:ascii="Arial" w:cs="Arial" w:eastAsia="Arial" w:hAnsi="Arial"/>
          <w:sz w:val="27"/>
          <w:szCs w:val="27"/>
          <w:color w:val="auto"/>
        </w:rPr>
        <w:t>терапевт</w:t>
      </w:r>
      <w:r>
        <w:rPr>
          <w:rFonts w:ascii="Arial" w:cs="Arial" w:eastAsia="Arial" w:hAnsi="Arial"/>
          <w:sz w:val="27"/>
          <w:szCs w:val="27"/>
          <w:color w:val="auto"/>
        </w:rPr>
        <w:t>.</w:t>
      </w:r>
    </w:p>
    <w:p>
      <w:pPr>
        <w:spacing w:after="0" w:line="349" w:lineRule="exact"/>
        <w:rPr>
          <w:rFonts w:ascii="Arial" w:cs="Arial" w:eastAsia="Arial" w:hAnsi="Arial"/>
          <w:sz w:val="27"/>
          <w:szCs w:val="27"/>
          <w:color w:val="auto"/>
        </w:rPr>
      </w:pPr>
    </w:p>
    <w:p>
      <w:pPr>
        <w:ind w:left="640" w:hanging="279"/>
        <w:spacing w:after="0"/>
        <w:tabs>
          <w:tab w:leader="none" w:pos="640" w:val="left"/>
        </w:tabs>
        <w:numPr>
          <w:ilvl w:val="0"/>
          <w:numId w:val="91"/>
        </w:numPr>
        <w:rPr>
          <w:rFonts w:ascii="Arial" w:cs="Arial" w:eastAsia="Arial" w:hAnsi="Arial"/>
          <w:sz w:val="27"/>
          <w:szCs w:val="27"/>
          <w:color w:val="auto"/>
        </w:rPr>
      </w:pPr>
      <w:r>
        <w:rPr>
          <w:rFonts w:ascii="Arial" w:cs="Arial" w:eastAsia="Arial" w:hAnsi="Arial"/>
          <w:sz w:val="27"/>
          <w:szCs w:val="27"/>
          <w:color w:val="auto"/>
        </w:rPr>
        <w:t>Врач общей практики</w:t>
      </w:r>
      <w:r>
        <w:rPr>
          <w:rFonts w:ascii="Arial" w:cs="Arial" w:eastAsia="Arial" w:hAnsi="Arial"/>
          <w:sz w:val="27"/>
          <w:szCs w:val="27"/>
          <w:color w:val="auto"/>
        </w:rPr>
        <w:t>.</w:t>
      </w:r>
    </w:p>
    <w:p>
      <w:pPr>
        <w:spacing w:after="0" w:line="349" w:lineRule="exact"/>
        <w:rPr>
          <w:rFonts w:ascii="Arial" w:cs="Arial" w:eastAsia="Arial" w:hAnsi="Arial"/>
          <w:sz w:val="27"/>
          <w:szCs w:val="27"/>
          <w:color w:val="auto"/>
        </w:rPr>
      </w:pPr>
    </w:p>
    <w:p>
      <w:pPr>
        <w:ind w:left="640" w:hanging="279"/>
        <w:spacing w:after="0"/>
        <w:tabs>
          <w:tab w:leader="none" w:pos="640" w:val="left"/>
        </w:tabs>
        <w:numPr>
          <w:ilvl w:val="0"/>
          <w:numId w:val="91"/>
        </w:numPr>
        <w:rPr>
          <w:rFonts w:ascii="Arial" w:cs="Arial" w:eastAsia="Arial" w:hAnsi="Arial"/>
          <w:sz w:val="27"/>
          <w:szCs w:val="27"/>
          <w:color w:val="auto"/>
        </w:rPr>
      </w:pPr>
      <w:r>
        <w:rPr>
          <w:rFonts w:ascii="Arial" w:cs="Arial" w:eastAsia="Arial" w:hAnsi="Arial"/>
          <w:sz w:val="27"/>
          <w:szCs w:val="27"/>
          <w:color w:val="auto"/>
        </w:rPr>
        <w:t>Врач</w:t>
      </w:r>
      <w:r>
        <w:rPr>
          <w:rFonts w:ascii="Arial" w:cs="Arial" w:eastAsia="Arial" w:hAnsi="Arial"/>
          <w:sz w:val="27"/>
          <w:szCs w:val="27"/>
          <w:color w:val="auto"/>
        </w:rPr>
        <w:t>-</w:t>
      </w:r>
      <w:r>
        <w:rPr>
          <w:rFonts w:ascii="Arial" w:cs="Arial" w:eastAsia="Arial" w:hAnsi="Arial"/>
          <w:sz w:val="27"/>
          <w:szCs w:val="27"/>
          <w:color w:val="auto"/>
        </w:rPr>
        <w:t>эндокринолог</w:t>
      </w:r>
      <w:r>
        <w:rPr>
          <w:rFonts w:ascii="Arial" w:cs="Arial" w:eastAsia="Arial" w:hAnsi="Arial"/>
          <w:sz w:val="27"/>
          <w:szCs w:val="27"/>
          <w:color w:val="auto"/>
        </w:rPr>
        <w:t>.</w:t>
      </w:r>
    </w:p>
    <w:p>
      <w:pPr>
        <w:spacing w:after="0" w:line="349" w:lineRule="exact"/>
        <w:rPr>
          <w:rFonts w:ascii="Arial" w:cs="Arial" w:eastAsia="Arial" w:hAnsi="Arial"/>
          <w:sz w:val="27"/>
          <w:szCs w:val="27"/>
          <w:color w:val="auto"/>
        </w:rPr>
      </w:pPr>
    </w:p>
    <w:p>
      <w:pPr>
        <w:ind w:left="640" w:hanging="279"/>
        <w:spacing w:after="0"/>
        <w:tabs>
          <w:tab w:leader="none" w:pos="640" w:val="left"/>
        </w:tabs>
        <w:numPr>
          <w:ilvl w:val="0"/>
          <w:numId w:val="91"/>
        </w:numPr>
        <w:rPr>
          <w:rFonts w:ascii="Arial" w:cs="Arial" w:eastAsia="Arial" w:hAnsi="Arial"/>
          <w:sz w:val="27"/>
          <w:szCs w:val="27"/>
          <w:color w:val="auto"/>
        </w:rPr>
      </w:pPr>
      <w:r>
        <w:rPr>
          <w:rFonts w:ascii="Arial" w:cs="Arial" w:eastAsia="Arial" w:hAnsi="Arial"/>
          <w:sz w:val="27"/>
          <w:szCs w:val="27"/>
          <w:color w:val="auto"/>
        </w:rPr>
        <w:t>Врач</w:t>
      </w:r>
      <w:r>
        <w:rPr>
          <w:rFonts w:ascii="Arial" w:cs="Arial" w:eastAsia="Arial" w:hAnsi="Arial"/>
          <w:sz w:val="27"/>
          <w:szCs w:val="27"/>
          <w:color w:val="auto"/>
        </w:rPr>
        <w:t>-</w:t>
      </w:r>
      <w:r>
        <w:rPr>
          <w:rFonts w:ascii="Arial" w:cs="Arial" w:eastAsia="Arial" w:hAnsi="Arial"/>
          <w:sz w:val="27"/>
          <w:szCs w:val="27"/>
          <w:color w:val="auto"/>
        </w:rPr>
        <w:t>невролог</w:t>
      </w:r>
    </w:p>
    <w:p>
      <w:pPr>
        <w:spacing w:after="0" w:line="350" w:lineRule="exact"/>
        <w:rPr>
          <w:sz w:val="20"/>
          <w:szCs w:val="20"/>
          <w:color w:val="auto"/>
        </w:rPr>
      </w:pPr>
    </w:p>
    <w:p>
      <w:pPr>
        <w:jc w:val="both"/>
        <w:ind w:left="360" w:right="220"/>
        <w:spacing w:after="0" w:line="306" w:lineRule="auto"/>
        <w:rPr>
          <w:sz w:val="20"/>
          <w:szCs w:val="20"/>
          <w:color w:val="auto"/>
        </w:rPr>
      </w:pPr>
      <w:r>
        <w:rPr>
          <w:rFonts w:ascii="Arial" w:cs="Arial" w:eastAsia="Arial" w:hAnsi="Arial"/>
          <w:sz w:val="27"/>
          <w:szCs w:val="27"/>
          <w:color w:val="auto"/>
        </w:rPr>
        <w:t>Вследствие того</w:t>
      </w:r>
      <w:r>
        <w:rPr>
          <w:rFonts w:ascii="Arial" w:cs="Arial" w:eastAsia="Arial" w:hAnsi="Arial"/>
          <w:sz w:val="27"/>
          <w:szCs w:val="27"/>
          <w:color w:val="auto"/>
        </w:rPr>
        <w:t>,</w:t>
      </w:r>
      <w:r>
        <w:rPr>
          <w:rFonts w:ascii="Arial" w:cs="Arial" w:eastAsia="Arial" w:hAnsi="Arial"/>
          <w:sz w:val="27"/>
          <w:szCs w:val="27"/>
          <w:color w:val="auto"/>
        </w:rPr>
        <w:t xml:space="preserve"> что члены Российского кардиологического общества входят в состав Европейского общества кардиологов и также являются его членами</w:t>
      </w:r>
      <w:r>
        <w:rPr>
          <w:rFonts w:ascii="Arial" w:cs="Arial" w:eastAsia="Arial" w:hAnsi="Arial"/>
          <w:sz w:val="27"/>
          <w:szCs w:val="27"/>
          <w:color w:val="auto"/>
        </w:rPr>
        <w:t>,</w:t>
      </w:r>
      <w:r>
        <w:rPr>
          <w:rFonts w:ascii="Arial" w:cs="Arial" w:eastAsia="Arial" w:hAnsi="Arial"/>
          <w:sz w:val="27"/>
          <w:szCs w:val="27"/>
          <w:color w:val="auto"/>
        </w:rPr>
        <w:t xml:space="preserve"> все рекомендации Европейского общества кардиологов </w:t>
      </w:r>
      <w:r>
        <w:rPr>
          <w:rFonts w:ascii="Arial" w:cs="Arial" w:eastAsia="Arial" w:hAnsi="Arial"/>
          <w:sz w:val="27"/>
          <w:szCs w:val="27"/>
          <w:color w:val="auto"/>
        </w:rPr>
        <w:t>(</w:t>
      </w:r>
      <w:r>
        <w:rPr>
          <w:rFonts w:ascii="Arial" w:cs="Arial" w:eastAsia="Arial" w:hAnsi="Arial"/>
          <w:sz w:val="27"/>
          <w:szCs w:val="27"/>
          <w:color w:val="auto"/>
        </w:rPr>
        <w:t>ЕОК</w:t>
      </w:r>
      <w:r>
        <w:rPr>
          <w:rFonts w:ascii="Arial" w:cs="Arial" w:eastAsia="Arial" w:hAnsi="Arial"/>
          <w:sz w:val="27"/>
          <w:szCs w:val="27"/>
          <w:color w:val="auto"/>
        </w:rPr>
        <w:t>)</w:t>
      </w:r>
      <w:r>
        <w:rPr>
          <w:rFonts w:ascii="Arial" w:cs="Arial" w:eastAsia="Arial" w:hAnsi="Arial"/>
          <w:sz w:val="27"/>
          <w:szCs w:val="27"/>
          <w:color w:val="auto"/>
        </w:rPr>
        <w:t xml:space="preserve"> формируются с участием российских экспертов</w:t>
      </w:r>
      <w:r>
        <w:rPr>
          <w:rFonts w:ascii="Arial" w:cs="Arial" w:eastAsia="Arial" w:hAnsi="Arial"/>
          <w:sz w:val="27"/>
          <w:szCs w:val="27"/>
          <w:color w:val="auto"/>
        </w:rPr>
        <w:t>,</w:t>
      </w:r>
      <w:r>
        <w:rPr>
          <w:rFonts w:ascii="Arial" w:cs="Arial" w:eastAsia="Arial" w:hAnsi="Arial"/>
          <w:sz w:val="27"/>
          <w:szCs w:val="27"/>
          <w:color w:val="auto"/>
        </w:rPr>
        <w:t xml:space="preserve"> которые являются соавторами европейских рекомендаций</w:t>
      </w:r>
      <w:r>
        <w:rPr>
          <w:rFonts w:ascii="Arial" w:cs="Arial" w:eastAsia="Arial" w:hAnsi="Arial"/>
          <w:sz w:val="27"/>
          <w:szCs w:val="27"/>
          <w:color w:val="auto"/>
        </w:rPr>
        <w:t>.</w:t>
      </w:r>
      <w:r>
        <w:rPr>
          <w:rFonts w:ascii="Arial" w:cs="Arial" w:eastAsia="Arial" w:hAnsi="Arial"/>
          <w:sz w:val="27"/>
          <w:szCs w:val="27"/>
          <w:color w:val="auto"/>
        </w:rPr>
        <w:t xml:space="preserve"> Таким образом</w:t>
      </w:r>
      <w:r>
        <w:rPr>
          <w:rFonts w:ascii="Arial" w:cs="Arial" w:eastAsia="Arial" w:hAnsi="Arial"/>
          <w:sz w:val="27"/>
          <w:szCs w:val="27"/>
          <w:color w:val="auto"/>
        </w:rPr>
        <w:t>,</w:t>
      </w:r>
      <w:r>
        <w:rPr>
          <w:rFonts w:ascii="Arial" w:cs="Arial" w:eastAsia="Arial" w:hAnsi="Arial"/>
          <w:sz w:val="27"/>
          <w:szCs w:val="27"/>
          <w:color w:val="auto"/>
        </w:rPr>
        <w:t xml:space="preserve"> существующие рекомендации ЕОК отражают общее мнение ведущих российских и европейских кардиологов</w:t>
      </w:r>
      <w:r>
        <w:rPr>
          <w:rFonts w:ascii="Arial" w:cs="Arial" w:eastAsia="Arial" w:hAnsi="Arial"/>
          <w:sz w:val="27"/>
          <w:szCs w:val="27"/>
          <w:color w:val="auto"/>
        </w:rPr>
        <w:t>.</w:t>
      </w:r>
      <w:r>
        <w:rPr>
          <w:rFonts w:ascii="Arial" w:cs="Arial" w:eastAsia="Arial" w:hAnsi="Arial"/>
          <w:sz w:val="27"/>
          <w:szCs w:val="27"/>
          <w:color w:val="auto"/>
        </w:rPr>
        <w:t xml:space="preserve"> В связи с этим формирование Национальных</w:t>
      </w:r>
    </w:p>
    <w:p>
      <w:pPr>
        <w:sectPr>
          <w:pgSz w:w="11900" w:h="16840" w:orient="portrait"/>
          <w:cols w:equalWidth="0" w:num="1">
            <w:col w:w="9020"/>
          </w:cols>
          <w:pgMar w:left="1440" w:top="671" w:right="1440" w:bottom="0" w:gutter="0" w:footer="0" w:header="0"/>
        </w:sectPr>
      </w:pPr>
    </w:p>
    <w:bookmarkStart w:id="119" w:name="page120"/>
    <w:bookmarkEnd w:id="119"/>
    <w:p>
      <w:pPr>
        <w:jc w:val="both"/>
        <w:ind w:left="360" w:right="220"/>
        <w:spacing w:after="0" w:line="305" w:lineRule="auto"/>
        <w:rPr>
          <w:sz w:val="20"/>
          <w:szCs w:val="20"/>
          <w:color w:val="auto"/>
        </w:rPr>
      </w:pPr>
      <w:r>
        <w:rPr>
          <w:rFonts w:ascii="Arial" w:cs="Arial" w:eastAsia="Arial" w:hAnsi="Arial"/>
          <w:sz w:val="27"/>
          <w:szCs w:val="27"/>
          <w:color w:val="auto"/>
        </w:rPr>
        <w:t>рекомендаций проводилось на основе рекомендаций ЕОК</w:t>
      </w:r>
      <w:r>
        <w:rPr>
          <w:rFonts w:ascii="Arial" w:cs="Arial" w:eastAsia="Arial" w:hAnsi="Arial"/>
          <w:sz w:val="27"/>
          <w:szCs w:val="27"/>
          <w:color w:val="auto"/>
        </w:rPr>
        <w:t>,</w:t>
      </w:r>
      <w:r>
        <w:rPr>
          <w:rFonts w:ascii="Arial" w:cs="Arial" w:eastAsia="Arial" w:hAnsi="Arial"/>
          <w:sz w:val="27"/>
          <w:szCs w:val="27"/>
          <w:color w:val="auto"/>
        </w:rPr>
        <w:t xml:space="preserve"> с учетом национальной специфики</w:t>
      </w:r>
      <w:r>
        <w:rPr>
          <w:rFonts w:ascii="Arial" w:cs="Arial" w:eastAsia="Arial" w:hAnsi="Arial"/>
          <w:sz w:val="27"/>
          <w:szCs w:val="27"/>
          <w:color w:val="auto"/>
        </w:rPr>
        <w:t>,</w:t>
      </w:r>
      <w:r>
        <w:rPr>
          <w:rFonts w:ascii="Arial" w:cs="Arial" w:eastAsia="Arial" w:hAnsi="Arial"/>
          <w:sz w:val="27"/>
          <w:szCs w:val="27"/>
          <w:color w:val="auto"/>
        </w:rPr>
        <w:t xml:space="preserve"> особенностей обследования</w:t>
      </w:r>
      <w:r>
        <w:rPr>
          <w:rFonts w:ascii="Arial" w:cs="Arial" w:eastAsia="Arial" w:hAnsi="Arial"/>
          <w:sz w:val="27"/>
          <w:szCs w:val="27"/>
          <w:color w:val="auto"/>
        </w:rPr>
        <w:t>,</w:t>
      </w:r>
      <w:r>
        <w:rPr>
          <w:rFonts w:ascii="Arial" w:cs="Arial" w:eastAsia="Arial" w:hAnsi="Arial"/>
          <w:sz w:val="27"/>
          <w:szCs w:val="27"/>
          <w:color w:val="auto"/>
        </w:rPr>
        <w:t xml:space="preserve"> лечения</w:t>
      </w:r>
      <w:r>
        <w:rPr>
          <w:rFonts w:ascii="Arial" w:cs="Arial" w:eastAsia="Arial" w:hAnsi="Arial"/>
          <w:sz w:val="27"/>
          <w:szCs w:val="27"/>
          <w:color w:val="auto"/>
        </w:rPr>
        <w:t>,</w:t>
      </w:r>
      <w:r>
        <w:rPr>
          <w:rFonts w:ascii="Arial" w:cs="Arial" w:eastAsia="Arial" w:hAnsi="Arial"/>
          <w:sz w:val="27"/>
          <w:szCs w:val="27"/>
          <w:color w:val="auto"/>
        </w:rPr>
        <w:t xml:space="preserve"> учитывающие доступность медицинской помощи</w:t>
      </w:r>
      <w:r>
        <w:rPr>
          <w:rFonts w:ascii="Arial" w:cs="Arial" w:eastAsia="Arial" w:hAnsi="Arial"/>
          <w:sz w:val="27"/>
          <w:szCs w:val="27"/>
          <w:color w:val="auto"/>
        </w:rPr>
        <w:t>.</w:t>
      </w:r>
      <w:r>
        <w:rPr>
          <w:rFonts w:ascii="Arial" w:cs="Arial" w:eastAsia="Arial" w:hAnsi="Arial"/>
          <w:sz w:val="27"/>
          <w:szCs w:val="27"/>
          <w:color w:val="auto"/>
        </w:rPr>
        <w:t xml:space="preserve"> По этой причине в тексте настоящих клинических рекомендаций</w:t>
      </w:r>
      <w:r>
        <w:rPr>
          <w:rFonts w:ascii="Arial" w:cs="Arial" w:eastAsia="Arial" w:hAnsi="Arial"/>
          <w:sz w:val="27"/>
          <w:szCs w:val="27"/>
          <w:color w:val="auto"/>
        </w:rPr>
        <w:t>,</w:t>
      </w:r>
      <w:r>
        <w:rPr>
          <w:rFonts w:ascii="Arial" w:cs="Arial" w:eastAsia="Arial" w:hAnsi="Arial"/>
          <w:sz w:val="27"/>
          <w:szCs w:val="27"/>
          <w:color w:val="auto"/>
        </w:rPr>
        <w:t xml:space="preserve"> одновременно использованы две шкалы оценки достоверности доказательств тезисов рекомендаций</w:t>
      </w:r>
      <w:r>
        <w:rPr>
          <w:rFonts w:ascii="Arial" w:cs="Arial" w:eastAsia="Arial" w:hAnsi="Arial"/>
          <w:sz w:val="27"/>
          <w:szCs w:val="27"/>
          <w:color w:val="auto"/>
        </w:rPr>
        <w:t>:</w:t>
      </w:r>
      <w:r>
        <w:rPr>
          <w:rFonts w:ascii="Arial" w:cs="Arial" w:eastAsia="Arial" w:hAnsi="Arial"/>
          <w:sz w:val="27"/>
          <w:szCs w:val="27"/>
          <w:color w:val="auto"/>
        </w:rPr>
        <w:t xml:space="preserve"> уровни достоверности доказательств ЕОК с УУР и УДД</w:t>
      </w:r>
      <w:r>
        <w:rPr>
          <w:rFonts w:ascii="Arial" w:cs="Arial" w:eastAsia="Arial" w:hAnsi="Arial"/>
          <w:sz w:val="27"/>
          <w:szCs w:val="27"/>
          <w:color w:val="auto"/>
        </w:rPr>
        <w:t>.</w:t>
      </w:r>
      <w:r>
        <w:rPr>
          <w:rFonts w:ascii="Arial" w:cs="Arial" w:eastAsia="Arial" w:hAnsi="Arial"/>
          <w:sz w:val="27"/>
          <w:szCs w:val="27"/>
          <w:color w:val="auto"/>
        </w:rPr>
        <w:t xml:space="preserve"> Добавлены классы рекомендаций ЕОК</w:t>
      </w:r>
      <w:r>
        <w:rPr>
          <w:rFonts w:ascii="Arial" w:cs="Arial" w:eastAsia="Arial" w:hAnsi="Arial"/>
          <w:sz w:val="27"/>
          <w:szCs w:val="27"/>
          <w:color w:val="auto"/>
        </w:rPr>
        <w:t>,</w:t>
      </w:r>
      <w:r>
        <w:rPr>
          <w:rFonts w:ascii="Arial" w:cs="Arial" w:eastAsia="Arial" w:hAnsi="Arial"/>
          <w:sz w:val="27"/>
          <w:szCs w:val="27"/>
          <w:color w:val="auto"/>
        </w:rPr>
        <w:t xml:space="preserve"> позволяющие оценить необходимость выполнения тезиса рекомендаций </w:t>
      </w:r>
      <w:r>
        <w:rPr>
          <w:rFonts w:ascii="Arial" w:cs="Arial" w:eastAsia="Arial" w:hAnsi="Arial"/>
          <w:sz w:val="27"/>
          <w:szCs w:val="27"/>
          <w:color w:val="auto"/>
        </w:rPr>
        <w:t>(</w:t>
      </w:r>
      <w:r>
        <w:rPr>
          <w:rFonts w:ascii="Arial" w:cs="Arial" w:eastAsia="Arial" w:hAnsi="Arial"/>
          <w:sz w:val="27"/>
          <w:szCs w:val="27"/>
          <w:color w:val="auto"/>
        </w:rPr>
        <w:t xml:space="preserve">Таблицы </w:t>
      </w:r>
      <w:r>
        <w:rPr>
          <w:rFonts w:ascii="Arial" w:cs="Arial" w:eastAsia="Arial" w:hAnsi="Arial"/>
          <w:sz w:val="27"/>
          <w:szCs w:val="27"/>
          <w:color w:val="auto"/>
        </w:rPr>
        <w:t>1, 2, 3, 4,5 ).</w:t>
      </w:r>
    </w:p>
    <w:p>
      <w:pPr>
        <w:spacing w:after="0" w:line="231"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 xml:space="preserve">Таблица </w:t>
      </w:r>
      <w:r>
        <w:rPr>
          <w:rFonts w:ascii="Arial" w:cs="Arial" w:eastAsia="Arial" w:hAnsi="Arial"/>
          <w:sz w:val="27"/>
          <w:szCs w:val="27"/>
          <w:b w:val="1"/>
          <w:bCs w:val="1"/>
          <w:color w:val="auto"/>
        </w:rPr>
        <w:t>1/</w:t>
      </w:r>
      <w:r>
        <w:rPr>
          <w:rFonts w:ascii="Arial" w:cs="Arial" w:eastAsia="Arial" w:hAnsi="Arial"/>
          <w:sz w:val="27"/>
          <w:szCs w:val="27"/>
          <w:b w:val="1"/>
          <w:bCs w:val="1"/>
          <w:color w:val="auto"/>
        </w:rPr>
        <w:t>А</w:t>
      </w:r>
      <w:r>
        <w:rPr>
          <w:rFonts w:ascii="Arial" w:cs="Arial" w:eastAsia="Arial" w:hAnsi="Arial"/>
          <w:sz w:val="27"/>
          <w:szCs w:val="27"/>
          <w:b w:val="1"/>
          <w:bCs w:val="1"/>
          <w:color w:val="auto"/>
        </w:rPr>
        <w:t>2 —</w:t>
      </w:r>
      <w:r>
        <w:rPr>
          <w:rFonts w:ascii="Arial" w:cs="Arial" w:eastAsia="Arial" w:hAnsi="Arial"/>
          <w:sz w:val="27"/>
          <w:szCs w:val="27"/>
          <w:b w:val="1"/>
          <w:bCs w:val="1"/>
          <w:color w:val="auto"/>
        </w:rPr>
        <w:t xml:space="preserve"> Шкала оценки классов рекомендаций Европейского общества кардиологов </w:t>
      </w:r>
      <w:r>
        <w:rPr>
          <w:rFonts w:ascii="Arial" w:cs="Arial" w:eastAsia="Arial" w:hAnsi="Arial"/>
          <w:sz w:val="27"/>
          <w:szCs w:val="27"/>
          <w:b w:val="1"/>
          <w:bCs w:val="1"/>
          <w:color w:val="auto"/>
        </w:rPr>
        <w:t>(</w:t>
      </w: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p>
    <w:p>
      <w:pPr>
        <w:spacing w:after="0" w:line="139"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19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Класс</w:t>
            </w:r>
          </w:p>
        </w:tc>
        <w:tc>
          <w:tcPr>
            <w:tcW w:w="174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rPr>
              <w:t>Определение</w:t>
            </w:r>
          </w:p>
        </w:tc>
        <w:tc>
          <w:tcPr>
            <w:tcW w:w="520" w:type="dxa"/>
            <w:vAlign w:val="bottom"/>
            <w:tcBorders>
              <w:top w:val="single" w:sz="8" w:color="auto"/>
            </w:tcBorders>
          </w:tcPr>
          <w:p>
            <w:pPr>
              <w:spacing w:after="0"/>
              <w:rPr>
                <w:sz w:val="24"/>
                <w:szCs w:val="24"/>
                <w:color w:val="auto"/>
              </w:rPr>
            </w:pPr>
          </w:p>
        </w:tc>
        <w:tc>
          <w:tcPr>
            <w:tcW w:w="280" w:type="dxa"/>
            <w:vAlign w:val="bottom"/>
            <w:tcBorders>
              <w:top w:val="single" w:sz="8" w:color="auto"/>
            </w:tcBorders>
          </w:tcPr>
          <w:p>
            <w:pPr>
              <w:spacing w:after="0"/>
              <w:rPr>
                <w:sz w:val="24"/>
                <w:szCs w:val="24"/>
                <w:color w:val="auto"/>
              </w:rPr>
            </w:pPr>
          </w:p>
        </w:tc>
        <w:tc>
          <w:tcPr>
            <w:tcW w:w="820" w:type="dxa"/>
            <w:vAlign w:val="bottom"/>
            <w:tcBorders>
              <w:top w:val="single" w:sz="8" w:color="auto"/>
            </w:tcBorders>
          </w:tcPr>
          <w:p>
            <w:pPr>
              <w:spacing w:after="0"/>
              <w:rPr>
                <w:sz w:val="24"/>
                <w:szCs w:val="24"/>
                <w:color w:val="auto"/>
              </w:rPr>
            </w:pPr>
          </w:p>
        </w:tc>
        <w:tc>
          <w:tcPr>
            <w:tcW w:w="380" w:type="dxa"/>
            <w:vAlign w:val="bottom"/>
            <w:tcBorders>
              <w:top w:val="single" w:sz="8" w:color="auto"/>
            </w:tcBorders>
          </w:tcPr>
          <w:p>
            <w:pPr>
              <w:spacing w:after="0"/>
              <w:rPr>
                <w:sz w:val="24"/>
                <w:szCs w:val="24"/>
                <w:color w:val="auto"/>
              </w:rPr>
            </w:pPr>
          </w:p>
        </w:tc>
        <w:tc>
          <w:tcPr>
            <w:tcW w:w="540" w:type="dxa"/>
            <w:vAlign w:val="bottom"/>
            <w:tcBorders>
              <w:top w:val="single" w:sz="8" w:color="auto"/>
              <w:right w:val="single" w:sz="8" w:color="auto"/>
            </w:tcBorders>
          </w:tcPr>
          <w:p>
            <w:pPr>
              <w:spacing w:after="0"/>
              <w:rPr>
                <w:sz w:val="24"/>
                <w:szCs w:val="24"/>
                <w:color w:val="auto"/>
              </w:rPr>
            </w:pPr>
          </w:p>
        </w:tc>
        <w:tc>
          <w:tcPr>
            <w:tcW w:w="228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Предлагаемая</w:t>
            </w:r>
          </w:p>
        </w:tc>
      </w:tr>
      <w:tr>
        <w:trPr>
          <w:trHeight w:val="165"/>
        </w:trPr>
        <w:tc>
          <w:tcPr>
            <w:tcW w:w="190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рекомендаций</w:t>
            </w:r>
          </w:p>
        </w:tc>
        <w:tc>
          <w:tcPr>
            <w:tcW w:w="1160" w:type="dxa"/>
            <w:vAlign w:val="bottom"/>
          </w:tcPr>
          <w:p>
            <w:pPr>
              <w:spacing w:after="0"/>
              <w:rPr>
                <w:sz w:val="14"/>
                <w:szCs w:val="14"/>
                <w:color w:val="auto"/>
              </w:rPr>
            </w:pPr>
          </w:p>
        </w:tc>
        <w:tc>
          <w:tcPr>
            <w:tcW w:w="580" w:type="dxa"/>
            <w:vAlign w:val="bottom"/>
          </w:tcPr>
          <w:p>
            <w:pPr>
              <w:spacing w:after="0"/>
              <w:rPr>
                <w:sz w:val="14"/>
                <w:szCs w:val="14"/>
                <w:color w:val="auto"/>
              </w:rPr>
            </w:pPr>
          </w:p>
        </w:tc>
        <w:tc>
          <w:tcPr>
            <w:tcW w:w="520" w:type="dxa"/>
            <w:vAlign w:val="bottom"/>
          </w:tcPr>
          <w:p>
            <w:pPr>
              <w:spacing w:after="0"/>
              <w:rPr>
                <w:sz w:val="14"/>
                <w:szCs w:val="14"/>
                <w:color w:val="auto"/>
              </w:rPr>
            </w:pPr>
          </w:p>
        </w:tc>
        <w:tc>
          <w:tcPr>
            <w:tcW w:w="280" w:type="dxa"/>
            <w:vAlign w:val="bottom"/>
          </w:tcPr>
          <w:p>
            <w:pPr>
              <w:spacing w:after="0"/>
              <w:rPr>
                <w:sz w:val="14"/>
                <w:szCs w:val="14"/>
                <w:color w:val="auto"/>
              </w:rPr>
            </w:pPr>
          </w:p>
        </w:tc>
        <w:tc>
          <w:tcPr>
            <w:tcW w:w="820" w:type="dxa"/>
            <w:vAlign w:val="bottom"/>
          </w:tcPr>
          <w:p>
            <w:pPr>
              <w:spacing w:after="0"/>
              <w:rPr>
                <w:sz w:val="14"/>
                <w:szCs w:val="14"/>
                <w:color w:val="auto"/>
              </w:rPr>
            </w:pPr>
          </w:p>
        </w:tc>
        <w:tc>
          <w:tcPr>
            <w:tcW w:w="380" w:type="dxa"/>
            <w:vAlign w:val="bottom"/>
          </w:tcPr>
          <w:p>
            <w:pPr>
              <w:spacing w:after="0"/>
              <w:rPr>
                <w:sz w:val="14"/>
                <w:szCs w:val="14"/>
                <w:color w:val="auto"/>
              </w:rPr>
            </w:pPr>
          </w:p>
        </w:tc>
        <w:tc>
          <w:tcPr>
            <w:tcW w:w="540" w:type="dxa"/>
            <w:vAlign w:val="bottom"/>
            <w:tcBorders>
              <w:right w:val="single" w:sz="8" w:color="auto"/>
            </w:tcBorders>
          </w:tcPr>
          <w:p>
            <w:pPr>
              <w:spacing w:after="0"/>
              <w:rPr>
                <w:sz w:val="14"/>
                <w:szCs w:val="14"/>
                <w:color w:val="auto"/>
              </w:rPr>
            </w:pP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формулировка</w:t>
            </w:r>
          </w:p>
        </w:tc>
      </w:tr>
      <w:tr>
        <w:trPr>
          <w:trHeight w:val="220"/>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ЕОК</w:t>
            </w:r>
          </w:p>
        </w:tc>
        <w:tc>
          <w:tcPr>
            <w:tcW w:w="1160" w:type="dxa"/>
            <w:vAlign w:val="bottom"/>
          </w:tcPr>
          <w:p>
            <w:pPr>
              <w:spacing w:after="0"/>
              <w:rPr>
                <w:sz w:val="19"/>
                <w:szCs w:val="19"/>
                <w:color w:val="auto"/>
              </w:rPr>
            </w:pPr>
          </w:p>
        </w:tc>
        <w:tc>
          <w:tcPr>
            <w:tcW w:w="580" w:type="dxa"/>
            <w:vAlign w:val="bottom"/>
          </w:tcPr>
          <w:p>
            <w:pPr>
              <w:spacing w:after="0"/>
              <w:rPr>
                <w:sz w:val="19"/>
                <w:szCs w:val="19"/>
                <w:color w:val="auto"/>
              </w:rPr>
            </w:pPr>
          </w:p>
        </w:tc>
        <w:tc>
          <w:tcPr>
            <w:tcW w:w="520" w:type="dxa"/>
            <w:vAlign w:val="bottom"/>
          </w:tcPr>
          <w:p>
            <w:pPr>
              <w:spacing w:after="0"/>
              <w:rPr>
                <w:sz w:val="19"/>
                <w:szCs w:val="19"/>
                <w:color w:val="auto"/>
              </w:rPr>
            </w:pPr>
          </w:p>
        </w:tc>
        <w:tc>
          <w:tcPr>
            <w:tcW w:w="280" w:type="dxa"/>
            <w:vAlign w:val="bottom"/>
          </w:tcPr>
          <w:p>
            <w:pPr>
              <w:spacing w:after="0"/>
              <w:rPr>
                <w:sz w:val="19"/>
                <w:szCs w:val="19"/>
                <w:color w:val="auto"/>
              </w:rPr>
            </w:pPr>
          </w:p>
        </w:tc>
        <w:tc>
          <w:tcPr>
            <w:tcW w:w="82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1160" w:type="dxa"/>
            <w:vAlign w:val="bottom"/>
            <w:tcBorders>
              <w:bottom w:val="single" w:sz="8" w:color="auto"/>
            </w:tcBorders>
          </w:tcPr>
          <w:p>
            <w:pPr>
              <w:spacing w:after="0"/>
              <w:rPr>
                <w:sz w:val="9"/>
                <w:szCs w:val="9"/>
                <w:color w:val="auto"/>
              </w:rPr>
            </w:pPr>
          </w:p>
        </w:tc>
        <w:tc>
          <w:tcPr>
            <w:tcW w:w="580" w:type="dxa"/>
            <w:vAlign w:val="bottom"/>
            <w:tcBorders>
              <w:bottom w:val="single" w:sz="8" w:color="auto"/>
            </w:tcBorders>
          </w:tcPr>
          <w:p>
            <w:pPr>
              <w:spacing w:after="0"/>
              <w:rPr>
                <w:sz w:val="9"/>
                <w:szCs w:val="9"/>
                <w:color w:val="auto"/>
              </w:rPr>
            </w:pPr>
          </w:p>
        </w:tc>
        <w:tc>
          <w:tcPr>
            <w:tcW w:w="2000" w:type="dxa"/>
            <w:vAlign w:val="bottom"/>
            <w:tcBorders>
              <w:bottom w:val="single" w:sz="8" w:color="auto"/>
            </w:tcBorders>
            <w:gridSpan w:val="4"/>
          </w:tcPr>
          <w:p>
            <w:pPr>
              <w:spacing w:after="0"/>
              <w:rPr>
                <w:sz w:val="9"/>
                <w:szCs w:val="9"/>
                <w:color w:val="auto"/>
              </w:rPr>
            </w:pPr>
          </w:p>
        </w:tc>
        <w:tc>
          <w:tcPr>
            <w:tcW w:w="540" w:type="dxa"/>
            <w:vAlign w:val="bottom"/>
            <w:tcBorders>
              <w:bottom w:val="single" w:sz="8" w:color="auto"/>
              <w:right w:val="single" w:sz="8" w:color="auto"/>
            </w:tcBorders>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r>
        <w:trPr>
          <w:trHeight w:val="295"/>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I</w:t>
            </w:r>
          </w:p>
        </w:tc>
        <w:tc>
          <w:tcPr>
            <w:tcW w:w="1160" w:type="dxa"/>
            <w:vAlign w:val="bottom"/>
          </w:tcPr>
          <w:p>
            <w:pPr>
              <w:ind w:left="140"/>
              <w:spacing w:after="0"/>
              <w:rPr>
                <w:sz w:val="20"/>
                <w:szCs w:val="20"/>
                <w:color w:val="auto"/>
              </w:rPr>
            </w:pPr>
            <w:r>
              <w:rPr>
                <w:rFonts w:ascii="Verdana" w:cs="Verdana" w:eastAsia="Verdana" w:hAnsi="Verdana"/>
                <w:sz w:val="17"/>
                <w:szCs w:val="17"/>
                <w:color w:val="auto"/>
              </w:rPr>
              <w:t>Доказано</w:t>
            </w:r>
          </w:p>
        </w:tc>
        <w:tc>
          <w:tcPr>
            <w:tcW w:w="580" w:type="dxa"/>
            <w:vAlign w:val="bottom"/>
          </w:tcPr>
          <w:p>
            <w:pPr>
              <w:ind w:left="180"/>
              <w:spacing w:after="0"/>
              <w:rPr>
                <w:sz w:val="20"/>
                <w:szCs w:val="20"/>
                <w:color w:val="auto"/>
              </w:rPr>
            </w:pPr>
            <w:r>
              <w:rPr>
                <w:rFonts w:ascii="Verdana" w:cs="Verdana" w:eastAsia="Verdana" w:hAnsi="Verdana"/>
                <w:sz w:val="17"/>
                <w:szCs w:val="17"/>
                <w:color w:val="auto"/>
              </w:rPr>
              <w:t>или</w:t>
            </w:r>
          </w:p>
        </w:tc>
        <w:tc>
          <w:tcPr>
            <w:tcW w:w="2000" w:type="dxa"/>
            <w:vAlign w:val="bottom"/>
            <w:gridSpan w:val="4"/>
          </w:tcPr>
          <w:p>
            <w:pPr>
              <w:ind w:left="280"/>
              <w:spacing w:after="0"/>
              <w:rPr>
                <w:sz w:val="20"/>
                <w:szCs w:val="20"/>
                <w:color w:val="auto"/>
              </w:rPr>
            </w:pPr>
            <w:r>
              <w:rPr>
                <w:rFonts w:ascii="Verdana" w:cs="Verdana" w:eastAsia="Verdana" w:hAnsi="Verdana"/>
                <w:sz w:val="17"/>
                <w:szCs w:val="17"/>
                <w:color w:val="auto"/>
              </w:rPr>
              <w:t>общепризнанно</w:t>
            </w:r>
            <w:r>
              <w:rPr>
                <w:rFonts w:ascii="Verdana" w:cs="Verdana" w:eastAsia="Verdana" w:hAnsi="Verdana"/>
                <w:sz w:val="17"/>
                <w:szCs w:val="17"/>
                <w:color w:val="auto"/>
              </w:rPr>
              <w:t>,</w:t>
            </w:r>
          </w:p>
        </w:tc>
        <w:tc>
          <w:tcPr>
            <w:tcW w:w="54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что</w:t>
            </w:r>
          </w:p>
        </w:tc>
        <w:tc>
          <w:tcPr>
            <w:tcW w:w="22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Рекомендовано</w:t>
            </w:r>
            <w:r>
              <w:rPr>
                <w:rFonts w:ascii="Verdana" w:cs="Verdana" w:eastAsia="Verdana" w:hAnsi="Verdana"/>
                <w:sz w:val="17"/>
                <w:szCs w:val="17"/>
                <w:color w:val="auto"/>
              </w:rPr>
              <w:t>/</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428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диагностическая процедура</w:t>
            </w:r>
            <w:r>
              <w:rPr>
                <w:rFonts w:ascii="Verdana" w:cs="Verdana" w:eastAsia="Verdana" w:hAnsi="Verdana"/>
                <w:sz w:val="17"/>
                <w:szCs w:val="17"/>
                <w:color w:val="auto"/>
              </w:rPr>
              <w:t>,</w:t>
            </w:r>
            <w:r>
              <w:rPr>
                <w:rFonts w:ascii="Verdana" w:cs="Verdana" w:eastAsia="Verdana" w:hAnsi="Verdana"/>
                <w:sz w:val="17"/>
                <w:szCs w:val="17"/>
                <w:color w:val="auto"/>
              </w:rPr>
              <w:t xml:space="preserve"> вмешательство</w:t>
            </w:r>
            <w:r>
              <w:rPr>
                <w:rFonts w:ascii="Verdana" w:cs="Verdana" w:eastAsia="Verdana" w:hAnsi="Verdana"/>
                <w:sz w:val="17"/>
                <w:szCs w:val="17"/>
                <w:color w:val="auto"/>
              </w:rPr>
              <w:t>/</w:t>
            </w: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показано</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1160" w:type="dxa"/>
            <w:vAlign w:val="bottom"/>
          </w:tcPr>
          <w:p>
            <w:pPr>
              <w:ind w:left="140"/>
              <w:spacing w:after="0" w:line="165" w:lineRule="exact"/>
              <w:rPr>
                <w:sz w:val="20"/>
                <w:szCs w:val="20"/>
                <w:color w:val="auto"/>
              </w:rPr>
            </w:pPr>
            <w:r>
              <w:rPr>
                <w:rFonts w:ascii="Verdana" w:cs="Verdana" w:eastAsia="Verdana" w:hAnsi="Verdana"/>
                <w:sz w:val="17"/>
                <w:szCs w:val="17"/>
                <w:color w:val="auto"/>
              </w:rPr>
              <w:t>лечение</w:t>
            </w:r>
          </w:p>
        </w:tc>
        <w:tc>
          <w:tcPr>
            <w:tcW w:w="1100" w:type="dxa"/>
            <w:vAlign w:val="bottom"/>
            <w:gridSpan w:val="2"/>
          </w:tcPr>
          <w:p>
            <w:pPr>
              <w:ind w:left="40"/>
              <w:spacing w:after="0" w:line="165" w:lineRule="exact"/>
              <w:rPr>
                <w:sz w:val="20"/>
                <w:szCs w:val="20"/>
                <w:color w:val="auto"/>
              </w:rPr>
            </w:pPr>
            <w:r>
              <w:rPr>
                <w:rFonts w:ascii="Verdana" w:cs="Verdana" w:eastAsia="Verdana" w:hAnsi="Verdana"/>
                <w:sz w:val="17"/>
                <w:szCs w:val="17"/>
                <w:color w:val="auto"/>
              </w:rPr>
              <w:t>являются</w:t>
            </w:r>
          </w:p>
        </w:tc>
        <w:tc>
          <w:tcPr>
            <w:tcW w:w="1480" w:type="dxa"/>
            <w:vAlign w:val="bottom"/>
            <w:gridSpan w:val="3"/>
          </w:tcPr>
          <w:p>
            <w:pPr>
              <w:ind w:left="100"/>
              <w:spacing w:after="0" w:line="165" w:lineRule="exact"/>
              <w:rPr>
                <w:sz w:val="20"/>
                <w:szCs w:val="20"/>
                <w:color w:val="auto"/>
              </w:rPr>
            </w:pPr>
            <w:r>
              <w:rPr>
                <w:rFonts w:ascii="Verdana" w:cs="Verdana" w:eastAsia="Verdana" w:hAnsi="Verdana"/>
                <w:sz w:val="17"/>
                <w:szCs w:val="17"/>
                <w:color w:val="auto"/>
              </w:rPr>
              <w:t>эффективными</w:t>
            </w:r>
          </w:p>
        </w:tc>
        <w:tc>
          <w:tcPr>
            <w:tcW w:w="540" w:type="dxa"/>
            <w:vAlign w:val="bottom"/>
            <w:tcBorders>
              <w:right w:val="single" w:sz="8" w:color="auto"/>
            </w:tcBorders>
          </w:tcPr>
          <w:p>
            <w:pPr>
              <w:jc w:val="right"/>
              <w:ind w:right="77"/>
              <w:spacing w:after="0" w:line="165" w:lineRule="exact"/>
              <w:rPr>
                <w:sz w:val="20"/>
                <w:szCs w:val="20"/>
                <w:color w:val="auto"/>
              </w:rPr>
            </w:pPr>
            <w:r>
              <w:rPr>
                <w:rFonts w:ascii="Verdana" w:cs="Verdana" w:eastAsia="Verdana" w:hAnsi="Verdana"/>
                <w:sz w:val="17"/>
                <w:szCs w:val="17"/>
                <w:color w:val="auto"/>
              </w:rPr>
              <w:t>и</w:t>
            </w:r>
          </w:p>
        </w:tc>
        <w:tc>
          <w:tcPr>
            <w:tcW w:w="2280" w:type="dxa"/>
            <w:vAlign w:val="bottom"/>
            <w:tcBorders>
              <w:right w:val="single" w:sz="8" w:color="auto"/>
            </w:tcBorders>
          </w:tcPr>
          <w:p>
            <w:pPr>
              <w:spacing w:after="0"/>
              <w:rPr>
                <w:sz w:val="14"/>
                <w:szCs w:val="14"/>
                <w:color w:val="auto"/>
              </w:rPr>
            </w:pPr>
          </w:p>
        </w:tc>
      </w:tr>
      <w:tr>
        <w:trPr>
          <w:trHeight w:val="220"/>
        </w:trPr>
        <w:tc>
          <w:tcPr>
            <w:tcW w:w="1900" w:type="dxa"/>
            <w:vAlign w:val="bottom"/>
            <w:tcBorders>
              <w:left w:val="single" w:sz="8" w:color="auto"/>
              <w:right w:val="single" w:sz="8" w:color="auto"/>
            </w:tcBorders>
          </w:tcPr>
          <w:p>
            <w:pPr>
              <w:spacing w:after="0"/>
              <w:rPr>
                <w:sz w:val="19"/>
                <w:szCs w:val="19"/>
                <w:color w:val="auto"/>
              </w:rPr>
            </w:pPr>
          </w:p>
        </w:tc>
        <w:tc>
          <w:tcPr>
            <w:tcW w:w="1160" w:type="dxa"/>
            <w:vAlign w:val="bottom"/>
          </w:tcPr>
          <w:p>
            <w:pPr>
              <w:ind w:left="140"/>
              <w:spacing w:after="0"/>
              <w:rPr>
                <w:sz w:val="20"/>
                <w:szCs w:val="20"/>
                <w:color w:val="auto"/>
              </w:rPr>
            </w:pPr>
            <w:r>
              <w:rPr>
                <w:rFonts w:ascii="Verdana" w:cs="Verdana" w:eastAsia="Verdana" w:hAnsi="Verdana"/>
                <w:sz w:val="17"/>
                <w:szCs w:val="17"/>
                <w:color w:val="auto"/>
              </w:rPr>
              <w:t>полезными</w:t>
            </w:r>
          </w:p>
        </w:tc>
        <w:tc>
          <w:tcPr>
            <w:tcW w:w="580" w:type="dxa"/>
            <w:vAlign w:val="bottom"/>
          </w:tcPr>
          <w:p>
            <w:pPr>
              <w:spacing w:after="0"/>
              <w:rPr>
                <w:sz w:val="19"/>
                <w:szCs w:val="19"/>
                <w:color w:val="auto"/>
              </w:rPr>
            </w:pPr>
          </w:p>
        </w:tc>
        <w:tc>
          <w:tcPr>
            <w:tcW w:w="520" w:type="dxa"/>
            <w:vAlign w:val="bottom"/>
          </w:tcPr>
          <w:p>
            <w:pPr>
              <w:spacing w:after="0"/>
              <w:rPr>
                <w:sz w:val="19"/>
                <w:szCs w:val="19"/>
                <w:color w:val="auto"/>
              </w:rPr>
            </w:pPr>
          </w:p>
        </w:tc>
        <w:tc>
          <w:tcPr>
            <w:tcW w:w="280" w:type="dxa"/>
            <w:vAlign w:val="bottom"/>
          </w:tcPr>
          <w:p>
            <w:pPr>
              <w:spacing w:after="0"/>
              <w:rPr>
                <w:sz w:val="19"/>
                <w:szCs w:val="19"/>
                <w:color w:val="auto"/>
              </w:rPr>
            </w:pPr>
          </w:p>
        </w:tc>
        <w:tc>
          <w:tcPr>
            <w:tcW w:w="820" w:type="dxa"/>
            <w:vAlign w:val="bottom"/>
          </w:tcPr>
          <w:p>
            <w:pPr>
              <w:spacing w:after="0"/>
              <w:rPr>
                <w:sz w:val="19"/>
                <w:szCs w:val="19"/>
                <w:color w:val="auto"/>
              </w:rPr>
            </w:pP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4280" w:type="dxa"/>
            <w:vAlign w:val="bottom"/>
            <w:tcBorders>
              <w:bottom w:val="single" w:sz="8" w:color="auto"/>
              <w:right w:val="single" w:sz="8" w:color="auto"/>
            </w:tcBorders>
            <w:gridSpan w:val="7"/>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r>
        <w:trPr>
          <w:trHeight w:val="295"/>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II</w:t>
            </w:r>
          </w:p>
        </w:tc>
        <w:tc>
          <w:tcPr>
            <w:tcW w:w="4280" w:type="dxa"/>
            <w:vAlign w:val="bottom"/>
            <w:tcBorders>
              <w:right w:val="single" w:sz="8" w:color="auto"/>
            </w:tcBorders>
            <w:gridSpan w:val="7"/>
          </w:tcPr>
          <w:p>
            <w:pPr>
              <w:ind w:left="140"/>
              <w:spacing w:after="0"/>
              <w:rPr>
                <w:sz w:val="20"/>
                <w:szCs w:val="20"/>
                <w:color w:val="auto"/>
              </w:rPr>
            </w:pPr>
            <w:r>
              <w:rPr>
                <w:rFonts w:ascii="Verdana" w:cs="Verdana" w:eastAsia="Verdana" w:hAnsi="Verdana"/>
                <w:sz w:val="17"/>
                <w:szCs w:val="17"/>
                <w:color w:val="auto"/>
              </w:rPr>
              <w:t xml:space="preserve">Противоречивые данные и </w:t>
            </w:r>
            <w:r>
              <w:rPr>
                <w:rFonts w:ascii="Verdana" w:cs="Verdana" w:eastAsia="Verdana" w:hAnsi="Verdana"/>
                <w:sz w:val="17"/>
                <w:szCs w:val="17"/>
                <w:color w:val="auto"/>
              </w:rPr>
              <w:t>/</w:t>
            </w:r>
            <w:r>
              <w:rPr>
                <w:rFonts w:ascii="Verdana" w:cs="Verdana" w:eastAsia="Verdana" w:hAnsi="Verdana"/>
                <w:sz w:val="17"/>
                <w:szCs w:val="17"/>
                <w:color w:val="auto"/>
              </w:rPr>
              <w:t>или мнения об</w:t>
            </w:r>
          </w:p>
        </w:tc>
        <w:tc>
          <w:tcPr>
            <w:tcW w:w="22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Целесообразно</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226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эффективности</w:t>
            </w:r>
            <w:r>
              <w:rPr>
                <w:rFonts w:ascii="Verdana" w:cs="Verdana" w:eastAsia="Verdana" w:hAnsi="Verdana"/>
                <w:sz w:val="17"/>
                <w:szCs w:val="17"/>
                <w:color w:val="auto"/>
              </w:rPr>
              <w:t>/</w:t>
            </w:r>
            <w:r>
              <w:rPr>
                <w:rFonts w:ascii="Verdana" w:cs="Verdana" w:eastAsia="Verdana" w:hAnsi="Verdana"/>
                <w:sz w:val="17"/>
                <w:szCs w:val="17"/>
                <w:color w:val="auto"/>
              </w:rPr>
              <w:t>пользе</w:t>
            </w:r>
          </w:p>
        </w:tc>
        <w:tc>
          <w:tcPr>
            <w:tcW w:w="280" w:type="dxa"/>
            <w:vAlign w:val="bottom"/>
          </w:tcPr>
          <w:p>
            <w:pPr>
              <w:spacing w:after="0"/>
              <w:rPr>
                <w:sz w:val="14"/>
                <w:szCs w:val="14"/>
                <w:color w:val="auto"/>
              </w:rPr>
            </w:pPr>
          </w:p>
        </w:tc>
        <w:tc>
          <w:tcPr>
            <w:tcW w:w="1740" w:type="dxa"/>
            <w:vAlign w:val="bottom"/>
            <w:tcBorders>
              <w:right w:val="single" w:sz="8" w:color="auto"/>
            </w:tcBorders>
            <w:gridSpan w:val="3"/>
          </w:tcPr>
          <w:p>
            <w:pPr>
              <w:jc w:val="right"/>
              <w:ind w:right="77"/>
              <w:spacing w:after="0" w:line="165" w:lineRule="exact"/>
              <w:rPr>
                <w:sz w:val="20"/>
                <w:szCs w:val="20"/>
                <w:color w:val="auto"/>
              </w:rPr>
            </w:pPr>
            <w:r>
              <w:rPr>
                <w:rFonts w:ascii="Verdana" w:cs="Verdana" w:eastAsia="Verdana" w:hAnsi="Verdana"/>
                <w:sz w:val="17"/>
                <w:szCs w:val="17"/>
                <w:color w:val="auto"/>
              </w:rPr>
              <w:t>диагностической</w:t>
            </w: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применять</w:t>
            </w:r>
          </w:p>
        </w:tc>
      </w:tr>
      <w:tr>
        <w:trPr>
          <w:trHeight w:val="220"/>
        </w:trPr>
        <w:tc>
          <w:tcPr>
            <w:tcW w:w="1900" w:type="dxa"/>
            <w:vAlign w:val="bottom"/>
            <w:tcBorders>
              <w:left w:val="single" w:sz="8" w:color="auto"/>
              <w:right w:val="single" w:sz="8" w:color="auto"/>
            </w:tcBorders>
          </w:tcPr>
          <w:p>
            <w:pPr>
              <w:spacing w:after="0"/>
              <w:rPr>
                <w:sz w:val="19"/>
                <w:szCs w:val="19"/>
                <w:color w:val="auto"/>
              </w:rPr>
            </w:pPr>
          </w:p>
        </w:tc>
        <w:tc>
          <w:tcPr>
            <w:tcW w:w="3360" w:type="dxa"/>
            <w:vAlign w:val="bottom"/>
            <w:gridSpan w:val="5"/>
          </w:tcPr>
          <w:p>
            <w:pPr>
              <w:ind w:left="140"/>
              <w:spacing w:after="0"/>
              <w:rPr>
                <w:sz w:val="20"/>
                <w:szCs w:val="20"/>
                <w:color w:val="auto"/>
              </w:rPr>
            </w:pPr>
            <w:r>
              <w:rPr>
                <w:rFonts w:ascii="Verdana" w:cs="Verdana" w:eastAsia="Verdana" w:hAnsi="Verdana"/>
                <w:sz w:val="17"/>
                <w:szCs w:val="17"/>
                <w:color w:val="auto"/>
                <w:w w:val="97"/>
              </w:rPr>
              <w:t>процедуры</w:t>
            </w:r>
            <w:r>
              <w:rPr>
                <w:rFonts w:ascii="Verdana" w:cs="Verdana" w:eastAsia="Verdana" w:hAnsi="Verdana"/>
                <w:sz w:val="17"/>
                <w:szCs w:val="17"/>
                <w:color w:val="auto"/>
                <w:w w:val="97"/>
              </w:rPr>
              <w:t>,</w:t>
            </w:r>
            <w:r>
              <w:rPr>
                <w:rFonts w:ascii="Verdana" w:cs="Verdana" w:eastAsia="Verdana" w:hAnsi="Verdana"/>
                <w:sz w:val="17"/>
                <w:szCs w:val="17"/>
                <w:color w:val="auto"/>
                <w:w w:val="97"/>
              </w:rPr>
              <w:t xml:space="preserve"> вмешательства</w:t>
            </w:r>
            <w:r>
              <w:rPr>
                <w:rFonts w:ascii="Verdana" w:cs="Verdana" w:eastAsia="Verdana" w:hAnsi="Verdana"/>
                <w:sz w:val="17"/>
                <w:szCs w:val="17"/>
                <w:color w:val="auto"/>
                <w:w w:val="97"/>
              </w:rPr>
              <w:t>,</w:t>
            </w:r>
            <w:r>
              <w:rPr>
                <w:rFonts w:ascii="Verdana" w:cs="Verdana" w:eastAsia="Verdana" w:hAnsi="Verdana"/>
                <w:sz w:val="17"/>
                <w:szCs w:val="17"/>
                <w:color w:val="auto"/>
                <w:w w:val="97"/>
              </w:rPr>
              <w:t xml:space="preserve"> лечения</w:t>
            </w: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4280" w:type="dxa"/>
            <w:vAlign w:val="bottom"/>
            <w:tcBorders>
              <w:bottom w:val="single" w:sz="8" w:color="auto"/>
              <w:right w:val="single" w:sz="8" w:color="auto"/>
            </w:tcBorders>
            <w:gridSpan w:val="7"/>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r>
        <w:trPr>
          <w:trHeight w:val="295"/>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IIa</w:t>
            </w:r>
          </w:p>
        </w:tc>
        <w:tc>
          <w:tcPr>
            <w:tcW w:w="4280" w:type="dxa"/>
            <w:vAlign w:val="bottom"/>
            <w:tcBorders>
              <w:right w:val="single" w:sz="8" w:color="auto"/>
            </w:tcBorders>
            <w:gridSpan w:val="7"/>
          </w:tcPr>
          <w:p>
            <w:pPr>
              <w:ind w:left="140"/>
              <w:spacing w:after="0"/>
              <w:rPr>
                <w:sz w:val="20"/>
                <w:szCs w:val="20"/>
                <w:color w:val="auto"/>
              </w:rPr>
            </w:pPr>
            <w:r>
              <w:rPr>
                <w:rFonts w:ascii="Verdana" w:cs="Verdana" w:eastAsia="Verdana" w:hAnsi="Verdana"/>
                <w:sz w:val="17"/>
                <w:szCs w:val="17"/>
                <w:color w:val="auto"/>
              </w:rPr>
              <w:t>Большинство   данных</w:t>
            </w:r>
            <w:r>
              <w:rPr>
                <w:rFonts w:ascii="Verdana" w:cs="Verdana" w:eastAsia="Verdana" w:hAnsi="Verdana"/>
                <w:sz w:val="17"/>
                <w:szCs w:val="17"/>
                <w:color w:val="auto"/>
              </w:rPr>
              <w:t>/</w:t>
            </w:r>
            <w:r>
              <w:rPr>
                <w:rFonts w:ascii="Verdana" w:cs="Verdana" w:eastAsia="Verdana" w:hAnsi="Verdana"/>
                <w:sz w:val="17"/>
                <w:szCs w:val="17"/>
                <w:color w:val="auto"/>
              </w:rPr>
              <w:t>мнений   в   пользу</w:t>
            </w:r>
          </w:p>
        </w:tc>
        <w:tc>
          <w:tcPr>
            <w:tcW w:w="22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Целесообразно</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226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эффективности</w:t>
            </w:r>
            <w:r>
              <w:rPr>
                <w:rFonts w:ascii="Verdana" w:cs="Verdana" w:eastAsia="Verdana" w:hAnsi="Verdana"/>
                <w:sz w:val="17"/>
                <w:szCs w:val="17"/>
                <w:color w:val="auto"/>
              </w:rPr>
              <w:t>/</w:t>
            </w:r>
            <w:r>
              <w:rPr>
                <w:rFonts w:ascii="Verdana" w:cs="Verdana" w:eastAsia="Verdana" w:hAnsi="Verdana"/>
                <w:sz w:val="17"/>
                <w:szCs w:val="17"/>
                <w:color w:val="auto"/>
              </w:rPr>
              <w:t>пользы</w:t>
            </w:r>
          </w:p>
        </w:tc>
        <w:tc>
          <w:tcPr>
            <w:tcW w:w="280" w:type="dxa"/>
            <w:vAlign w:val="bottom"/>
          </w:tcPr>
          <w:p>
            <w:pPr>
              <w:spacing w:after="0"/>
              <w:rPr>
                <w:sz w:val="14"/>
                <w:szCs w:val="14"/>
                <w:color w:val="auto"/>
              </w:rPr>
            </w:pPr>
          </w:p>
        </w:tc>
        <w:tc>
          <w:tcPr>
            <w:tcW w:w="1740" w:type="dxa"/>
            <w:vAlign w:val="bottom"/>
            <w:tcBorders>
              <w:right w:val="single" w:sz="8" w:color="auto"/>
            </w:tcBorders>
            <w:gridSpan w:val="3"/>
          </w:tcPr>
          <w:p>
            <w:pPr>
              <w:jc w:val="right"/>
              <w:ind w:right="77"/>
              <w:spacing w:after="0" w:line="165" w:lineRule="exact"/>
              <w:rPr>
                <w:sz w:val="20"/>
                <w:szCs w:val="20"/>
                <w:color w:val="auto"/>
              </w:rPr>
            </w:pPr>
            <w:r>
              <w:rPr>
                <w:rFonts w:ascii="Verdana" w:cs="Verdana" w:eastAsia="Verdana" w:hAnsi="Verdana"/>
                <w:sz w:val="17"/>
                <w:szCs w:val="17"/>
                <w:color w:val="auto"/>
              </w:rPr>
              <w:t>диагностической</w:t>
            </w: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применять</w:t>
            </w:r>
          </w:p>
        </w:tc>
      </w:tr>
      <w:tr>
        <w:trPr>
          <w:trHeight w:val="220"/>
        </w:trPr>
        <w:tc>
          <w:tcPr>
            <w:tcW w:w="1900" w:type="dxa"/>
            <w:vAlign w:val="bottom"/>
            <w:tcBorders>
              <w:left w:val="single" w:sz="8" w:color="auto"/>
              <w:right w:val="single" w:sz="8" w:color="auto"/>
            </w:tcBorders>
          </w:tcPr>
          <w:p>
            <w:pPr>
              <w:spacing w:after="0"/>
              <w:rPr>
                <w:sz w:val="19"/>
                <w:szCs w:val="19"/>
                <w:color w:val="auto"/>
              </w:rPr>
            </w:pPr>
          </w:p>
        </w:tc>
        <w:tc>
          <w:tcPr>
            <w:tcW w:w="3360" w:type="dxa"/>
            <w:vAlign w:val="bottom"/>
            <w:gridSpan w:val="5"/>
          </w:tcPr>
          <w:p>
            <w:pPr>
              <w:ind w:left="140"/>
              <w:spacing w:after="0"/>
              <w:rPr>
                <w:sz w:val="20"/>
                <w:szCs w:val="20"/>
                <w:color w:val="auto"/>
              </w:rPr>
            </w:pPr>
            <w:r>
              <w:rPr>
                <w:rFonts w:ascii="Verdana" w:cs="Verdana" w:eastAsia="Verdana" w:hAnsi="Verdana"/>
                <w:sz w:val="17"/>
                <w:szCs w:val="17"/>
                <w:color w:val="auto"/>
                <w:w w:val="97"/>
              </w:rPr>
              <w:t>процедуры</w:t>
            </w:r>
            <w:r>
              <w:rPr>
                <w:rFonts w:ascii="Verdana" w:cs="Verdana" w:eastAsia="Verdana" w:hAnsi="Verdana"/>
                <w:sz w:val="17"/>
                <w:szCs w:val="17"/>
                <w:color w:val="auto"/>
                <w:w w:val="97"/>
              </w:rPr>
              <w:t>,</w:t>
            </w:r>
            <w:r>
              <w:rPr>
                <w:rFonts w:ascii="Verdana" w:cs="Verdana" w:eastAsia="Verdana" w:hAnsi="Verdana"/>
                <w:sz w:val="17"/>
                <w:szCs w:val="17"/>
                <w:color w:val="auto"/>
                <w:w w:val="97"/>
              </w:rPr>
              <w:t xml:space="preserve"> вмешательства</w:t>
            </w:r>
            <w:r>
              <w:rPr>
                <w:rFonts w:ascii="Verdana" w:cs="Verdana" w:eastAsia="Verdana" w:hAnsi="Verdana"/>
                <w:sz w:val="17"/>
                <w:szCs w:val="17"/>
                <w:color w:val="auto"/>
                <w:w w:val="97"/>
              </w:rPr>
              <w:t>,</w:t>
            </w:r>
            <w:r>
              <w:rPr>
                <w:rFonts w:ascii="Verdana" w:cs="Verdana" w:eastAsia="Verdana" w:hAnsi="Verdana"/>
                <w:sz w:val="17"/>
                <w:szCs w:val="17"/>
                <w:color w:val="auto"/>
                <w:w w:val="97"/>
              </w:rPr>
              <w:t xml:space="preserve"> лечения</w:t>
            </w: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2260" w:type="dxa"/>
            <w:vAlign w:val="bottom"/>
            <w:tcBorders>
              <w:bottom w:val="single" w:sz="8" w:color="auto"/>
            </w:tcBorders>
            <w:gridSpan w:val="3"/>
          </w:tcPr>
          <w:p>
            <w:pPr>
              <w:spacing w:after="0"/>
              <w:rPr>
                <w:sz w:val="9"/>
                <w:szCs w:val="9"/>
                <w:color w:val="auto"/>
              </w:rPr>
            </w:pPr>
          </w:p>
        </w:tc>
        <w:tc>
          <w:tcPr>
            <w:tcW w:w="280" w:type="dxa"/>
            <w:vAlign w:val="bottom"/>
            <w:tcBorders>
              <w:bottom w:val="single" w:sz="8" w:color="auto"/>
            </w:tcBorders>
          </w:tcPr>
          <w:p>
            <w:pPr>
              <w:spacing w:after="0"/>
              <w:rPr>
                <w:sz w:val="9"/>
                <w:szCs w:val="9"/>
                <w:color w:val="auto"/>
              </w:rPr>
            </w:pPr>
          </w:p>
        </w:tc>
        <w:tc>
          <w:tcPr>
            <w:tcW w:w="1740" w:type="dxa"/>
            <w:vAlign w:val="bottom"/>
            <w:tcBorders>
              <w:bottom w:val="single" w:sz="8" w:color="auto"/>
              <w:right w:val="single" w:sz="8" w:color="auto"/>
            </w:tcBorders>
            <w:gridSpan w:val="3"/>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r>
        <w:trPr>
          <w:trHeight w:val="295"/>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IIb</w:t>
            </w:r>
          </w:p>
        </w:tc>
        <w:tc>
          <w:tcPr>
            <w:tcW w:w="2260" w:type="dxa"/>
            <w:vAlign w:val="bottom"/>
            <w:gridSpan w:val="3"/>
          </w:tcPr>
          <w:p>
            <w:pPr>
              <w:ind w:left="140"/>
              <w:spacing w:after="0"/>
              <w:rPr>
                <w:sz w:val="20"/>
                <w:szCs w:val="20"/>
                <w:color w:val="auto"/>
              </w:rPr>
            </w:pPr>
            <w:r>
              <w:rPr>
                <w:rFonts w:ascii="Verdana" w:cs="Verdana" w:eastAsia="Verdana" w:hAnsi="Verdana"/>
                <w:sz w:val="17"/>
                <w:szCs w:val="17"/>
                <w:color w:val="auto"/>
              </w:rPr>
              <w:t>Эффективность</w:t>
            </w:r>
            <w:r>
              <w:rPr>
                <w:rFonts w:ascii="Verdana" w:cs="Verdana" w:eastAsia="Verdana" w:hAnsi="Verdana"/>
                <w:sz w:val="17"/>
                <w:szCs w:val="17"/>
                <w:color w:val="auto"/>
              </w:rPr>
              <w:t>/</w:t>
            </w:r>
            <w:r>
              <w:rPr>
                <w:rFonts w:ascii="Verdana" w:cs="Verdana" w:eastAsia="Verdana" w:hAnsi="Verdana"/>
                <w:sz w:val="17"/>
                <w:szCs w:val="17"/>
                <w:color w:val="auto"/>
              </w:rPr>
              <w:t>польза</w:t>
            </w:r>
          </w:p>
        </w:tc>
        <w:tc>
          <w:tcPr>
            <w:tcW w:w="280" w:type="dxa"/>
            <w:vAlign w:val="bottom"/>
          </w:tcPr>
          <w:p>
            <w:pPr>
              <w:spacing w:after="0"/>
              <w:rPr>
                <w:sz w:val="24"/>
                <w:szCs w:val="24"/>
                <w:color w:val="auto"/>
              </w:rPr>
            </w:pPr>
          </w:p>
        </w:tc>
        <w:tc>
          <w:tcPr>
            <w:tcW w:w="1740" w:type="dxa"/>
            <w:vAlign w:val="bottom"/>
            <w:tcBorders>
              <w:right w:val="single" w:sz="8" w:color="auto"/>
            </w:tcBorders>
            <w:gridSpan w:val="3"/>
          </w:tcPr>
          <w:p>
            <w:pPr>
              <w:jc w:val="right"/>
              <w:ind w:right="77"/>
              <w:spacing w:after="0"/>
              <w:rPr>
                <w:sz w:val="20"/>
                <w:szCs w:val="20"/>
                <w:color w:val="auto"/>
              </w:rPr>
            </w:pPr>
            <w:r>
              <w:rPr>
                <w:rFonts w:ascii="Verdana" w:cs="Verdana" w:eastAsia="Verdana" w:hAnsi="Verdana"/>
                <w:sz w:val="17"/>
                <w:szCs w:val="17"/>
                <w:color w:val="auto"/>
              </w:rPr>
              <w:t>диагностической</w:t>
            </w:r>
          </w:p>
        </w:tc>
        <w:tc>
          <w:tcPr>
            <w:tcW w:w="22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Можно</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1160" w:type="dxa"/>
            <w:vAlign w:val="bottom"/>
          </w:tcPr>
          <w:p>
            <w:pPr>
              <w:ind w:left="140"/>
              <w:spacing w:after="0" w:line="165" w:lineRule="exact"/>
              <w:rPr>
                <w:sz w:val="20"/>
                <w:szCs w:val="20"/>
                <w:color w:val="auto"/>
              </w:rPr>
            </w:pPr>
            <w:r>
              <w:rPr>
                <w:rFonts w:ascii="Verdana" w:cs="Verdana" w:eastAsia="Verdana" w:hAnsi="Verdana"/>
                <w:sz w:val="17"/>
                <w:szCs w:val="17"/>
                <w:color w:val="auto"/>
                <w:w w:val="96"/>
              </w:rPr>
              <w:t>процедуры</w:t>
            </w:r>
            <w:r>
              <w:rPr>
                <w:rFonts w:ascii="Verdana" w:cs="Verdana" w:eastAsia="Verdana" w:hAnsi="Verdana"/>
                <w:sz w:val="17"/>
                <w:szCs w:val="17"/>
                <w:color w:val="auto"/>
                <w:w w:val="96"/>
              </w:rPr>
              <w:t>,</w:t>
            </w:r>
          </w:p>
        </w:tc>
        <w:tc>
          <w:tcPr>
            <w:tcW w:w="2200" w:type="dxa"/>
            <w:vAlign w:val="bottom"/>
            <w:gridSpan w:val="4"/>
          </w:tcPr>
          <w:p>
            <w:pPr>
              <w:ind w:left="440"/>
              <w:spacing w:after="0" w:line="165" w:lineRule="exact"/>
              <w:rPr>
                <w:sz w:val="20"/>
                <w:szCs w:val="20"/>
                <w:color w:val="auto"/>
              </w:rPr>
            </w:pPr>
            <w:r>
              <w:rPr>
                <w:rFonts w:ascii="Verdana" w:cs="Verdana" w:eastAsia="Verdana" w:hAnsi="Verdana"/>
                <w:sz w:val="17"/>
                <w:szCs w:val="17"/>
                <w:color w:val="auto"/>
              </w:rPr>
              <w:t>вмешательства</w:t>
            </w:r>
            <w:r>
              <w:rPr>
                <w:rFonts w:ascii="Verdana" w:cs="Verdana" w:eastAsia="Verdana" w:hAnsi="Verdana"/>
                <w:sz w:val="17"/>
                <w:szCs w:val="17"/>
                <w:color w:val="auto"/>
              </w:rPr>
              <w:t>,</w:t>
            </w:r>
          </w:p>
        </w:tc>
        <w:tc>
          <w:tcPr>
            <w:tcW w:w="920" w:type="dxa"/>
            <w:vAlign w:val="bottom"/>
            <w:tcBorders>
              <w:right w:val="single" w:sz="8" w:color="auto"/>
            </w:tcBorders>
            <w:gridSpan w:val="2"/>
          </w:tcPr>
          <w:p>
            <w:pPr>
              <w:jc w:val="right"/>
              <w:ind w:right="77"/>
              <w:spacing w:after="0" w:line="165" w:lineRule="exact"/>
              <w:rPr>
                <w:sz w:val="20"/>
                <w:szCs w:val="20"/>
                <w:color w:val="auto"/>
              </w:rPr>
            </w:pPr>
            <w:r>
              <w:rPr>
                <w:rFonts w:ascii="Verdana" w:cs="Verdana" w:eastAsia="Verdana" w:hAnsi="Verdana"/>
                <w:sz w:val="17"/>
                <w:szCs w:val="17"/>
                <w:color w:val="auto"/>
              </w:rPr>
              <w:t>лечения</w:t>
            </w: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применять</w:t>
            </w:r>
          </w:p>
        </w:tc>
      </w:tr>
      <w:tr>
        <w:trPr>
          <w:trHeight w:val="220"/>
        </w:trPr>
        <w:tc>
          <w:tcPr>
            <w:tcW w:w="1900" w:type="dxa"/>
            <w:vAlign w:val="bottom"/>
            <w:tcBorders>
              <w:left w:val="single" w:sz="8" w:color="auto"/>
              <w:right w:val="single" w:sz="8" w:color="auto"/>
            </w:tcBorders>
          </w:tcPr>
          <w:p>
            <w:pPr>
              <w:spacing w:after="0"/>
              <w:rPr>
                <w:sz w:val="19"/>
                <w:szCs w:val="19"/>
                <w:color w:val="auto"/>
              </w:rPr>
            </w:pPr>
          </w:p>
        </w:tc>
        <w:tc>
          <w:tcPr>
            <w:tcW w:w="3360" w:type="dxa"/>
            <w:vAlign w:val="bottom"/>
            <w:gridSpan w:val="5"/>
          </w:tcPr>
          <w:p>
            <w:pPr>
              <w:ind w:left="140"/>
              <w:spacing w:after="0"/>
              <w:rPr>
                <w:sz w:val="20"/>
                <w:szCs w:val="20"/>
                <w:color w:val="auto"/>
              </w:rPr>
            </w:pPr>
            <w:r>
              <w:rPr>
                <w:rFonts w:ascii="Verdana" w:cs="Verdana" w:eastAsia="Verdana" w:hAnsi="Verdana"/>
                <w:sz w:val="17"/>
                <w:szCs w:val="17"/>
                <w:color w:val="auto"/>
              </w:rPr>
              <w:t>установлены менее убедительно</w:t>
            </w: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1160" w:type="dxa"/>
            <w:vAlign w:val="bottom"/>
            <w:tcBorders>
              <w:bottom w:val="single" w:sz="8" w:color="auto"/>
            </w:tcBorders>
          </w:tcPr>
          <w:p>
            <w:pPr>
              <w:spacing w:after="0"/>
              <w:rPr>
                <w:sz w:val="9"/>
                <w:szCs w:val="9"/>
                <w:color w:val="auto"/>
              </w:rPr>
            </w:pPr>
          </w:p>
        </w:tc>
        <w:tc>
          <w:tcPr>
            <w:tcW w:w="580" w:type="dxa"/>
            <w:vAlign w:val="bottom"/>
            <w:tcBorders>
              <w:bottom w:val="single" w:sz="8" w:color="auto"/>
            </w:tcBorders>
          </w:tcPr>
          <w:p>
            <w:pPr>
              <w:spacing w:after="0"/>
              <w:rPr>
                <w:sz w:val="9"/>
                <w:szCs w:val="9"/>
                <w:color w:val="auto"/>
              </w:rPr>
            </w:pPr>
          </w:p>
        </w:tc>
        <w:tc>
          <w:tcPr>
            <w:tcW w:w="800" w:type="dxa"/>
            <w:vAlign w:val="bottom"/>
            <w:tcBorders>
              <w:bottom w:val="single" w:sz="8" w:color="auto"/>
            </w:tcBorders>
            <w:gridSpan w:val="2"/>
          </w:tcPr>
          <w:p>
            <w:pPr>
              <w:spacing w:after="0"/>
              <w:rPr>
                <w:sz w:val="9"/>
                <w:szCs w:val="9"/>
                <w:color w:val="auto"/>
              </w:rPr>
            </w:pPr>
          </w:p>
        </w:tc>
        <w:tc>
          <w:tcPr>
            <w:tcW w:w="1200" w:type="dxa"/>
            <w:vAlign w:val="bottom"/>
            <w:tcBorders>
              <w:bottom w:val="single" w:sz="8" w:color="auto"/>
            </w:tcBorders>
            <w:gridSpan w:val="2"/>
          </w:tcPr>
          <w:p>
            <w:pPr>
              <w:spacing w:after="0"/>
              <w:rPr>
                <w:sz w:val="9"/>
                <w:szCs w:val="9"/>
                <w:color w:val="auto"/>
              </w:rPr>
            </w:pPr>
          </w:p>
        </w:tc>
        <w:tc>
          <w:tcPr>
            <w:tcW w:w="540" w:type="dxa"/>
            <w:vAlign w:val="bottom"/>
            <w:tcBorders>
              <w:bottom w:val="single" w:sz="8" w:color="auto"/>
              <w:right w:val="single" w:sz="8" w:color="auto"/>
            </w:tcBorders>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r>
        <w:trPr>
          <w:trHeight w:val="295"/>
        </w:trPr>
        <w:tc>
          <w:tcPr>
            <w:tcW w:w="19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III</w:t>
            </w:r>
          </w:p>
        </w:tc>
        <w:tc>
          <w:tcPr>
            <w:tcW w:w="1160" w:type="dxa"/>
            <w:vAlign w:val="bottom"/>
          </w:tcPr>
          <w:p>
            <w:pPr>
              <w:ind w:left="140"/>
              <w:spacing w:after="0"/>
              <w:rPr>
                <w:sz w:val="20"/>
                <w:szCs w:val="20"/>
                <w:color w:val="auto"/>
              </w:rPr>
            </w:pPr>
            <w:r>
              <w:rPr>
                <w:rFonts w:ascii="Verdana" w:cs="Verdana" w:eastAsia="Verdana" w:hAnsi="Verdana"/>
                <w:sz w:val="17"/>
                <w:szCs w:val="17"/>
                <w:color w:val="auto"/>
              </w:rPr>
              <w:t>Данные</w:t>
            </w:r>
          </w:p>
        </w:tc>
        <w:tc>
          <w:tcPr>
            <w:tcW w:w="580" w:type="dxa"/>
            <w:vAlign w:val="bottom"/>
          </w:tcPr>
          <w:p>
            <w:pPr>
              <w:spacing w:after="0"/>
              <w:rPr>
                <w:sz w:val="20"/>
                <w:szCs w:val="20"/>
                <w:color w:val="auto"/>
              </w:rPr>
            </w:pPr>
            <w:r>
              <w:rPr>
                <w:rFonts w:ascii="Verdana" w:cs="Verdana" w:eastAsia="Verdana" w:hAnsi="Verdana"/>
                <w:sz w:val="17"/>
                <w:szCs w:val="17"/>
                <w:color w:val="auto"/>
              </w:rPr>
              <w:t>или</w:t>
            </w:r>
          </w:p>
        </w:tc>
        <w:tc>
          <w:tcPr>
            <w:tcW w:w="800" w:type="dxa"/>
            <w:vAlign w:val="bottom"/>
            <w:gridSpan w:val="2"/>
          </w:tcPr>
          <w:p>
            <w:pPr>
              <w:ind w:left="80"/>
              <w:spacing w:after="0"/>
              <w:rPr>
                <w:sz w:val="20"/>
                <w:szCs w:val="20"/>
                <w:color w:val="auto"/>
              </w:rPr>
            </w:pPr>
            <w:r>
              <w:rPr>
                <w:rFonts w:ascii="Verdana" w:cs="Verdana" w:eastAsia="Verdana" w:hAnsi="Verdana"/>
                <w:sz w:val="17"/>
                <w:szCs w:val="17"/>
                <w:color w:val="auto"/>
              </w:rPr>
              <w:t>единое</w:t>
            </w:r>
          </w:p>
        </w:tc>
        <w:tc>
          <w:tcPr>
            <w:tcW w:w="1200" w:type="dxa"/>
            <w:vAlign w:val="bottom"/>
            <w:gridSpan w:val="2"/>
          </w:tcPr>
          <w:p>
            <w:pPr>
              <w:ind w:left="260"/>
              <w:spacing w:after="0"/>
              <w:rPr>
                <w:sz w:val="20"/>
                <w:szCs w:val="20"/>
                <w:color w:val="auto"/>
              </w:rPr>
            </w:pPr>
            <w:r>
              <w:rPr>
                <w:rFonts w:ascii="Verdana" w:cs="Verdana" w:eastAsia="Verdana" w:hAnsi="Verdana"/>
                <w:sz w:val="17"/>
                <w:szCs w:val="17"/>
                <w:color w:val="auto"/>
              </w:rPr>
              <w:t>мнение</w:t>
            </w:r>
            <w:r>
              <w:rPr>
                <w:rFonts w:ascii="Verdana" w:cs="Verdana" w:eastAsia="Verdana" w:hAnsi="Verdana"/>
                <w:sz w:val="17"/>
                <w:szCs w:val="17"/>
                <w:color w:val="auto"/>
              </w:rPr>
              <w:t>,</w:t>
            </w:r>
          </w:p>
        </w:tc>
        <w:tc>
          <w:tcPr>
            <w:tcW w:w="540" w:type="dxa"/>
            <w:vAlign w:val="bottom"/>
            <w:tcBorders>
              <w:right w:val="single" w:sz="8" w:color="auto"/>
            </w:tcBorders>
          </w:tcPr>
          <w:p>
            <w:pPr>
              <w:jc w:val="right"/>
              <w:ind w:right="77"/>
              <w:spacing w:after="0"/>
              <w:rPr>
                <w:sz w:val="20"/>
                <w:szCs w:val="20"/>
                <w:color w:val="auto"/>
              </w:rPr>
            </w:pPr>
            <w:r>
              <w:rPr>
                <w:rFonts w:ascii="Verdana" w:cs="Verdana" w:eastAsia="Verdana" w:hAnsi="Verdana"/>
                <w:sz w:val="17"/>
                <w:szCs w:val="17"/>
                <w:color w:val="auto"/>
              </w:rPr>
              <w:t>что</w:t>
            </w:r>
          </w:p>
        </w:tc>
        <w:tc>
          <w:tcPr>
            <w:tcW w:w="22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Не рекомендуется</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428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диагностическая процедура</w:t>
            </w:r>
            <w:r>
              <w:rPr>
                <w:rFonts w:ascii="Verdana" w:cs="Verdana" w:eastAsia="Verdana" w:hAnsi="Verdana"/>
                <w:sz w:val="17"/>
                <w:szCs w:val="17"/>
                <w:color w:val="auto"/>
              </w:rPr>
              <w:t>,</w:t>
            </w:r>
            <w:r>
              <w:rPr>
                <w:rFonts w:ascii="Verdana" w:cs="Verdana" w:eastAsia="Verdana" w:hAnsi="Verdana"/>
                <w:sz w:val="17"/>
                <w:szCs w:val="17"/>
                <w:color w:val="auto"/>
              </w:rPr>
              <w:t xml:space="preserve"> вмешательство</w:t>
            </w:r>
            <w:r>
              <w:rPr>
                <w:rFonts w:ascii="Verdana" w:cs="Verdana" w:eastAsia="Verdana" w:hAnsi="Verdana"/>
                <w:sz w:val="17"/>
                <w:szCs w:val="17"/>
                <w:color w:val="auto"/>
              </w:rPr>
              <w:t>,</w:t>
            </w:r>
          </w:p>
        </w:tc>
        <w:tc>
          <w:tcPr>
            <w:tcW w:w="22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применять</w:t>
            </w:r>
          </w:p>
        </w:tc>
      </w:tr>
      <w:tr>
        <w:trPr>
          <w:trHeight w:val="165"/>
        </w:trPr>
        <w:tc>
          <w:tcPr>
            <w:tcW w:w="1900" w:type="dxa"/>
            <w:vAlign w:val="bottom"/>
            <w:tcBorders>
              <w:left w:val="single" w:sz="8" w:color="auto"/>
              <w:right w:val="single" w:sz="8" w:color="auto"/>
            </w:tcBorders>
          </w:tcPr>
          <w:p>
            <w:pPr>
              <w:spacing w:after="0"/>
              <w:rPr>
                <w:sz w:val="14"/>
                <w:szCs w:val="14"/>
                <w:color w:val="auto"/>
              </w:rPr>
            </w:pPr>
          </w:p>
        </w:tc>
        <w:tc>
          <w:tcPr>
            <w:tcW w:w="428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лечение  бесполезны</w:t>
            </w:r>
            <w:r>
              <w:rPr>
                <w:rFonts w:ascii="Verdana" w:cs="Verdana" w:eastAsia="Verdana" w:hAnsi="Verdana"/>
                <w:sz w:val="17"/>
                <w:szCs w:val="17"/>
                <w:color w:val="auto"/>
              </w:rPr>
              <w:t>/</w:t>
            </w:r>
            <w:r>
              <w:rPr>
                <w:rFonts w:ascii="Verdana" w:cs="Verdana" w:eastAsia="Verdana" w:hAnsi="Verdana"/>
                <w:sz w:val="17"/>
                <w:szCs w:val="17"/>
                <w:color w:val="auto"/>
              </w:rPr>
              <w:t>неэффективны</w:t>
            </w:r>
            <w:r>
              <w:rPr>
                <w:rFonts w:ascii="Verdana" w:cs="Verdana" w:eastAsia="Verdana" w:hAnsi="Verdana"/>
                <w:sz w:val="17"/>
                <w:szCs w:val="17"/>
                <w:color w:val="auto"/>
              </w:rPr>
              <w:t>,</w:t>
            </w:r>
            <w:r>
              <w:rPr>
                <w:rFonts w:ascii="Verdana" w:cs="Verdana" w:eastAsia="Verdana" w:hAnsi="Verdana"/>
                <w:sz w:val="17"/>
                <w:szCs w:val="17"/>
                <w:color w:val="auto"/>
              </w:rPr>
              <w:t xml:space="preserve">  а  в</w:t>
            </w:r>
          </w:p>
        </w:tc>
        <w:tc>
          <w:tcPr>
            <w:tcW w:w="2280" w:type="dxa"/>
            <w:vAlign w:val="bottom"/>
            <w:tcBorders>
              <w:right w:val="single" w:sz="8" w:color="auto"/>
            </w:tcBorders>
          </w:tcPr>
          <w:p>
            <w:pPr>
              <w:spacing w:after="0"/>
              <w:rPr>
                <w:sz w:val="14"/>
                <w:szCs w:val="14"/>
                <w:color w:val="auto"/>
              </w:rPr>
            </w:pPr>
          </w:p>
        </w:tc>
      </w:tr>
      <w:tr>
        <w:trPr>
          <w:trHeight w:val="220"/>
        </w:trPr>
        <w:tc>
          <w:tcPr>
            <w:tcW w:w="1900" w:type="dxa"/>
            <w:vAlign w:val="bottom"/>
            <w:tcBorders>
              <w:left w:val="single" w:sz="8" w:color="auto"/>
              <w:right w:val="single" w:sz="8" w:color="auto"/>
            </w:tcBorders>
          </w:tcPr>
          <w:p>
            <w:pPr>
              <w:spacing w:after="0"/>
              <w:rPr>
                <w:sz w:val="19"/>
                <w:szCs w:val="19"/>
                <w:color w:val="auto"/>
              </w:rPr>
            </w:pPr>
          </w:p>
        </w:tc>
        <w:tc>
          <w:tcPr>
            <w:tcW w:w="3360" w:type="dxa"/>
            <w:vAlign w:val="bottom"/>
            <w:gridSpan w:val="5"/>
          </w:tcPr>
          <w:p>
            <w:pPr>
              <w:ind w:left="140"/>
              <w:spacing w:after="0"/>
              <w:rPr>
                <w:sz w:val="20"/>
                <w:szCs w:val="20"/>
                <w:color w:val="auto"/>
              </w:rPr>
            </w:pPr>
            <w:r>
              <w:rPr>
                <w:rFonts w:ascii="Verdana" w:cs="Verdana" w:eastAsia="Verdana" w:hAnsi="Verdana"/>
                <w:sz w:val="17"/>
                <w:szCs w:val="17"/>
                <w:color w:val="auto"/>
                <w:w w:val="98"/>
              </w:rPr>
              <w:t>ряде случаев могут приносить вред</w:t>
            </w:r>
            <w:r>
              <w:rPr>
                <w:rFonts w:ascii="Verdana" w:cs="Verdana" w:eastAsia="Verdana" w:hAnsi="Verdana"/>
                <w:sz w:val="17"/>
                <w:szCs w:val="17"/>
                <w:color w:val="auto"/>
                <w:w w:val="98"/>
              </w:rPr>
              <w:t>.</w:t>
            </w:r>
          </w:p>
        </w:tc>
        <w:tc>
          <w:tcPr>
            <w:tcW w:w="380" w:type="dxa"/>
            <w:vAlign w:val="bottom"/>
          </w:tcPr>
          <w:p>
            <w:pPr>
              <w:spacing w:after="0"/>
              <w:rPr>
                <w:sz w:val="19"/>
                <w:szCs w:val="19"/>
                <w:color w:val="auto"/>
              </w:rPr>
            </w:pPr>
          </w:p>
        </w:tc>
        <w:tc>
          <w:tcPr>
            <w:tcW w:w="540" w:type="dxa"/>
            <w:vAlign w:val="bottom"/>
            <w:tcBorders>
              <w:right w:val="single" w:sz="8" w:color="auto"/>
            </w:tcBorders>
          </w:tcPr>
          <w:p>
            <w:pPr>
              <w:spacing w:after="0"/>
              <w:rPr>
                <w:sz w:val="19"/>
                <w:szCs w:val="19"/>
                <w:color w:val="auto"/>
              </w:rPr>
            </w:pPr>
          </w:p>
        </w:tc>
        <w:tc>
          <w:tcPr>
            <w:tcW w:w="2280" w:type="dxa"/>
            <w:vAlign w:val="bottom"/>
            <w:tcBorders>
              <w:right w:val="single" w:sz="8" w:color="auto"/>
            </w:tcBorders>
          </w:tcPr>
          <w:p>
            <w:pPr>
              <w:spacing w:after="0"/>
              <w:rPr>
                <w:sz w:val="19"/>
                <w:szCs w:val="19"/>
                <w:color w:val="auto"/>
              </w:rPr>
            </w:pPr>
          </w:p>
        </w:tc>
      </w:tr>
      <w:tr>
        <w:trPr>
          <w:trHeight w:val="110"/>
        </w:trPr>
        <w:tc>
          <w:tcPr>
            <w:tcW w:w="1900" w:type="dxa"/>
            <w:vAlign w:val="bottom"/>
            <w:tcBorders>
              <w:left w:val="single" w:sz="8" w:color="auto"/>
              <w:bottom w:val="single" w:sz="8" w:color="auto"/>
              <w:right w:val="single" w:sz="8" w:color="auto"/>
            </w:tcBorders>
          </w:tcPr>
          <w:p>
            <w:pPr>
              <w:spacing w:after="0"/>
              <w:rPr>
                <w:sz w:val="9"/>
                <w:szCs w:val="9"/>
                <w:color w:val="auto"/>
              </w:rPr>
            </w:pPr>
          </w:p>
        </w:tc>
        <w:tc>
          <w:tcPr>
            <w:tcW w:w="1160" w:type="dxa"/>
            <w:vAlign w:val="bottom"/>
            <w:tcBorders>
              <w:bottom w:val="single" w:sz="8" w:color="auto"/>
            </w:tcBorders>
          </w:tcPr>
          <w:p>
            <w:pPr>
              <w:spacing w:after="0"/>
              <w:rPr>
                <w:sz w:val="9"/>
                <w:szCs w:val="9"/>
                <w:color w:val="auto"/>
              </w:rPr>
            </w:pPr>
          </w:p>
        </w:tc>
        <w:tc>
          <w:tcPr>
            <w:tcW w:w="580" w:type="dxa"/>
            <w:vAlign w:val="bottom"/>
            <w:tcBorders>
              <w:bottom w:val="single" w:sz="8" w:color="auto"/>
            </w:tcBorders>
          </w:tcPr>
          <w:p>
            <w:pPr>
              <w:spacing w:after="0"/>
              <w:rPr>
                <w:sz w:val="9"/>
                <w:szCs w:val="9"/>
                <w:color w:val="auto"/>
              </w:rPr>
            </w:pPr>
          </w:p>
        </w:tc>
        <w:tc>
          <w:tcPr>
            <w:tcW w:w="520" w:type="dxa"/>
            <w:vAlign w:val="bottom"/>
            <w:tcBorders>
              <w:bottom w:val="single" w:sz="8" w:color="auto"/>
            </w:tcBorders>
          </w:tcPr>
          <w:p>
            <w:pPr>
              <w:spacing w:after="0"/>
              <w:rPr>
                <w:sz w:val="9"/>
                <w:szCs w:val="9"/>
                <w:color w:val="auto"/>
              </w:rPr>
            </w:pPr>
          </w:p>
        </w:tc>
        <w:tc>
          <w:tcPr>
            <w:tcW w:w="280" w:type="dxa"/>
            <w:vAlign w:val="bottom"/>
            <w:tcBorders>
              <w:bottom w:val="single" w:sz="8" w:color="auto"/>
            </w:tcBorders>
          </w:tcPr>
          <w:p>
            <w:pPr>
              <w:spacing w:after="0"/>
              <w:rPr>
                <w:sz w:val="9"/>
                <w:szCs w:val="9"/>
                <w:color w:val="auto"/>
              </w:rPr>
            </w:pPr>
          </w:p>
        </w:tc>
        <w:tc>
          <w:tcPr>
            <w:tcW w:w="820" w:type="dxa"/>
            <w:vAlign w:val="bottom"/>
            <w:tcBorders>
              <w:bottom w:val="single" w:sz="8" w:color="auto"/>
            </w:tcBorders>
          </w:tcPr>
          <w:p>
            <w:pPr>
              <w:spacing w:after="0"/>
              <w:rPr>
                <w:sz w:val="9"/>
                <w:szCs w:val="9"/>
                <w:color w:val="auto"/>
              </w:rPr>
            </w:pPr>
          </w:p>
        </w:tc>
        <w:tc>
          <w:tcPr>
            <w:tcW w:w="380" w:type="dxa"/>
            <w:vAlign w:val="bottom"/>
            <w:tcBorders>
              <w:bottom w:val="single" w:sz="8" w:color="auto"/>
            </w:tcBorders>
          </w:tcPr>
          <w:p>
            <w:pPr>
              <w:spacing w:after="0"/>
              <w:rPr>
                <w:sz w:val="9"/>
                <w:szCs w:val="9"/>
                <w:color w:val="auto"/>
              </w:rPr>
            </w:pPr>
          </w:p>
        </w:tc>
        <w:tc>
          <w:tcPr>
            <w:tcW w:w="540" w:type="dxa"/>
            <w:vAlign w:val="bottom"/>
            <w:tcBorders>
              <w:bottom w:val="single" w:sz="8" w:color="auto"/>
              <w:right w:val="single" w:sz="8" w:color="auto"/>
            </w:tcBorders>
          </w:tcPr>
          <w:p>
            <w:pPr>
              <w:spacing w:after="0"/>
              <w:rPr>
                <w:sz w:val="9"/>
                <w:szCs w:val="9"/>
                <w:color w:val="auto"/>
              </w:rPr>
            </w:pPr>
          </w:p>
        </w:tc>
        <w:tc>
          <w:tcPr>
            <w:tcW w:w="2280" w:type="dxa"/>
            <w:vAlign w:val="bottom"/>
            <w:tcBorders>
              <w:bottom w:val="single" w:sz="8" w:color="auto"/>
              <w:right w:val="single" w:sz="8" w:color="auto"/>
            </w:tcBorders>
          </w:tcPr>
          <w:p>
            <w:pPr>
              <w:spacing w:after="0"/>
              <w:rPr>
                <w:sz w:val="9"/>
                <w:szCs w:val="9"/>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 xml:space="preserve">Таблица </w:t>
      </w:r>
      <w:r>
        <w:rPr>
          <w:rFonts w:ascii="Arial" w:cs="Arial" w:eastAsia="Arial" w:hAnsi="Arial"/>
          <w:sz w:val="27"/>
          <w:szCs w:val="27"/>
          <w:b w:val="1"/>
          <w:bCs w:val="1"/>
          <w:color w:val="auto"/>
        </w:rPr>
        <w:t>2/</w:t>
      </w:r>
      <w:r>
        <w:rPr>
          <w:rFonts w:ascii="Arial" w:cs="Arial" w:eastAsia="Arial" w:hAnsi="Arial"/>
          <w:sz w:val="27"/>
          <w:szCs w:val="27"/>
          <w:b w:val="1"/>
          <w:bCs w:val="1"/>
          <w:color w:val="auto"/>
        </w:rPr>
        <w:t>А</w:t>
      </w:r>
      <w:r>
        <w:rPr>
          <w:rFonts w:ascii="Arial" w:cs="Arial" w:eastAsia="Arial" w:hAnsi="Arial"/>
          <w:sz w:val="27"/>
          <w:szCs w:val="27"/>
          <w:b w:val="1"/>
          <w:bCs w:val="1"/>
          <w:color w:val="auto"/>
        </w:rPr>
        <w:t>2 —</w:t>
      </w:r>
      <w:r>
        <w:rPr>
          <w:rFonts w:ascii="Arial" w:cs="Arial" w:eastAsia="Arial" w:hAnsi="Arial"/>
          <w:sz w:val="27"/>
          <w:szCs w:val="27"/>
          <w:b w:val="1"/>
          <w:bCs w:val="1"/>
          <w:color w:val="auto"/>
        </w:rPr>
        <w:t xml:space="preserve"> Шкала оценки уровней достоверности доказательств Европейского общества кардиологов </w:t>
      </w:r>
      <w:r>
        <w:rPr>
          <w:rFonts w:ascii="Arial" w:cs="Arial" w:eastAsia="Arial" w:hAnsi="Arial"/>
          <w:sz w:val="27"/>
          <w:szCs w:val="27"/>
          <w:b w:val="1"/>
          <w:bCs w:val="1"/>
          <w:color w:val="auto"/>
        </w:rPr>
        <w:t>(</w:t>
      </w:r>
      <w:r>
        <w:rPr>
          <w:rFonts w:ascii="Arial" w:cs="Arial" w:eastAsia="Arial" w:hAnsi="Arial"/>
          <w:sz w:val="27"/>
          <w:szCs w:val="27"/>
          <w:b w:val="1"/>
          <w:bCs w:val="1"/>
          <w:color w:val="auto"/>
        </w:rPr>
        <w:t>ЕОК</w:t>
      </w:r>
      <w:r>
        <w:rPr>
          <w:rFonts w:ascii="Arial" w:cs="Arial" w:eastAsia="Arial" w:hAnsi="Arial"/>
          <w:sz w:val="27"/>
          <w:szCs w:val="27"/>
          <w:b w:val="1"/>
          <w:b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520065</wp:posOffset>
            </wp:positionV>
            <wp:extent cx="5365115" cy="1543685"/>
            <wp:wrapNone/>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15">
                      <a:extLst>
                        <a:ext uri="{28A0092B-C50C-407E-A947-70E740481C1C}"/>
                      </a:extLst>
                    </a:blip>
                    <a:srcRect/>
                    <a:stretch>
                      <a:fillRect/>
                    </a:stretch>
                  </pic:blipFill>
                  <pic:spPr bwMode="auto">
                    <a:xfrm>
                      <a:off x="0" y="0"/>
                      <a:ext cx="5365115" cy="154368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43" w:lineRule="exact"/>
        <w:rPr>
          <w:sz w:val="20"/>
          <w:szCs w:val="20"/>
          <w:color w:val="auto"/>
        </w:rPr>
      </w:pPr>
    </w:p>
    <w:p>
      <w:pPr>
        <w:ind w:left="1880"/>
        <w:spacing w:after="0"/>
        <w:rPr>
          <w:sz w:val="20"/>
          <w:szCs w:val="20"/>
          <w:color w:val="auto"/>
        </w:rPr>
      </w:pPr>
      <w:r>
        <w:rPr>
          <w:rFonts w:ascii="Verdana" w:cs="Verdana" w:eastAsia="Verdana" w:hAnsi="Verdana"/>
          <w:sz w:val="17"/>
          <w:szCs w:val="17"/>
          <w:color w:val="auto"/>
        </w:rPr>
        <w:t>Уровни достоверности доказательств ЕОК</w:t>
      </w:r>
    </w:p>
    <w:p>
      <w:pPr>
        <w:spacing w:after="0" w:line="274" w:lineRule="exact"/>
        <w:rPr>
          <w:sz w:val="20"/>
          <w:szCs w:val="20"/>
          <w:color w:val="auto"/>
        </w:rPr>
      </w:pPr>
    </w:p>
    <w:p>
      <w:pPr>
        <w:ind w:left="1840" w:right="380" w:hanging="1314"/>
        <w:spacing w:after="0" w:line="223" w:lineRule="auto"/>
        <w:tabs>
          <w:tab w:leader="none" w:pos="1840" w:val="left"/>
        </w:tabs>
        <w:numPr>
          <w:ilvl w:val="0"/>
          <w:numId w:val="92"/>
        </w:numPr>
        <w:rPr>
          <w:rFonts w:ascii="Verdana" w:cs="Verdana" w:eastAsia="Verdana" w:hAnsi="Verdana"/>
          <w:sz w:val="17"/>
          <w:szCs w:val="17"/>
          <w:color w:val="auto"/>
        </w:rPr>
      </w:pPr>
      <w:r>
        <w:rPr>
          <w:rFonts w:ascii="Verdana" w:cs="Verdana" w:eastAsia="Verdana" w:hAnsi="Verdana"/>
          <w:sz w:val="17"/>
          <w:szCs w:val="17"/>
          <w:color w:val="auto"/>
        </w:rPr>
        <w:t>Данные многочисленных рандомизированных клинических исследований или метаанализов</w:t>
      </w:r>
      <w:r>
        <w:rPr>
          <w:rFonts w:ascii="Verdana" w:cs="Verdana" w:eastAsia="Verdana" w:hAnsi="Verdana"/>
          <w:sz w:val="17"/>
          <w:szCs w:val="17"/>
          <w:color w:val="auto"/>
        </w:rPr>
        <w:t>.</w:t>
      </w:r>
    </w:p>
    <w:p>
      <w:pPr>
        <w:spacing w:after="0" w:line="261" w:lineRule="exact"/>
        <w:rPr>
          <w:sz w:val="20"/>
          <w:szCs w:val="20"/>
          <w:color w:val="auto"/>
        </w:rPr>
      </w:pPr>
    </w:p>
    <w:p>
      <w:pPr>
        <w:ind w:left="1840" w:right="380" w:hanging="1314"/>
        <w:spacing w:after="0" w:line="266" w:lineRule="auto"/>
        <w:tabs>
          <w:tab w:leader="none" w:pos="1840" w:val="left"/>
        </w:tabs>
        <w:numPr>
          <w:ilvl w:val="0"/>
          <w:numId w:val="93"/>
        </w:numPr>
        <w:rPr>
          <w:rFonts w:ascii="Verdana" w:cs="Verdana" w:eastAsia="Verdana" w:hAnsi="Verdana"/>
          <w:sz w:val="15"/>
          <w:szCs w:val="15"/>
          <w:color w:val="auto"/>
        </w:rPr>
      </w:pPr>
      <w:r>
        <w:rPr>
          <w:rFonts w:ascii="Verdana" w:cs="Verdana" w:eastAsia="Verdana" w:hAnsi="Verdana"/>
          <w:sz w:val="15"/>
          <w:szCs w:val="15"/>
          <w:color w:val="auto"/>
        </w:rPr>
        <w:t>Данные получены по результатам одного рандомизированного клинического исследования или крупных нерандомизированных исследований</w:t>
      </w:r>
      <w:r>
        <w:rPr>
          <w:rFonts w:ascii="Verdana" w:cs="Verdana" w:eastAsia="Verdana" w:hAnsi="Verdana"/>
          <w:sz w:val="15"/>
          <w:szCs w:val="15"/>
          <w:color w:val="auto"/>
        </w:rPr>
        <w:t>.</w:t>
      </w:r>
    </w:p>
    <w:p>
      <w:pPr>
        <w:spacing w:after="0" w:line="241" w:lineRule="exact"/>
        <w:rPr>
          <w:sz w:val="20"/>
          <w:szCs w:val="20"/>
          <w:color w:val="auto"/>
        </w:rPr>
      </w:pPr>
    </w:p>
    <w:p>
      <w:pPr>
        <w:ind w:left="1940" w:right="380" w:hanging="1414"/>
        <w:spacing w:after="0" w:line="223" w:lineRule="auto"/>
        <w:tabs>
          <w:tab w:leader="none" w:pos="2092" w:val="left"/>
        </w:tabs>
        <w:numPr>
          <w:ilvl w:val="0"/>
          <w:numId w:val="94"/>
        </w:numPr>
        <w:rPr>
          <w:rFonts w:ascii="Verdana" w:cs="Verdana" w:eastAsia="Verdana" w:hAnsi="Verdana"/>
          <w:sz w:val="17"/>
          <w:szCs w:val="17"/>
          <w:color w:val="auto"/>
        </w:rPr>
      </w:pPr>
      <w:r>
        <w:rPr>
          <w:rFonts w:ascii="Verdana" w:cs="Verdana" w:eastAsia="Verdana" w:hAnsi="Verdana"/>
          <w:sz w:val="17"/>
          <w:szCs w:val="17"/>
          <w:color w:val="auto"/>
        </w:rPr>
        <w:t>Согласованное мнение экспертов и</w:t>
      </w:r>
      <w:r>
        <w:rPr>
          <w:rFonts w:ascii="Verdana" w:cs="Verdana" w:eastAsia="Verdana" w:hAnsi="Verdana"/>
          <w:sz w:val="17"/>
          <w:szCs w:val="17"/>
          <w:color w:val="auto"/>
        </w:rPr>
        <w:t>/</w:t>
      </w:r>
      <w:r>
        <w:rPr>
          <w:rFonts w:ascii="Verdana" w:cs="Verdana" w:eastAsia="Verdana" w:hAnsi="Verdana"/>
          <w:sz w:val="17"/>
          <w:szCs w:val="17"/>
          <w:color w:val="auto"/>
        </w:rPr>
        <w:t>или результаты небольших исследований</w:t>
      </w:r>
      <w:r>
        <w:rPr>
          <w:rFonts w:ascii="Verdana" w:cs="Verdana" w:eastAsia="Verdana" w:hAnsi="Verdana"/>
          <w:sz w:val="17"/>
          <w:szCs w:val="17"/>
          <w:color w:val="auto"/>
        </w:rPr>
        <w:t>,</w:t>
      </w:r>
      <w:r>
        <w:rPr>
          <w:rFonts w:ascii="Verdana" w:cs="Verdana" w:eastAsia="Verdana" w:hAnsi="Verdana"/>
          <w:sz w:val="17"/>
          <w:szCs w:val="17"/>
          <w:color w:val="auto"/>
        </w:rPr>
        <w:t xml:space="preserve"> ретроспективных исследований</w:t>
      </w:r>
      <w:r>
        <w:rPr>
          <w:rFonts w:ascii="Verdana" w:cs="Verdana" w:eastAsia="Verdana" w:hAnsi="Verdana"/>
          <w:sz w:val="17"/>
          <w:szCs w:val="17"/>
          <w:color w:val="auto"/>
        </w:rPr>
        <w:t>,</w:t>
      </w:r>
      <w:r>
        <w:rPr>
          <w:rFonts w:ascii="Verdana" w:cs="Verdana" w:eastAsia="Verdana" w:hAnsi="Verdana"/>
          <w:sz w:val="17"/>
          <w:szCs w:val="17"/>
          <w:color w:val="auto"/>
        </w:rPr>
        <w:t xml:space="preserve"> регистров</w:t>
      </w:r>
      <w:r>
        <w:rPr>
          <w:rFonts w:ascii="Verdana" w:cs="Verdana" w:eastAsia="Verdana" w:hAnsi="Verdana"/>
          <w:sz w:val="17"/>
          <w:szCs w:val="17"/>
          <w:color w:val="auto"/>
        </w:rPr>
        <w:t>.</w:t>
      </w:r>
    </w:p>
    <w:p>
      <w:pPr>
        <w:sectPr>
          <w:pgSz w:w="11900" w:h="16840" w:orient="portrait"/>
          <w:cols w:equalWidth="0" w:num="1">
            <w:col w:w="9020"/>
          </w:cols>
          <w:pgMar w:left="1440" w:top="19" w:right="1440" w:bottom="0" w:gutter="0" w:footer="0" w:header="0"/>
        </w:sect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3" w:lineRule="exact"/>
        <w:rPr>
          <w:sz w:val="20"/>
          <w:szCs w:val="20"/>
          <w:color w:val="auto"/>
        </w:rPr>
      </w:pPr>
    </w:p>
    <w:p>
      <w:pPr>
        <w:ind w:left="360" w:right="220"/>
        <w:spacing w:after="0" w:line="301" w:lineRule="auto"/>
        <w:rPr>
          <w:sz w:val="20"/>
          <w:szCs w:val="20"/>
          <w:color w:val="auto"/>
        </w:rPr>
      </w:pPr>
      <w:r>
        <w:rPr>
          <w:rFonts w:ascii="Arial" w:cs="Arial" w:eastAsia="Arial" w:hAnsi="Arial"/>
          <w:sz w:val="27"/>
          <w:szCs w:val="27"/>
          <w:b w:val="1"/>
          <w:bCs w:val="1"/>
          <w:color w:val="auto"/>
        </w:rPr>
        <w:t xml:space="preserve">Таблица </w:t>
      </w:r>
      <w:r>
        <w:rPr>
          <w:rFonts w:ascii="Arial" w:cs="Arial" w:eastAsia="Arial" w:hAnsi="Arial"/>
          <w:sz w:val="27"/>
          <w:szCs w:val="27"/>
          <w:b w:val="1"/>
          <w:bCs w:val="1"/>
          <w:color w:val="auto"/>
        </w:rPr>
        <w:t>3/</w:t>
      </w:r>
      <w:r>
        <w:rPr>
          <w:rFonts w:ascii="Arial" w:cs="Arial" w:eastAsia="Arial" w:hAnsi="Arial"/>
          <w:sz w:val="27"/>
          <w:szCs w:val="27"/>
          <w:b w:val="1"/>
          <w:bCs w:val="1"/>
          <w:color w:val="auto"/>
        </w:rPr>
        <w:t>А</w:t>
      </w:r>
      <w:r>
        <w:rPr>
          <w:rFonts w:ascii="Arial" w:cs="Arial" w:eastAsia="Arial" w:hAnsi="Arial"/>
          <w:sz w:val="27"/>
          <w:szCs w:val="27"/>
          <w:b w:val="1"/>
          <w:bCs w:val="1"/>
          <w:color w:val="auto"/>
        </w:rPr>
        <w:t>2 —</w:t>
      </w:r>
      <w:r>
        <w:rPr>
          <w:rFonts w:ascii="Arial" w:cs="Arial" w:eastAsia="Arial" w:hAnsi="Arial"/>
          <w:sz w:val="27"/>
          <w:szCs w:val="27"/>
          <w:b w:val="1"/>
          <w:bCs w:val="1"/>
          <w:color w:val="auto"/>
        </w:rPr>
        <w:t xml:space="preserve"> Шкала оценки уровней достоверности доказательств </w:t>
      </w:r>
      <w:r>
        <w:rPr>
          <w:rFonts w:ascii="Arial" w:cs="Arial" w:eastAsia="Arial" w:hAnsi="Arial"/>
          <w:sz w:val="27"/>
          <w:szCs w:val="27"/>
          <w:b w:val="1"/>
          <w:bCs w:val="1"/>
          <w:color w:val="auto"/>
        </w:rPr>
        <w:t>(</w:t>
      </w:r>
      <w:r>
        <w:rPr>
          <w:rFonts w:ascii="Arial" w:cs="Arial" w:eastAsia="Arial" w:hAnsi="Arial"/>
          <w:sz w:val="27"/>
          <w:szCs w:val="27"/>
          <w:b w:val="1"/>
          <w:bCs w:val="1"/>
          <w:color w:val="auto"/>
        </w:rPr>
        <w:t>УДД</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для методов профилактики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лечения и</w:t>
      </w:r>
    </w:p>
    <w:p>
      <w:pPr>
        <w:spacing w:after="0" w:line="2" w:lineRule="exact"/>
        <w:rPr>
          <w:sz w:val="20"/>
          <w:szCs w:val="20"/>
          <w:color w:val="auto"/>
        </w:rPr>
      </w:pPr>
    </w:p>
    <w:p>
      <w:pPr>
        <w:ind w:left="360"/>
        <w:spacing w:after="0"/>
        <w:tabs>
          <w:tab w:leader="none" w:pos="3440" w:val="left"/>
          <w:tab w:leader="none" w:pos="7380" w:val="left"/>
        </w:tabs>
        <w:rPr>
          <w:sz w:val="20"/>
          <w:szCs w:val="20"/>
          <w:color w:val="auto"/>
        </w:rPr>
      </w:pPr>
      <w:r>
        <w:rPr>
          <w:rFonts w:ascii="Arial" w:cs="Arial" w:eastAsia="Arial" w:hAnsi="Arial"/>
          <w:sz w:val="27"/>
          <w:szCs w:val="27"/>
          <w:b w:val="1"/>
          <w:bCs w:val="1"/>
          <w:color w:val="auto"/>
        </w:rPr>
        <w:t>реабилитации</w:t>
      </w:r>
      <w:r>
        <w:rPr>
          <w:sz w:val="20"/>
          <w:szCs w:val="20"/>
          <w:color w:val="auto"/>
        </w:rPr>
        <w:tab/>
      </w:r>
      <w:r>
        <w:rPr>
          <w:rFonts w:ascii="Arial" w:cs="Arial" w:eastAsia="Arial" w:hAnsi="Arial"/>
          <w:sz w:val="27"/>
          <w:szCs w:val="27"/>
          <w:b w:val="1"/>
          <w:bCs w:val="1"/>
          <w:color w:val="auto"/>
        </w:rPr>
        <w:t>(</w:t>
      </w:r>
      <w:r>
        <w:rPr>
          <w:rFonts w:ascii="Arial" w:cs="Arial" w:eastAsia="Arial" w:hAnsi="Arial"/>
          <w:sz w:val="27"/>
          <w:szCs w:val="27"/>
          <w:b w:val="1"/>
          <w:bCs w:val="1"/>
          <w:color w:val="auto"/>
        </w:rPr>
        <w:t>профилактических</w:t>
      </w:r>
      <w:r>
        <w:rPr>
          <w:rFonts w:ascii="Arial" w:cs="Arial" w:eastAsia="Arial" w:hAnsi="Arial"/>
          <w:sz w:val="27"/>
          <w:szCs w:val="27"/>
          <w:b w:val="1"/>
          <w:bCs w:val="1"/>
          <w:color w:val="auto"/>
        </w:rPr>
        <w:t>,</w:t>
      </w:r>
      <w:r>
        <w:rPr>
          <w:sz w:val="20"/>
          <w:szCs w:val="20"/>
          <w:color w:val="auto"/>
        </w:rPr>
        <w:tab/>
      </w:r>
      <w:r>
        <w:rPr>
          <w:rFonts w:ascii="Arial" w:cs="Arial" w:eastAsia="Arial" w:hAnsi="Arial"/>
          <w:sz w:val="26"/>
          <w:szCs w:val="26"/>
          <w:b w:val="1"/>
          <w:bCs w:val="1"/>
          <w:color w:val="auto"/>
        </w:rPr>
        <w:t>лечебных</w:t>
      </w:r>
      <w:r>
        <w:rPr>
          <w:rFonts w:ascii="Arial" w:cs="Arial" w:eastAsia="Arial" w:hAnsi="Arial"/>
          <w:sz w:val="26"/>
          <w:szCs w:val="26"/>
          <w:b w:val="1"/>
          <w:bCs w:val="1"/>
          <w:color w:val="auto"/>
        </w:rPr>
        <w:t>,</w:t>
      </w:r>
    </w:p>
    <w:p>
      <w:pPr>
        <w:sectPr>
          <w:pgSz w:w="11900" w:h="16840" w:orient="portrait"/>
          <w:cols w:equalWidth="0" w:num="1">
            <w:col w:w="9020"/>
          </w:cols>
          <w:pgMar w:left="1440" w:top="19" w:right="1440" w:bottom="0" w:gutter="0" w:footer="0" w:header="0"/>
          <w:type w:val="continuous"/>
        </w:sectPr>
      </w:pPr>
    </w:p>
    <w:bookmarkStart w:id="120" w:name="page121"/>
    <w:bookmarkEnd w:id="120"/>
    <w:p>
      <w:pPr>
        <w:ind w:left="360"/>
        <w:spacing w:after="0"/>
        <w:rPr>
          <w:sz w:val="20"/>
          <w:szCs w:val="20"/>
          <w:color w:val="auto"/>
        </w:rPr>
      </w:pPr>
      <w:r>
        <w:rPr>
          <w:rFonts w:ascii="Arial" w:cs="Arial" w:eastAsia="Arial" w:hAnsi="Arial"/>
          <w:sz w:val="27"/>
          <w:szCs w:val="27"/>
          <w:b w:val="1"/>
          <w:bCs w:val="1"/>
          <w:color w:val="auto"/>
        </w:rPr>
        <w:t>реабилитационных вмешательств</w:t>
      </w:r>
      <w:r>
        <w:rPr>
          <w:rFonts w:ascii="Arial" w:cs="Arial" w:eastAsia="Arial" w:hAnsi="Arial"/>
          <w:sz w:val="27"/>
          <w:szCs w:val="27"/>
          <w:b w:val="1"/>
          <w:b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209550</wp:posOffset>
            </wp:positionV>
            <wp:extent cx="5365115" cy="3096895"/>
            <wp:wrapNone/>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16">
                      <a:extLst>
                        <a:ext uri="{28A0092B-C50C-407E-A947-70E740481C1C}"/>
                      </a:extLst>
                    </a:blip>
                    <a:srcRect/>
                    <a:stretch>
                      <a:fillRect/>
                    </a:stretch>
                  </pic:blipFill>
                  <pic:spPr bwMode="auto">
                    <a:xfrm>
                      <a:off x="0" y="0"/>
                      <a:ext cx="5365115" cy="3096895"/>
                    </a:xfrm>
                    <a:prstGeom prst="rect">
                      <a:avLst/>
                    </a:prstGeom>
                    <a:noFill/>
                  </pic:spPr>
                </pic:pic>
              </a:graphicData>
            </a:graphic>
          </wp:anchor>
        </w:drawing>
      </w:r>
    </w:p>
    <w:p>
      <w:pPr>
        <w:spacing w:after="0" w:line="200" w:lineRule="exact"/>
        <w:rPr>
          <w:sz w:val="20"/>
          <w:szCs w:val="20"/>
          <w:color w:val="auto"/>
        </w:rPr>
      </w:pPr>
    </w:p>
    <w:p>
      <w:pPr>
        <w:spacing w:after="0" w:line="21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Уровни достоверности доказательств (УДД)</w:t>
      </w:r>
    </w:p>
    <w:p>
      <w:pPr>
        <w:jc w:val="both"/>
        <w:ind w:left="520" w:right="380"/>
        <w:spacing w:after="0" w:line="203" w:lineRule="auto"/>
        <w:rPr>
          <w:sz w:val="20"/>
          <w:szCs w:val="20"/>
          <w:color w:val="auto"/>
        </w:rPr>
      </w:pPr>
      <w:r>
        <w:rPr>
          <w:rFonts w:ascii="Verdana" w:cs="Verdana" w:eastAsia="Verdana" w:hAnsi="Verdana"/>
          <w:sz w:val="17"/>
          <w:szCs w:val="17"/>
          <w:color w:val="auto"/>
        </w:rPr>
        <w:t>Приказ Министерства здравоохранения Российской Федерации от 28.02.2019 №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научнойобоснованности включаемой в клинические рекомендации информации» (Зарегистрирован 08.05.2019 № 54588)</w:t>
      </w:r>
    </w:p>
    <w:p>
      <w:pPr>
        <w:spacing w:after="0" w:line="261" w:lineRule="exact"/>
        <w:rPr>
          <w:sz w:val="20"/>
          <w:szCs w:val="20"/>
          <w:color w:val="auto"/>
        </w:rPr>
      </w:pPr>
    </w:p>
    <w:p>
      <w:pPr>
        <w:ind w:left="1940" w:right="380" w:hanging="1414"/>
        <w:spacing w:after="0" w:line="223" w:lineRule="auto"/>
        <w:tabs>
          <w:tab w:leader="none" w:pos="1940" w:val="left"/>
        </w:tabs>
        <w:numPr>
          <w:ilvl w:val="0"/>
          <w:numId w:val="95"/>
        </w:numPr>
        <w:rPr>
          <w:rFonts w:ascii="Verdana" w:cs="Verdana" w:eastAsia="Verdana" w:hAnsi="Verdana"/>
          <w:sz w:val="17"/>
          <w:szCs w:val="17"/>
          <w:color w:val="auto"/>
        </w:rPr>
      </w:pPr>
      <w:r>
        <w:rPr>
          <w:rFonts w:ascii="Verdana" w:cs="Verdana" w:eastAsia="Verdana" w:hAnsi="Verdana"/>
          <w:sz w:val="17"/>
          <w:szCs w:val="17"/>
          <w:color w:val="auto"/>
        </w:rPr>
        <w:t>Систематический обзор рандомизированных клинических исследований с применением метаанализа</w:t>
      </w:r>
    </w:p>
    <w:p>
      <w:pPr>
        <w:spacing w:after="0" w:line="261" w:lineRule="exact"/>
        <w:rPr>
          <w:sz w:val="20"/>
          <w:szCs w:val="20"/>
          <w:color w:val="auto"/>
        </w:rPr>
      </w:pPr>
    </w:p>
    <w:p>
      <w:pPr>
        <w:jc w:val="both"/>
        <w:ind w:left="1940" w:right="380" w:hanging="1419"/>
        <w:spacing w:after="0" w:line="207" w:lineRule="auto"/>
        <w:tabs>
          <w:tab w:leader="none" w:pos="1920" w:val="left"/>
        </w:tabs>
        <w:rPr>
          <w:sz w:val="20"/>
          <w:szCs w:val="20"/>
          <w:color w:val="auto"/>
        </w:rPr>
      </w:pPr>
      <w:r>
        <w:rPr>
          <w:rFonts w:ascii="Verdana" w:cs="Verdana" w:eastAsia="Verdana" w:hAnsi="Verdana"/>
          <w:sz w:val="17"/>
          <w:szCs w:val="17"/>
          <w:color w:val="auto"/>
        </w:rPr>
        <w:t>2</w:t>
      </w:r>
      <w:r>
        <w:rPr>
          <w:sz w:val="20"/>
          <w:szCs w:val="20"/>
          <w:color w:val="auto"/>
        </w:rPr>
        <w:tab/>
      </w:r>
      <w:r>
        <w:rPr>
          <w:rFonts w:ascii="Verdana" w:cs="Verdana" w:eastAsia="Verdana" w:hAnsi="Verdana"/>
          <w:sz w:val="17"/>
          <w:szCs w:val="17"/>
          <w:color w:val="auto"/>
        </w:rPr>
        <w:t>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p>
      <w:pPr>
        <w:spacing w:after="0" w:line="263" w:lineRule="exact"/>
        <w:rPr>
          <w:sz w:val="20"/>
          <w:szCs w:val="20"/>
          <w:color w:val="auto"/>
        </w:rPr>
      </w:pPr>
    </w:p>
    <w:p>
      <w:pPr>
        <w:ind w:left="1940" w:right="380" w:hanging="1414"/>
        <w:spacing w:after="0" w:line="223" w:lineRule="auto"/>
        <w:tabs>
          <w:tab w:leader="none" w:pos="1940" w:val="left"/>
        </w:tabs>
        <w:numPr>
          <w:ilvl w:val="0"/>
          <w:numId w:val="96"/>
        </w:numPr>
        <w:rPr>
          <w:rFonts w:ascii="Verdana" w:cs="Verdana" w:eastAsia="Verdana" w:hAnsi="Verdana"/>
          <w:sz w:val="17"/>
          <w:szCs w:val="17"/>
          <w:color w:val="auto"/>
        </w:rPr>
      </w:pPr>
      <w:r>
        <w:rPr>
          <w:rFonts w:ascii="Verdana" w:cs="Verdana" w:eastAsia="Verdana" w:hAnsi="Verdana"/>
          <w:sz w:val="17"/>
          <w:szCs w:val="17"/>
          <w:color w:val="auto"/>
        </w:rPr>
        <w:t>Нерандомизированные сравнительные исследования, в том числе когортные исследования</w:t>
      </w:r>
    </w:p>
    <w:p>
      <w:pPr>
        <w:spacing w:after="0" w:line="261" w:lineRule="exact"/>
        <w:rPr>
          <w:sz w:val="20"/>
          <w:szCs w:val="20"/>
          <w:color w:val="auto"/>
        </w:rPr>
      </w:pPr>
    </w:p>
    <w:p>
      <w:pPr>
        <w:ind w:left="1940" w:right="380" w:hanging="1414"/>
        <w:spacing w:after="0" w:line="223" w:lineRule="auto"/>
        <w:tabs>
          <w:tab w:leader="none" w:pos="1940" w:val="left"/>
        </w:tabs>
        <w:numPr>
          <w:ilvl w:val="0"/>
          <w:numId w:val="97"/>
        </w:numPr>
        <w:rPr>
          <w:rFonts w:ascii="Verdana" w:cs="Verdana" w:eastAsia="Verdana" w:hAnsi="Verdana"/>
          <w:sz w:val="17"/>
          <w:szCs w:val="17"/>
          <w:color w:val="auto"/>
        </w:rPr>
      </w:pPr>
      <w:r>
        <w:rPr>
          <w:rFonts w:ascii="Verdana" w:cs="Verdana" w:eastAsia="Verdana" w:hAnsi="Verdana"/>
          <w:sz w:val="17"/>
          <w:szCs w:val="17"/>
          <w:color w:val="auto"/>
        </w:rPr>
        <w:t>Несравнительные исследования, описание клинического случая или серии случаев, исследование «случай–контроль»</w:t>
      </w:r>
    </w:p>
    <w:p>
      <w:pPr>
        <w:spacing w:after="0" w:line="261" w:lineRule="exact"/>
        <w:rPr>
          <w:sz w:val="20"/>
          <w:szCs w:val="20"/>
          <w:color w:val="auto"/>
        </w:rPr>
      </w:pPr>
    </w:p>
    <w:p>
      <w:pPr>
        <w:ind w:left="1940" w:right="380" w:hanging="1414"/>
        <w:spacing w:after="0" w:line="223" w:lineRule="auto"/>
        <w:tabs>
          <w:tab w:leader="none" w:pos="1940" w:val="left"/>
        </w:tabs>
        <w:numPr>
          <w:ilvl w:val="0"/>
          <w:numId w:val="98"/>
        </w:numPr>
        <w:rPr>
          <w:rFonts w:ascii="Verdana" w:cs="Verdana" w:eastAsia="Verdana" w:hAnsi="Verdana"/>
          <w:sz w:val="17"/>
          <w:szCs w:val="17"/>
          <w:color w:val="auto"/>
        </w:rPr>
      </w:pPr>
      <w:r>
        <w:rPr>
          <w:rFonts w:ascii="Verdana" w:cs="Verdana" w:eastAsia="Verdana" w:hAnsi="Verdana"/>
          <w:sz w:val="17"/>
          <w:szCs w:val="17"/>
          <w:color w:val="auto"/>
        </w:rPr>
        <w:t>Имеется лишь обоснование механизма действия вмешательства (доклинические исследования) или мнение экспертов</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3" w:lineRule="exact"/>
        <w:rPr>
          <w:sz w:val="20"/>
          <w:szCs w:val="20"/>
          <w:color w:val="auto"/>
        </w:rPr>
      </w:pPr>
    </w:p>
    <w:p>
      <w:pPr>
        <w:ind w:left="360"/>
        <w:spacing w:after="0"/>
        <w:tabs>
          <w:tab w:leader="none" w:pos="1800" w:val="left"/>
          <w:tab w:leader="none" w:pos="2780" w:val="left"/>
          <w:tab w:leader="none" w:pos="4000" w:val="left"/>
          <w:tab w:leader="none" w:pos="5320" w:val="left"/>
          <w:tab w:leader="none" w:pos="6760" w:val="left"/>
        </w:tabs>
        <w:rPr>
          <w:sz w:val="20"/>
          <w:szCs w:val="20"/>
          <w:color w:val="auto"/>
        </w:rPr>
      </w:pPr>
      <w:r>
        <w:rPr>
          <w:rFonts w:ascii="Arial" w:cs="Arial" w:eastAsia="Arial" w:hAnsi="Arial"/>
          <w:sz w:val="27"/>
          <w:szCs w:val="27"/>
          <w:b w:val="1"/>
          <w:bCs w:val="1"/>
          <w:color w:val="auto"/>
        </w:rPr>
        <w:t>Таблица</w:t>
      </w:r>
      <w:r>
        <w:rPr>
          <w:sz w:val="20"/>
          <w:szCs w:val="20"/>
          <w:color w:val="auto"/>
        </w:rPr>
        <w:tab/>
      </w:r>
      <w:r>
        <w:rPr>
          <w:rFonts w:ascii="Arial" w:cs="Arial" w:eastAsia="Arial" w:hAnsi="Arial"/>
          <w:sz w:val="27"/>
          <w:szCs w:val="27"/>
          <w:b w:val="1"/>
          <w:bCs w:val="1"/>
          <w:color w:val="auto"/>
        </w:rPr>
        <w:t>4/</w:t>
      </w:r>
      <w:r>
        <w:rPr>
          <w:rFonts w:ascii="Arial" w:cs="Arial" w:eastAsia="Arial" w:hAnsi="Arial"/>
          <w:sz w:val="27"/>
          <w:szCs w:val="27"/>
          <w:b w:val="1"/>
          <w:bCs w:val="1"/>
          <w:color w:val="auto"/>
        </w:rPr>
        <w:t>А</w:t>
      </w:r>
      <w:r>
        <w:rPr>
          <w:rFonts w:ascii="Arial" w:cs="Arial" w:eastAsia="Arial" w:hAnsi="Arial"/>
          <w:sz w:val="27"/>
          <w:szCs w:val="27"/>
          <w:b w:val="1"/>
          <w:bCs w:val="1"/>
          <w:color w:val="auto"/>
        </w:rPr>
        <w:t>2.</w:t>
      </w:r>
      <w:r>
        <w:rPr>
          <w:sz w:val="20"/>
          <w:szCs w:val="20"/>
          <w:color w:val="auto"/>
        </w:rPr>
        <w:tab/>
      </w:r>
      <w:r>
        <w:rPr>
          <w:rFonts w:ascii="Arial" w:cs="Arial" w:eastAsia="Arial" w:hAnsi="Arial"/>
          <w:sz w:val="27"/>
          <w:szCs w:val="27"/>
          <w:b w:val="1"/>
          <w:bCs w:val="1"/>
          <w:color w:val="auto"/>
        </w:rPr>
        <w:t>Шкала</w:t>
        <w:tab/>
        <w:t>оценки</w:t>
        <w:tab/>
        <w:t>уровней</w:t>
      </w:r>
      <w:r>
        <w:rPr>
          <w:sz w:val="20"/>
          <w:szCs w:val="20"/>
          <w:color w:val="auto"/>
        </w:rPr>
        <w:tab/>
      </w:r>
      <w:r>
        <w:rPr>
          <w:rFonts w:ascii="Arial" w:cs="Arial" w:eastAsia="Arial" w:hAnsi="Arial"/>
          <w:sz w:val="26"/>
          <w:szCs w:val="26"/>
          <w:b w:val="1"/>
          <w:bCs w:val="1"/>
          <w:color w:val="auto"/>
        </w:rPr>
        <w:t>достоверности</w:t>
      </w:r>
    </w:p>
    <w:p>
      <w:pPr>
        <w:spacing w:after="0" w:line="80" w:lineRule="exact"/>
        <w:rPr>
          <w:sz w:val="20"/>
          <w:szCs w:val="20"/>
          <w:color w:val="auto"/>
        </w:rPr>
      </w:pPr>
    </w:p>
    <w:tbl>
      <w:tblPr>
        <w:tblLayout w:type="fixed"/>
        <w:tblInd w:w="370" w:type="dxa"/>
        <w:tblCellMar>
          <w:top w:w="0" w:type="dxa"/>
          <w:left w:w="0" w:type="dxa"/>
          <w:bottom w:w="0" w:type="dxa"/>
          <w:right w:w="0" w:type="dxa"/>
        </w:tblCellMar>
      </w:tblPr>
      <w:tr>
        <w:trPr>
          <w:trHeight w:val="357"/>
        </w:trPr>
        <w:tc>
          <w:tcPr>
            <w:tcW w:w="2280" w:type="dxa"/>
            <w:vAlign w:val="bottom"/>
            <w:gridSpan w:val="2"/>
          </w:tcPr>
          <w:p>
            <w:pPr>
              <w:spacing w:after="0"/>
              <w:rPr>
                <w:sz w:val="20"/>
                <w:szCs w:val="20"/>
                <w:color w:val="auto"/>
              </w:rPr>
            </w:pPr>
            <w:r>
              <w:rPr>
                <w:rFonts w:ascii="Arial" w:cs="Arial" w:eastAsia="Arial" w:hAnsi="Arial"/>
                <w:sz w:val="27"/>
                <w:szCs w:val="27"/>
                <w:b w:val="1"/>
                <w:bCs w:val="1"/>
                <w:color w:val="auto"/>
              </w:rPr>
              <w:t>доказательств</w:t>
            </w:r>
          </w:p>
        </w:tc>
        <w:tc>
          <w:tcPr>
            <w:tcW w:w="1440" w:type="dxa"/>
            <w:vAlign w:val="bottom"/>
          </w:tcPr>
          <w:p>
            <w:pPr>
              <w:ind w:left="240"/>
              <w:spacing w:after="0"/>
              <w:rPr>
                <w:sz w:val="20"/>
                <w:szCs w:val="20"/>
                <w:color w:val="auto"/>
              </w:rPr>
            </w:pPr>
            <w:r>
              <w:rPr>
                <w:rFonts w:ascii="Arial" w:cs="Arial" w:eastAsia="Arial" w:hAnsi="Arial"/>
                <w:sz w:val="27"/>
                <w:szCs w:val="27"/>
                <w:b w:val="1"/>
                <w:bCs w:val="1"/>
                <w:color w:val="auto"/>
              </w:rPr>
              <w:t>(</w:t>
            </w:r>
            <w:r>
              <w:rPr>
                <w:rFonts w:ascii="Arial" w:cs="Arial" w:eastAsia="Arial" w:hAnsi="Arial"/>
                <w:sz w:val="27"/>
                <w:szCs w:val="27"/>
                <w:b w:val="1"/>
                <w:bCs w:val="1"/>
                <w:color w:val="auto"/>
              </w:rPr>
              <w:t>УДД</w:t>
            </w:r>
            <w:r>
              <w:rPr>
                <w:rFonts w:ascii="Arial" w:cs="Arial" w:eastAsia="Arial" w:hAnsi="Arial"/>
                <w:sz w:val="27"/>
                <w:szCs w:val="27"/>
                <w:b w:val="1"/>
                <w:bCs w:val="1"/>
                <w:color w:val="auto"/>
              </w:rPr>
              <w:t>)</w:t>
            </w:r>
          </w:p>
        </w:tc>
        <w:tc>
          <w:tcPr>
            <w:tcW w:w="1060" w:type="dxa"/>
            <w:vAlign w:val="bottom"/>
          </w:tcPr>
          <w:p>
            <w:pPr>
              <w:ind w:left="160"/>
              <w:spacing w:after="0"/>
              <w:rPr>
                <w:sz w:val="20"/>
                <w:szCs w:val="20"/>
                <w:color w:val="auto"/>
              </w:rPr>
            </w:pPr>
            <w:r>
              <w:rPr>
                <w:rFonts w:ascii="Arial" w:cs="Arial" w:eastAsia="Arial" w:hAnsi="Arial"/>
                <w:sz w:val="27"/>
                <w:szCs w:val="27"/>
                <w:b w:val="1"/>
                <w:bCs w:val="1"/>
                <w:color w:val="auto"/>
              </w:rPr>
              <w:t>для</w:t>
            </w:r>
          </w:p>
        </w:tc>
        <w:tc>
          <w:tcPr>
            <w:tcW w:w="1780" w:type="dxa"/>
            <w:vAlign w:val="bottom"/>
          </w:tcPr>
          <w:p>
            <w:pPr>
              <w:ind w:left="180"/>
              <w:spacing w:after="0"/>
              <w:rPr>
                <w:sz w:val="20"/>
                <w:szCs w:val="20"/>
                <w:color w:val="auto"/>
              </w:rPr>
            </w:pPr>
            <w:r>
              <w:rPr>
                <w:rFonts w:ascii="Arial" w:cs="Arial" w:eastAsia="Arial" w:hAnsi="Arial"/>
                <w:sz w:val="27"/>
                <w:szCs w:val="27"/>
                <w:b w:val="1"/>
                <w:bCs w:val="1"/>
                <w:color w:val="auto"/>
              </w:rPr>
              <w:t>методов</w:t>
            </w:r>
          </w:p>
        </w:tc>
        <w:tc>
          <w:tcPr>
            <w:tcW w:w="1900" w:type="dxa"/>
            <w:vAlign w:val="bottom"/>
          </w:tcPr>
          <w:p>
            <w:pPr>
              <w:ind w:left="120"/>
              <w:spacing w:after="0"/>
              <w:rPr>
                <w:sz w:val="20"/>
                <w:szCs w:val="20"/>
                <w:color w:val="auto"/>
              </w:rPr>
            </w:pPr>
            <w:r>
              <w:rPr>
                <w:rFonts w:ascii="Arial" w:cs="Arial" w:eastAsia="Arial" w:hAnsi="Arial"/>
                <w:sz w:val="27"/>
                <w:szCs w:val="27"/>
                <w:b w:val="1"/>
                <w:bCs w:val="1"/>
                <w:color w:val="auto"/>
              </w:rPr>
              <w:t>диагностики</w:t>
            </w:r>
          </w:p>
        </w:tc>
      </w:tr>
      <w:tr>
        <w:trPr>
          <w:trHeight w:val="390"/>
        </w:trPr>
        <w:tc>
          <w:tcPr>
            <w:tcW w:w="4780" w:type="dxa"/>
            <w:vAlign w:val="bottom"/>
            <w:gridSpan w:val="4"/>
          </w:tcPr>
          <w:p>
            <w:pPr>
              <w:spacing w:after="0"/>
              <w:rPr>
                <w:sz w:val="20"/>
                <w:szCs w:val="20"/>
                <w:color w:val="auto"/>
              </w:rPr>
            </w:pPr>
            <w:r>
              <w:rPr>
                <w:rFonts w:ascii="Arial" w:cs="Arial" w:eastAsia="Arial" w:hAnsi="Arial"/>
                <w:sz w:val="27"/>
                <w:szCs w:val="27"/>
                <w:b w:val="1"/>
                <w:bCs w:val="1"/>
                <w:color w:val="auto"/>
              </w:rPr>
              <w:t>(</w:t>
            </w:r>
            <w:r>
              <w:rPr>
                <w:rFonts w:ascii="Arial" w:cs="Arial" w:eastAsia="Arial" w:hAnsi="Arial"/>
                <w:sz w:val="27"/>
                <w:szCs w:val="27"/>
                <w:b w:val="1"/>
                <w:bCs w:val="1"/>
                <w:color w:val="auto"/>
              </w:rPr>
              <w:t>диагностических вмешательств</w:t>
            </w:r>
            <w:r>
              <w:rPr>
                <w:rFonts w:ascii="Arial" w:cs="Arial" w:eastAsia="Arial" w:hAnsi="Arial"/>
                <w:sz w:val="27"/>
                <w:szCs w:val="27"/>
                <w:b w:val="1"/>
                <w:bCs w:val="1"/>
                <w:color w:val="auto"/>
              </w:rPr>
              <w:t>)</w:t>
            </w:r>
          </w:p>
        </w:tc>
        <w:tc>
          <w:tcPr>
            <w:tcW w:w="1780" w:type="dxa"/>
            <w:vAlign w:val="bottom"/>
          </w:tcPr>
          <w:p>
            <w:pPr>
              <w:spacing w:after="0"/>
              <w:rPr>
                <w:sz w:val="24"/>
                <w:szCs w:val="24"/>
                <w:color w:val="auto"/>
              </w:rPr>
            </w:pPr>
          </w:p>
        </w:tc>
        <w:tc>
          <w:tcPr>
            <w:tcW w:w="1900" w:type="dxa"/>
            <w:vAlign w:val="bottom"/>
          </w:tcPr>
          <w:p>
            <w:pPr>
              <w:spacing w:after="0"/>
              <w:rPr>
                <w:sz w:val="24"/>
                <w:szCs w:val="24"/>
                <w:color w:val="auto"/>
              </w:rPr>
            </w:pPr>
          </w:p>
        </w:tc>
      </w:tr>
      <w:tr>
        <w:trPr>
          <w:trHeight w:val="284"/>
        </w:trPr>
        <w:tc>
          <w:tcPr>
            <w:tcW w:w="700" w:type="dxa"/>
            <w:vAlign w:val="bottom"/>
            <w:tcBorders>
              <w:bottom w:val="single" w:sz="8" w:color="auto"/>
            </w:tcBorders>
          </w:tcPr>
          <w:p>
            <w:pPr>
              <w:spacing w:after="0"/>
              <w:rPr>
                <w:sz w:val="24"/>
                <w:szCs w:val="24"/>
                <w:color w:val="auto"/>
              </w:rPr>
            </w:pPr>
          </w:p>
        </w:tc>
        <w:tc>
          <w:tcPr>
            <w:tcW w:w="1580" w:type="dxa"/>
            <w:vAlign w:val="bottom"/>
            <w:tcBorders>
              <w:bottom w:val="single" w:sz="8" w:color="auto"/>
            </w:tcBorders>
          </w:tcPr>
          <w:p>
            <w:pPr>
              <w:spacing w:after="0"/>
              <w:rPr>
                <w:sz w:val="24"/>
                <w:szCs w:val="24"/>
                <w:color w:val="auto"/>
              </w:rPr>
            </w:pPr>
          </w:p>
        </w:tc>
        <w:tc>
          <w:tcPr>
            <w:tcW w:w="1440" w:type="dxa"/>
            <w:vAlign w:val="bottom"/>
            <w:tcBorders>
              <w:bottom w:val="single" w:sz="8" w:color="auto"/>
            </w:tcBorders>
          </w:tcPr>
          <w:p>
            <w:pPr>
              <w:spacing w:after="0"/>
              <w:rPr>
                <w:sz w:val="24"/>
                <w:szCs w:val="24"/>
                <w:color w:val="auto"/>
              </w:rPr>
            </w:pPr>
          </w:p>
        </w:tc>
        <w:tc>
          <w:tcPr>
            <w:tcW w:w="1060" w:type="dxa"/>
            <w:vAlign w:val="bottom"/>
            <w:tcBorders>
              <w:bottom w:val="single" w:sz="8" w:color="auto"/>
            </w:tcBorders>
          </w:tcPr>
          <w:p>
            <w:pPr>
              <w:spacing w:after="0"/>
              <w:rPr>
                <w:sz w:val="24"/>
                <w:szCs w:val="24"/>
                <w:color w:val="auto"/>
              </w:rPr>
            </w:pPr>
          </w:p>
        </w:tc>
        <w:tc>
          <w:tcPr>
            <w:tcW w:w="1780" w:type="dxa"/>
            <w:vAlign w:val="bottom"/>
            <w:tcBorders>
              <w:bottom w:val="single" w:sz="8" w:color="auto"/>
            </w:tcBorders>
          </w:tcPr>
          <w:p>
            <w:pPr>
              <w:spacing w:after="0"/>
              <w:rPr>
                <w:sz w:val="24"/>
                <w:szCs w:val="24"/>
                <w:color w:val="auto"/>
              </w:rPr>
            </w:pPr>
          </w:p>
        </w:tc>
        <w:tc>
          <w:tcPr>
            <w:tcW w:w="1900" w:type="dxa"/>
            <w:vAlign w:val="bottom"/>
            <w:tcBorders>
              <w:bottom w:val="single" w:sz="8" w:color="auto"/>
            </w:tcBorders>
          </w:tcPr>
          <w:p>
            <w:pPr>
              <w:spacing w:after="0"/>
              <w:rPr>
                <w:sz w:val="24"/>
                <w:szCs w:val="24"/>
                <w:color w:val="auto"/>
              </w:rPr>
            </w:pPr>
          </w:p>
        </w:tc>
      </w:tr>
      <w:tr>
        <w:trPr>
          <w:trHeight w:val="343"/>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УДД</w:t>
            </w:r>
          </w:p>
        </w:tc>
        <w:tc>
          <w:tcPr>
            <w:tcW w:w="1580" w:type="dxa"/>
            <w:vAlign w:val="bottom"/>
          </w:tcPr>
          <w:p>
            <w:pPr>
              <w:ind w:left="140"/>
              <w:spacing w:after="0"/>
              <w:rPr>
                <w:sz w:val="20"/>
                <w:szCs w:val="20"/>
                <w:color w:val="auto"/>
              </w:rPr>
            </w:pPr>
            <w:r>
              <w:rPr>
                <w:rFonts w:ascii="Verdana" w:cs="Verdana" w:eastAsia="Verdana" w:hAnsi="Verdana"/>
                <w:sz w:val="17"/>
                <w:szCs w:val="17"/>
                <w:color w:val="auto"/>
              </w:rPr>
              <w:t>Расшифровка</w:t>
            </w:r>
          </w:p>
        </w:tc>
        <w:tc>
          <w:tcPr>
            <w:tcW w:w="1440" w:type="dxa"/>
            <w:vAlign w:val="bottom"/>
          </w:tcPr>
          <w:p>
            <w:pPr>
              <w:spacing w:after="0"/>
              <w:rPr>
                <w:sz w:val="24"/>
                <w:szCs w:val="24"/>
                <w:color w:val="auto"/>
              </w:rPr>
            </w:pPr>
          </w:p>
        </w:tc>
        <w:tc>
          <w:tcPr>
            <w:tcW w:w="1060" w:type="dxa"/>
            <w:vAlign w:val="bottom"/>
          </w:tcPr>
          <w:p>
            <w:pPr>
              <w:spacing w:after="0"/>
              <w:rPr>
                <w:sz w:val="24"/>
                <w:szCs w:val="24"/>
                <w:color w:val="auto"/>
              </w:rPr>
            </w:pPr>
          </w:p>
        </w:tc>
        <w:tc>
          <w:tcPr>
            <w:tcW w:w="1780" w:type="dxa"/>
            <w:vAlign w:val="bottom"/>
          </w:tcPr>
          <w:p>
            <w:pPr>
              <w:spacing w:after="0"/>
              <w:rPr>
                <w:sz w:val="24"/>
                <w:szCs w:val="24"/>
                <w:color w:val="auto"/>
              </w:rPr>
            </w:pPr>
          </w:p>
        </w:tc>
        <w:tc>
          <w:tcPr>
            <w:tcW w:w="1900" w:type="dxa"/>
            <w:vAlign w:val="bottom"/>
            <w:tcBorders>
              <w:right w:val="single" w:sz="8" w:color="auto"/>
            </w:tcBorders>
          </w:tcPr>
          <w:p>
            <w:pPr>
              <w:spacing w:after="0"/>
              <w:rPr>
                <w:sz w:val="24"/>
                <w:szCs w:val="24"/>
                <w:color w:val="auto"/>
              </w:rPr>
            </w:pPr>
          </w:p>
        </w:tc>
      </w:tr>
      <w:tr>
        <w:trPr>
          <w:trHeight w:val="117"/>
        </w:trPr>
        <w:tc>
          <w:tcPr>
            <w:tcW w:w="700" w:type="dxa"/>
            <w:vAlign w:val="bottom"/>
            <w:tcBorders>
              <w:left w:val="single" w:sz="8" w:color="auto"/>
              <w:bottom w:val="single" w:sz="8" w:color="auto"/>
              <w:right w:val="single" w:sz="8" w:color="auto"/>
            </w:tcBorders>
          </w:tcPr>
          <w:p>
            <w:pPr>
              <w:spacing w:after="0"/>
              <w:rPr>
                <w:sz w:val="10"/>
                <w:szCs w:val="10"/>
                <w:color w:val="auto"/>
              </w:rPr>
            </w:pPr>
          </w:p>
        </w:tc>
        <w:tc>
          <w:tcPr>
            <w:tcW w:w="7760" w:type="dxa"/>
            <w:vAlign w:val="bottom"/>
            <w:tcBorders>
              <w:bottom w:val="single" w:sz="8" w:color="auto"/>
              <w:right w:val="single" w:sz="8" w:color="auto"/>
            </w:tcBorders>
            <w:gridSpan w:val="5"/>
          </w:tcPr>
          <w:p>
            <w:pPr>
              <w:spacing w:after="0"/>
              <w:rPr>
                <w:sz w:val="10"/>
                <w:szCs w:val="10"/>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1.</w:t>
            </w:r>
          </w:p>
        </w:tc>
        <w:tc>
          <w:tcPr>
            <w:tcW w:w="77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Систематические  обзоры  исследований  с  контролем  референсным  методом  или</w:t>
            </w: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77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систематический   обзор   рандомизированных   клинических   исследований   с</w:t>
            </w: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020" w:type="dxa"/>
            <w:vAlign w:val="bottom"/>
            <w:gridSpan w:val="2"/>
          </w:tcPr>
          <w:p>
            <w:pPr>
              <w:ind w:left="140"/>
              <w:spacing w:after="0"/>
              <w:rPr>
                <w:sz w:val="20"/>
                <w:szCs w:val="20"/>
                <w:color w:val="auto"/>
              </w:rPr>
            </w:pPr>
            <w:r>
              <w:rPr>
                <w:rFonts w:ascii="Verdana" w:cs="Verdana" w:eastAsia="Verdana" w:hAnsi="Verdana"/>
                <w:sz w:val="17"/>
                <w:szCs w:val="17"/>
                <w:color w:val="auto"/>
              </w:rPr>
              <w:t>применением метаанализа</w:t>
            </w:r>
          </w:p>
        </w:tc>
        <w:tc>
          <w:tcPr>
            <w:tcW w:w="1060" w:type="dxa"/>
            <w:vAlign w:val="bottom"/>
          </w:tcPr>
          <w:p>
            <w:pPr>
              <w:spacing w:after="0"/>
              <w:rPr>
                <w:sz w:val="19"/>
                <w:szCs w:val="19"/>
                <w:color w:val="auto"/>
              </w:rPr>
            </w:pPr>
          </w:p>
        </w:tc>
        <w:tc>
          <w:tcPr>
            <w:tcW w:w="1780" w:type="dxa"/>
            <w:vAlign w:val="bottom"/>
          </w:tcPr>
          <w:p>
            <w:pPr>
              <w:spacing w:after="0"/>
              <w:rPr>
                <w:sz w:val="19"/>
                <w:szCs w:val="19"/>
                <w:color w:val="auto"/>
              </w:rPr>
            </w:pPr>
          </w:p>
        </w:tc>
        <w:tc>
          <w:tcPr>
            <w:tcW w:w="1900" w:type="dxa"/>
            <w:vAlign w:val="bottom"/>
            <w:tcBorders>
              <w:right w:val="single" w:sz="8" w:color="auto"/>
            </w:tcBorders>
          </w:tcPr>
          <w:p>
            <w:pPr>
              <w:spacing w:after="0"/>
              <w:rPr>
                <w:sz w:val="19"/>
                <w:szCs w:val="19"/>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776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2.</w:t>
            </w:r>
          </w:p>
        </w:tc>
        <w:tc>
          <w:tcPr>
            <w:tcW w:w="77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Отдельные  исследования  с  контролем  референсным  методом  или  отдельные</w:t>
            </w: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77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рандомизированные  клинические  исследования  и  систематические  обзоры</w:t>
            </w: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77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исследований любого дизайна, за исключением рандомизированных клинических</w:t>
            </w: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4080" w:type="dxa"/>
            <w:vAlign w:val="bottom"/>
            <w:gridSpan w:val="3"/>
          </w:tcPr>
          <w:p>
            <w:pPr>
              <w:ind w:left="140"/>
              <w:spacing w:after="0"/>
              <w:rPr>
                <w:sz w:val="20"/>
                <w:szCs w:val="20"/>
                <w:color w:val="auto"/>
              </w:rPr>
            </w:pPr>
            <w:r>
              <w:rPr>
                <w:rFonts w:ascii="Verdana" w:cs="Verdana" w:eastAsia="Verdana" w:hAnsi="Verdana"/>
                <w:sz w:val="17"/>
                <w:szCs w:val="17"/>
                <w:color w:val="auto"/>
              </w:rPr>
              <w:t>исследований, с применением метаанализа</w:t>
            </w:r>
          </w:p>
        </w:tc>
        <w:tc>
          <w:tcPr>
            <w:tcW w:w="1780" w:type="dxa"/>
            <w:vAlign w:val="bottom"/>
          </w:tcPr>
          <w:p>
            <w:pPr>
              <w:spacing w:after="0"/>
              <w:rPr>
                <w:sz w:val="19"/>
                <w:szCs w:val="19"/>
                <w:color w:val="auto"/>
              </w:rPr>
            </w:pPr>
          </w:p>
        </w:tc>
        <w:tc>
          <w:tcPr>
            <w:tcW w:w="1900" w:type="dxa"/>
            <w:vAlign w:val="bottom"/>
            <w:tcBorders>
              <w:right w:val="single" w:sz="8" w:color="auto"/>
            </w:tcBorders>
          </w:tcPr>
          <w:p>
            <w:pPr>
              <w:spacing w:after="0"/>
              <w:rPr>
                <w:sz w:val="19"/>
                <w:szCs w:val="19"/>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776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3.</w:t>
            </w:r>
          </w:p>
        </w:tc>
        <w:tc>
          <w:tcPr>
            <w:tcW w:w="77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Исследования  без  последовательного  контроля  референсным  методом  или</w:t>
            </w: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77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исследования  с  референсным  методом,  не  являющимся  независимым  от</w:t>
            </w:r>
          </w:p>
        </w:tc>
      </w:tr>
      <w:tr>
        <w:trPr>
          <w:trHeight w:val="165"/>
        </w:trPr>
        <w:tc>
          <w:tcPr>
            <w:tcW w:w="700" w:type="dxa"/>
            <w:vAlign w:val="bottom"/>
            <w:tcBorders>
              <w:left w:val="single" w:sz="8" w:color="auto"/>
              <w:right w:val="single" w:sz="8" w:color="auto"/>
            </w:tcBorders>
          </w:tcPr>
          <w:p>
            <w:pPr>
              <w:spacing w:after="0"/>
              <w:rPr>
                <w:sz w:val="14"/>
                <w:szCs w:val="14"/>
                <w:color w:val="auto"/>
              </w:rPr>
            </w:pPr>
          </w:p>
        </w:tc>
        <w:tc>
          <w:tcPr>
            <w:tcW w:w="77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w w:val="99"/>
              </w:rPr>
              <w:t>исследуемого метода или нерандомизированные сравнительные исследования, в том</w:t>
            </w:r>
          </w:p>
        </w:tc>
      </w:tr>
      <w:tr>
        <w:trPr>
          <w:trHeight w:val="220"/>
        </w:trPr>
        <w:tc>
          <w:tcPr>
            <w:tcW w:w="700" w:type="dxa"/>
            <w:vAlign w:val="bottom"/>
            <w:tcBorders>
              <w:left w:val="single" w:sz="8" w:color="auto"/>
              <w:right w:val="single" w:sz="8" w:color="auto"/>
            </w:tcBorders>
          </w:tcPr>
          <w:p>
            <w:pPr>
              <w:spacing w:after="0"/>
              <w:rPr>
                <w:sz w:val="19"/>
                <w:szCs w:val="19"/>
                <w:color w:val="auto"/>
              </w:rPr>
            </w:pPr>
          </w:p>
        </w:tc>
        <w:tc>
          <w:tcPr>
            <w:tcW w:w="3020" w:type="dxa"/>
            <w:vAlign w:val="bottom"/>
            <w:gridSpan w:val="2"/>
          </w:tcPr>
          <w:p>
            <w:pPr>
              <w:ind w:left="140"/>
              <w:spacing w:after="0"/>
              <w:rPr>
                <w:sz w:val="20"/>
                <w:szCs w:val="20"/>
                <w:color w:val="auto"/>
              </w:rPr>
            </w:pPr>
            <w:r>
              <w:rPr>
                <w:rFonts w:ascii="Verdana" w:cs="Verdana" w:eastAsia="Verdana" w:hAnsi="Verdana"/>
                <w:sz w:val="17"/>
                <w:szCs w:val="17"/>
                <w:color w:val="auto"/>
              </w:rPr>
              <w:t>числе когортные исследования</w:t>
            </w:r>
          </w:p>
        </w:tc>
        <w:tc>
          <w:tcPr>
            <w:tcW w:w="1060" w:type="dxa"/>
            <w:vAlign w:val="bottom"/>
          </w:tcPr>
          <w:p>
            <w:pPr>
              <w:spacing w:after="0"/>
              <w:rPr>
                <w:sz w:val="19"/>
                <w:szCs w:val="19"/>
                <w:color w:val="auto"/>
              </w:rPr>
            </w:pPr>
          </w:p>
        </w:tc>
        <w:tc>
          <w:tcPr>
            <w:tcW w:w="1780" w:type="dxa"/>
            <w:vAlign w:val="bottom"/>
          </w:tcPr>
          <w:p>
            <w:pPr>
              <w:spacing w:after="0"/>
              <w:rPr>
                <w:sz w:val="19"/>
                <w:szCs w:val="19"/>
                <w:color w:val="auto"/>
              </w:rPr>
            </w:pPr>
          </w:p>
        </w:tc>
        <w:tc>
          <w:tcPr>
            <w:tcW w:w="1900" w:type="dxa"/>
            <w:vAlign w:val="bottom"/>
            <w:tcBorders>
              <w:right w:val="single" w:sz="8" w:color="auto"/>
            </w:tcBorders>
          </w:tcPr>
          <w:p>
            <w:pPr>
              <w:spacing w:after="0"/>
              <w:rPr>
                <w:sz w:val="19"/>
                <w:szCs w:val="19"/>
                <w:color w:val="auto"/>
              </w:rPr>
            </w:pPr>
          </w:p>
        </w:tc>
      </w:tr>
      <w:tr>
        <w:trPr>
          <w:trHeight w:val="110"/>
        </w:trPr>
        <w:tc>
          <w:tcPr>
            <w:tcW w:w="700" w:type="dxa"/>
            <w:vAlign w:val="bottom"/>
            <w:tcBorders>
              <w:left w:val="single" w:sz="8" w:color="auto"/>
              <w:bottom w:val="single" w:sz="8" w:color="auto"/>
              <w:right w:val="single" w:sz="8" w:color="auto"/>
            </w:tcBorders>
          </w:tcPr>
          <w:p>
            <w:pPr>
              <w:spacing w:after="0"/>
              <w:rPr>
                <w:sz w:val="9"/>
                <w:szCs w:val="9"/>
                <w:color w:val="auto"/>
              </w:rPr>
            </w:pPr>
          </w:p>
        </w:tc>
        <w:tc>
          <w:tcPr>
            <w:tcW w:w="5860" w:type="dxa"/>
            <w:vAlign w:val="bottom"/>
            <w:tcBorders>
              <w:bottom w:val="single" w:sz="8" w:color="auto"/>
            </w:tcBorders>
            <w:gridSpan w:val="4"/>
          </w:tcPr>
          <w:p>
            <w:pPr>
              <w:spacing w:after="0"/>
              <w:rPr>
                <w:sz w:val="9"/>
                <w:szCs w:val="9"/>
                <w:color w:val="auto"/>
              </w:rPr>
            </w:pPr>
          </w:p>
        </w:tc>
        <w:tc>
          <w:tcPr>
            <w:tcW w:w="1900" w:type="dxa"/>
            <w:vAlign w:val="bottom"/>
            <w:tcBorders>
              <w:bottom w:val="single" w:sz="8" w:color="auto"/>
              <w:right w:val="single" w:sz="8" w:color="auto"/>
            </w:tcBorders>
          </w:tcPr>
          <w:p>
            <w:pPr>
              <w:spacing w:after="0"/>
              <w:rPr>
                <w:sz w:val="9"/>
                <w:szCs w:val="9"/>
                <w:color w:val="auto"/>
              </w:rPr>
            </w:pPr>
          </w:p>
        </w:tc>
      </w:tr>
      <w:tr>
        <w:trPr>
          <w:trHeight w:val="343"/>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4.</w:t>
            </w:r>
          </w:p>
        </w:tc>
        <w:tc>
          <w:tcPr>
            <w:tcW w:w="5860" w:type="dxa"/>
            <w:vAlign w:val="bottom"/>
            <w:gridSpan w:val="4"/>
          </w:tcPr>
          <w:p>
            <w:pPr>
              <w:ind w:left="140"/>
              <w:spacing w:after="0"/>
              <w:rPr>
                <w:sz w:val="20"/>
                <w:szCs w:val="20"/>
                <w:color w:val="auto"/>
              </w:rPr>
            </w:pPr>
            <w:r>
              <w:rPr>
                <w:rFonts w:ascii="Verdana" w:cs="Verdana" w:eastAsia="Verdana" w:hAnsi="Verdana"/>
                <w:sz w:val="17"/>
                <w:szCs w:val="17"/>
                <w:color w:val="auto"/>
                <w:w w:val="98"/>
              </w:rPr>
              <w:t>Несравнительные исследования, описание клинического случая</w:t>
            </w:r>
          </w:p>
        </w:tc>
        <w:tc>
          <w:tcPr>
            <w:tcW w:w="1900" w:type="dxa"/>
            <w:vAlign w:val="bottom"/>
            <w:tcBorders>
              <w:right w:val="single" w:sz="8" w:color="auto"/>
            </w:tcBorders>
          </w:tcPr>
          <w:p>
            <w:pPr>
              <w:spacing w:after="0"/>
              <w:rPr>
                <w:sz w:val="24"/>
                <w:szCs w:val="24"/>
                <w:color w:val="auto"/>
              </w:rPr>
            </w:pPr>
          </w:p>
        </w:tc>
      </w:tr>
      <w:tr>
        <w:trPr>
          <w:trHeight w:val="117"/>
        </w:trPr>
        <w:tc>
          <w:tcPr>
            <w:tcW w:w="700" w:type="dxa"/>
            <w:vAlign w:val="bottom"/>
            <w:tcBorders>
              <w:left w:val="single" w:sz="8" w:color="auto"/>
              <w:bottom w:val="single" w:sz="8" w:color="auto"/>
              <w:right w:val="single" w:sz="8" w:color="auto"/>
            </w:tcBorders>
          </w:tcPr>
          <w:p>
            <w:pPr>
              <w:spacing w:after="0"/>
              <w:rPr>
                <w:sz w:val="10"/>
                <w:szCs w:val="10"/>
                <w:color w:val="auto"/>
              </w:rPr>
            </w:pPr>
          </w:p>
        </w:tc>
        <w:tc>
          <w:tcPr>
            <w:tcW w:w="7760" w:type="dxa"/>
            <w:vAlign w:val="bottom"/>
            <w:tcBorders>
              <w:bottom w:val="single" w:sz="8" w:color="auto"/>
              <w:right w:val="single" w:sz="8" w:color="auto"/>
            </w:tcBorders>
            <w:gridSpan w:val="5"/>
          </w:tcPr>
          <w:p>
            <w:pPr>
              <w:spacing w:after="0"/>
              <w:rPr>
                <w:sz w:val="10"/>
                <w:szCs w:val="10"/>
                <w:color w:val="auto"/>
              </w:rPr>
            </w:pPr>
          </w:p>
        </w:tc>
      </w:tr>
      <w:tr>
        <w:trPr>
          <w:trHeight w:val="343"/>
        </w:trPr>
        <w:tc>
          <w:tcPr>
            <w:tcW w:w="7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5.</w:t>
            </w:r>
          </w:p>
        </w:tc>
        <w:tc>
          <w:tcPr>
            <w:tcW w:w="77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Имеется лишь обоснование механизма действия или мнение экспертов</w:t>
            </w:r>
          </w:p>
        </w:tc>
      </w:tr>
      <w:tr>
        <w:trPr>
          <w:trHeight w:val="117"/>
        </w:trPr>
        <w:tc>
          <w:tcPr>
            <w:tcW w:w="700" w:type="dxa"/>
            <w:vAlign w:val="bottom"/>
            <w:tcBorders>
              <w:left w:val="single" w:sz="8" w:color="auto"/>
              <w:bottom w:val="single" w:sz="8" w:color="auto"/>
              <w:right w:val="single" w:sz="8" w:color="auto"/>
            </w:tcBorders>
          </w:tcPr>
          <w:p>
            <w:pPr>
              <w:spacing w:after="0"/>
              <w:rPr>
                <w:sz w:val="10"/>
                <w:szCs w:val="10"/>
                <w:color w:val="auto"/>
              </w:rPr>
            </w:pPr>
          </w:p>
        </w:tc>
        <w:tc>
          <w:tcPr>
            <w:tcW w:w="1580" w:type="dxa"/>
            <w:vAlign w:val="bottom"/>
            <w:tcBorders>
              <w:bottom w:val="single" w:sz="8" w:color="auto"/>
            </w:tcBorders>
          </w:tcPr>
          <w:p>
            <w:pPr>
              <w:spacing w:after="0"/>
              <w:rPr>
                <w:sz w:val="10"/>
                <w:szCs w:val="10"/>
                <w:color w:val="auto"/>
              </w:rPr>
            </w:pPr>
          </w:p>
        </w:tc>
        <w:tc>
          <w:tcPr>
            <w:tcW w:w="1440" w:type="dxa"/>
            <w:vAlign w:val="bottom"/>
            <w:tcBorders>
              <w:bottom w:val="single" w:sz="8" w:color="auto"/>
            </w:tcBorders>
          </w:tcPr>
          <w:p>
            <w:pPr>
              <w:spacing w:after="0"/>
              <w:rPr>
                <w:sz w:val="10"/>
                <w:szCs w:val="10"/>
                <w:color w:val="auto"/>
              </w:rPr>
            </w:pPr>
          </w:p>
        </w:tc>
        <w:tc>
          <w:tcPr>
            <w:tcW w:w="1060" w:type="dxa"/>
            <w:vAlign w:val="bottom"/>
            <w:tcBorders>
              <w:bottom w:val="single" w:sz="8" w:color="auto"/>
            </w:tcBorders>
          </w:tcPr>
          <w:p>
            <w:pPr>
              <w:spacing w:after="0"/>
              <w:rPr>
                <w:sz w:val="10"/>
                <w:szCs w:val="10"/>
                <w:color w:val="auto"/>
              </w:rPr>
            </w:pPr>
          </w:p>
        </w:tc>
        <w:tc>
          <w:tcPr>
            <w:tcW w:w="1780" w:type="dxa"/>
            <w:vAlign w:val="bottom"/>
            <w:tcBorders>
              <w:bottom w:val="single" w:sz="8" w:color="auto"/>
            </w:tcBorders>
          </w:tcPr>
          <w:p>
            <w:pPr>
              <w:spacing w:after="0"/>
              <w:rPr>
                <w:sz w:val="10"/>
                <w:szCs w:val="10"/>
                <w:color w:val="auto"/>
              </w:rPr>
            </w:pPr>
          </w:p>
        </w:tc>
        <w:tc>
          <w:tcPr>
            <w:tcW w:w="1900" w:type="dxa"/>
            <w:vAlign w:val="bottom"/>
            <w:tcBorders>
              <w:bottom w:val="single" w:sz="8" w:color="auto"/>
              <w:right w:val="single" w:sz="8" w:color="auto"/>
            </w:tcBorders>
          </w:tcPr>
          <w:p>
            <w:pPr>
              <w:spacing w:after="0"/>
              <w:rPr>
                <w:sz w:val="10"/>
                <w:szCs w:val="10"/>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b w:val="1"/>
          <w:bCs w:val="1"/>
          <w:color w:val="auto"/>
        </w:rPr>
        <w:t xml:space="preserve">Таблица </w:t>
      </w:r>
      <w:r>
        <w:rPr>
          <w:rFonts w:ascii="Arial" w:cs="Arial" w:eastAsia="Arial" w:hAnsi="Arial"/>
          <w:sz w:val="27"/>
          <w:szCs w:val="27"/>
          <w:b w:val="1"/>
          <w:bCs w:val="1"/>
          <w:color w:val="auto"/>
        </w:rPr>
        <w:t>5/</w:t>
      </w:r>
      <w:r>
        <w:rPr>
          <w:rFonts w:ascii="Arial" w:cs="Arial" w:eastAsia="Arial" w:hAnsi="Arial"/>
          <w:sz w:val="27"/>
          <w:szCs w:val="27"/>
          <w:b w:val="1"/>
          <w:bCs w:val="1"/>
          <w:color w:val="auto"/>
        </w:rPr>
        <w:t>А</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Шкала оценки уровней убедительности рекомендаций</w:t>
      </w:r>
      <w:r>
        <w:rPr>
          <w:rFonts w:ascii="Arial" w:cs="Arial" w:eastAsia="Arial" w:hAnsi="Arial"/>
          <w:sz w:val="27"/>
          <w:szCs w:val="27"/>
          <w:b w:val="1"/>
          <w:bCs w:val="1"/>
          <w:color w:val="auto"/>
        </w:rPr>
        <w:t>(</w:t>
      </w:r>
      <w:r>
        <w:rPr>
          <w:rFonts w:ascii="Arial" w:cs="Arial" w:eastAsia="Arial" w:hAnsi="Arial"/>
          <w:sz w:val="27"/>
          <w:szCs w:val="27"/>
          <w:b w:val="1"/>
          <w:bCs w:val="1"/>
          <w:color w:val="auto"/>
        </w:rPr>
        <w:t>УУР</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для методов профилактики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диагностики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лечения и реабилитации </w:t>
      </w:r>
      <w:r>
        <w:rPr>
          <w:rFonts w:ascii="Arial" w:cs="Arial" w:eastAsia="Arial" w:hAnsi="Arial"/>
          <w:sz w:val="27"/>
          <w:szCs w:val="27"/>
          <w:b w:val="1"/>
          <w:bCs w:val="1"/>
          <w:color w:val="auto"/>
        </w:rPr>
        <w:t>(</w:t>
      </w:r>
      <w:r>
        <w:rPr>
          <w:rFonts w:ascii="Arial" w:cs="Arial" w:eastAsia="Arial" w:hAnsi="Arial"/>
          <w:sz w:val="27"/>
          <w:szCs w:val="27"/>
          <w:b w:val="1"/>
          <w:bCs w:val="1"/>
          <w:color w:val="auto"/>
        </w:rPr>
        <w:t>профилактических</w:t>
      </w:r>
      <w:r>
        <w:rPr>
          <w:rFonts w:ascii="Arial" w:cs="Arial" w:eastAsia="Arial" w:hAnsi="Arial"/>
          <w:sz w:val="27"/>
          <w:szCs w:val="27"/>
          <w:b w:val="1"/>
          <w:bCs w:val="1"/>
          <w:color w:val="auto"/>
        </w:rPr>
        <w:t>,</w:t>
      </w:r>
    </w:p>
    <w:p>
      <w:pPr>
        <w:spacing w:after="0" w:line="2"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диагностических</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лечебных</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реабилитационных вмешательств</w:t>
      </w:r>
      <w:r>
        <w:rPr>
          <w:rFonts w:ascii="Arial" w:cs="Arial" w:eastAsia="Arial" w:hAnsi="Arial"/>
          <w:sz w:val="27"/>
          <w:szCs w:val="27"/>
          <w:b w:val="1"/>
          <w:b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520065</wp:posOffset>
            </wp:positionV>
            <wp:extent cx="5365115" cy="838835"/>
            <wp:wrapNone/>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17">
                      <a:extLst>
                        <a:ext uri="{28A0092B-C50C-407E-A947-70E740481C1C}"/>
                      </a:extLst>
                    </a:blip>
                    <a:srcRect/>
                    <a:stretch>
                      <a:fillRect/>
                    </a:stretch>
                  </pic:blipFill>
                  <pic:spPr bwMode="auto">
                    <a:xfrm>
                      <a:off x="0" y="0"/>
                      <a:ext cx="5365115" cy="83883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07" w:lineRule="exact"/>
        <w:rPr>
          <w:sz w:val="20"/>
          <w:szCs w:val="20"/>
          <w:color w:val="auto"/>
        </w:rPr>
      </w:pPr>
    </w:p>
    <w:p>
      <w:pPr>
        <w:ind w:left="520"/>
        <w:spacing w:after="0"/>
        <w:tabs>
          <w:tab w:leader="none" w:pos="1380" w:val="left"/>
          <w:tab w:leader="none" w:pos="2900" w:val="left"/>
          <w:tab w:leader="none" w:pos="4300" w:val="left"/>
          <w:tab w:leader="none" w:pos="4980" w:val="left"/>
          <w:tab w:leader="none" w:pos="5760" w:val="left"/>
          <w:tab w:leader="none" w:pos="7120" w:val="left"/>
        </w:tabs>
        <w:rPr>
          <w:sz w:val="20"/>
          <w:szCs w:val="20"/>
          <w:color w:val="auto"/>
        </w:rPr>
      </w:pPr>
      <w:r>
        <w:rPr>
          <w:rFonts w:ascii="Verdana" w:cs="Verdana" w:eastAsia="Verdana" w:hAnsi="Verdana"/>
          <w:sz w:val="17"/>
          <w:szCs w:val="17"/>
          <w:color w:val="auto"/>
        </w:rPr>
        <w:t>Уровень</w:t>
        <w:tab/>
        <w:t>убедительности</w:t>
        <w:tab/>
        <w:t>рекомендации</w:t>
        <w:tab/>
        <w:t>(УРР),</w:t>
        <w:tab/>
        <w:t>Приказ</w:t>
        <w:tab/>
        <w:t>Министерства</w:t>
      </w:r>
      <w:r>
        <w:rPr>
          <w:sz w:val="20"/>
          <w:szCs w:val="20"/>
          <w:color w:val="auto"/>
        </w:rPr>
        <w:tab/>
      </w:r>
      <w:r>
        <w:rPr>
          <w:rFonts w:ascii="Verdana" w:cs="Verdana" w:eastAsia="Verdana" w:hAnsi="Verdana"/>
          <w:sz w:val="15"/>
          <w:szCs w:val="15"/>
          <w:color w:val="auto"/>
        </w:rPr>
        <w:t>здравоохранения</w:t>
      </w:r>
    </w:p>
    <w:p>
      <w:pPr>
        <w:ind w:left="520"/>
        <w:spacing w:after="0" w:line="191" w:lineRule="auto"/>
        <w:tabs>
          <w:tab w:leader="none" w:pos="4600" w:val="left"/>
        </w:tabs>
        <w:rPr>
          <w:sz w:val="20"/>
          <w:szCs w:val="20"/>
          <w:color w:val="auto"/>
        </w:rPr>
      </w:pPr>
      <w:r>
        <w:rPr>
          <w:rFonts w:ascii="Verdana" w:cs="Verdana" w:eastAsia="Verdana" w:hAnsi="Verdana"/>
          <w:sz w:val="17"/>
          <w:szCs w:val="17"/>
          <w:color w:val="auto"/>
        </w:rPr>
        <w:t>Российской  Федерации  от  28.02.2019  №</w:t>
        <w:tab/>
        <w:t>103н  «Об  утверждении  порядка  и  сроков</w:t>
      </w:r>
    </w:p>
    <w:p>
      <w:pPr>
        <w:ind w:left="520"/>
        <w:spacing w:after="0" w:line="192" w:lineRule="auto"/>
        <w:rPr>
          <w:sz w:val="20"/>
          <w:szCs w:val="20"/>
          <w:color w:val="auto"/>
        </w:rPr>
      </w:pPr>
      <w:r>
        <w:rPr>
          <w:rFonts w:ascii="Verdana" w:cs="Verdana" w:eastAsia="Verdana" w:hAnsi="Verdana"/>
          <w:sz w:val="17"/>
          <w:szCs w:val="17"/>
          <w:color w:val="auto"/>
        </w:rPr>
        <w:t>разработки  клинических  рекомендаций,  их  пересмотра,  типовой  формы  клинических</w:t>
      </w:r>
    </w:p>
    <w:p>
      <w:pPr>
        <w:ind w:left="520"/>
        <w:spacing w:after="0" w:line="192" w:lineRule="auto"/>
        <w:rPr>
          <w:sz w:val="20"/>
          <w:szCs w:val="20"/>
          <w:color w:val="auto"/>
        </w:rPr>
      </w:pPr>
      <w:r>
        <w:rPr>
          <w:rFonts w:ascii="Verdana" w:cs="Verdana" w:eastAsia="Verdana" w:hAnsi="Verdana"/>
          <w:sz w:val="17"/>
          <w:szCs w:val="17"/>
          <w:color w:val="auto"/>
        </w:rPr>
        <w:t>рекомендаций и требований к их структуре, составу и научной обоснованности включаемой</w:t>
      </w:r>
    </w:p>
    <w:p>
      <w:pPr>
        <w:ind w:left="520"/>
        <w:spacing w:after="0" w:line="192" w:lineRule="auto"/>
        <w:rPr>
          <w:sz w:val="20"/>
          <w:szCs w:val="20"/>
          <w:color w:val="auto"/>
        </w:rPr>
      </w:pPr>
      <w:r>
        <w:rPr>
          <w:rFonts w:ascii="Verdana" w:cs="Verdana" w:eastAsia="Verdana" w:hAnsi="Verdana"/>
          <w:sz w:val="17"/>
          <w:szCs w:val="17"/>
          <w:color w:val="auto"/>
        </w:rPr>
        <w:t>в клинические рекомендации информации»</w:t>
      </w:r>
    </w:p>
    <w:p>
      <w:pPr>
        <w:ind w:left="520"/>
        <w:spacing w:after="0"/>
        <w:rPr>
          <w:sz w:val="20"/>
          <w:szCs w:val="20"/>
          <w:color w:val="auto"/>
        </w:rPr>
      </w:pPr>
      <w:r>
        <w:rPr>
          <w:rFonts w:ascii="Verdana" w:cs="Verdana" w:eastAsia="Verdana" w:hAnsi="Verdana"/>
          <w:sz w:val="17"/>
          <w:szCs w:val="17"/>
          <w:color w:val="auto"/>
        </w:rPr>
        <w:t>(Зарегистрирован 08.05.2019 № 54588)</w:t>
      </w:r>
    </w:p>
    <w:p>
      <w:pPr>
        <w:spacing w:after="0" w:line="20" w:lineRule="exact"/>
        <w:rPr>
          <w:sz w:val="20"/>
          <w:szCs w:val="20"/>
          <w:color w:val="auto"/>
        </w:rPr>
      </w:pPr>
    </w:p>
    <w:p>
      <w:pPr>
        <w:sectPr>
          <w:pgSz w:w="11900" w:h="16840" w:orient="portrait"/>
          <w:cols w:equalWidth="0" w:num="1">
            <w:col w:w="9020"/>
          </w:cols>
          <w:pgMar w:left="1440" w:top="19" w:right="1440" w:bottom="0" w:gutter="0" w:footer="0" w:header="0"/>
        </w:sectPr>
      </w:pPr>
    </w:p>
    <w:bookmarkStart w:id="121" w:name="page122"/>
    <w:bookmarkEnd w:id="121"/>
    <w:tbl>
      <w:tblPr>
        <w:tblLayout w:type="fixed"/>
        <w:tblInd w:w="370" w:type="dxa"/>
        <w:tblCellMar>
          <w:top w:w="0" w:type="dxa"/>
          <w:left w:w="0" w:type="dxa"/>
          <w:bottom w:w="0" w:type="dxa"/>
          <w:right w:w="0" w:type="dxa"/>
        </w:tblCellMar>
      </w:tblPr>
      <w:tr>
        <w:trPr>
          <w:trHeight w:val="295"/>
        </w:trPr>
        <w:tc>
          <w:tcPr>
            <w:tcW w:w="192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w:t>
            </w:r>
          </w:p>
        </w:tc>
        <w:tc>
          <w:tcPr>
            <w:tcW w:w="98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color w:val="auto"/>
              </w:rPr>
              <w:t>Сильная</w:t>
            </w:r>
          </w:p>
        </w:tc>
        <w:tc>
          <w:tcPr>
            <w:tcW w:w="1640" w:type="dxa"/>
            <w:vAlign w:val="bottom"/>
            <w:tcBorders>
              <w:top w:val="single" w:sz="8" w:color="auto"/>
            </w:tcBorders>
          </w:tcPr>
          <w:p>
            <w:pPr>
              <w:ind w:left="280"/>
              <w:spacing w:after="0"/>
              <w:rPr>
                <w:sz w:val="20"/>
                <w:szCs w:val="20"/>
                <w:color w:val="auto"/>
              </w:rPr>
            </w:pPr>
            <w:r>
              <w:rPr>
                <w:rFonts w:ascii="Verdana" w:cs="Verdana" w:eastAsia="Verdana" w:hAnsi="Verdana"/>
                <w:sz w:val="17"/>
                <w:szCs w:val="17"/>
                <w:color w:val="auto"/>
              </w:rPr>
              <w:t>рекомендация</w:t>
            </w:r>
          </w:p>
        </w:tc>
        <w:tc>
          <w:tcPr>
            <w:tcW w:w="660" w:type="dxa"/>
            <w:vAlign w:val="bottom"/>
            <w:tcBorders>
              <w:top w:val="single" w:sz="8" w:color="auto"/>
            </w:tcBorders>
          </w:tcPr>
          <w:p>
            <w:pPr>
              <w:ind w:left="2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все</w:t>
            </w:r>
          </w:p>
        </w:tc>
        <w:tc>
          <w:tcPr>
            <w:tcW w:w="2200" w:type="dxa"/>
            <w:vAlign w:val="bottom"/>
            <w:tcBorders>
              <w:top w:val="single" w:sz="8" w:color="auto"/>
            </w:tcBorders>
            <w:gridSpan w:val="2"/>
          </w:tcPr>
          <w:p>
            <w:pPr>
              <w:ind w:left="360"/>
              <w:spacing w:after="0"/>
              <w:rPr>
                <w:sz w:val="20"/>
                <w:szCs w:val="20"/>
                <w:color w:val="auto"/>
              </w:rPr>
            </w:pPr>
            <w:r>
              <w:rPr>
                <w:rFonts w:ascii="Verdana" w:cs="Verdana" w:eastAsia="Verdana" w:hAnsi="Verdana"/>
                <w:sz w:val="17"/>
                <w:szCs w:val="17"/>
                <w:color w:val="auto"/>
              </w:rPr>
              <w:t>рассматриваемые</w:t>
            </w:r>
          </w:p>
        </w:tc>
        <w:tc>
          <w:tcPr>
            <w:tcW w:w="1060" w:type="dxa"/>
            <w:vAlign w:val="bottom"/>
            <w:tcBorders>
              <w:top w:val="single" w:sz="8" w:color="auto"/>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критерии</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эффективности </w:t>
            </w:r>
            <w:r>
              <w:rPr>
                <w:rFonts w:ascii="Verdana" w:cs="Verdana" w:eastAsia="Verdana" w:hAnsi="Verdana"/>
                <w:sz w:val="17"/>
                <w:szCs w:val="17"/>
                <w:color w:val="auto"/>
              </w:rPr>
              <w:t>(</w:t>
            </w:r>
            <w:r>
              <w:rPr>
                <w:rFonts w:ascii="Verdana" w:cs="Verdana" w:eastAsia="Verdana" w:hAnsi="Verdana"/>
                <w:sz w:val="17"/>
                <w:szCs w:val="17"/>
                <w:color w:val="auto"/>
              </w:rPr>
              <w:t>исходы</w:t>
            </w:r>
            <w:r>
              <w:rPr>
                <w:rFonts w:ascii="Verdana" w:cs="Verdana" w:eastAsia="Verdana" w:hAnsi="Verdana"/>
                <w:sz w:val="17"/>
                <w:szCs w:val="17"/>
                <w:color w:val="auto"/>
              </w:rPr>
              <w:t>)</w:t>
            </w:r>
            <w:r>
              <w:rPr>
                <w:rFonts w:ascii="Verdana" w:cs="Verdana" w:eastAsia="Verdana" w:hAnsi="Verdana"/>
                <w:sz w:val="17"/>
                <w:szCs w:val="17"/>
                <w:color w:val="auto"/>
              </w:rPr>
              <w:t xml:space="preserve"> являются важными</w:t>
            </w:r>
            <w:r>
              <w:rPr>
                <w:rFonts w:ascii="Verdana" w:cs="Verdana" w:eastAsia="Verdana" w:hAnsi="Verdana"/>
                <w:sz w:val="17"/>
                <w:szCs w:val="17"/>
                <w:color w:val="auto"/>
              </w:rPr>
              <w:t>,</w:t>
            </w:r>
            <w:r>
              <w:rPr>
                <w:rFonts w:ascii="Verdana" w:cs="Verdana" w:eastAsia="Verdana" w:hAnsi="Verdana"/>
                <w:sz w:val="17"/>
                <w:szCs w:val="17"/>
                <w:color w:val="auto"/>
              </w:rPr>
              <w:t xml:space="preserve"> все исследования имеют</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высокое  или  удовлетворительное  методологическое  качество</w:t>
            </w:r>
            <w:r>
              <w:rPr>
                <w:rFonts w:ascii="Verdana" w:cs="Verdana" w:eastAsia="Verdana" w:hAnsi="Verdana"/>
                <w:sz w:val="17"/>
                <w:szCs w:val="17"/>
                <w:color w:val="auto"/>
              </w:rPr>
              <w:t>,</w:t>
            </w:r>
            <w:r>
              <w:rPr>
                <w:rFonts w:ascii="Verdana" w:cs="Verdana" w:eastAsia="Verdana" w:hAnsi="Verdana"/>
                <w:sz w:val="17"/>
                <w:szCs w:val="17"/>
                <w:color w:val="auto"/>
              </w:rPr>
              <w:t xml:space="preserve">  их</w:t>
            </w:r>
          </w:p>
        </w:tc>
      </w:tr>
      <w:tr>
        <w:trPr>
          <w:trHeight w:val="220"/>
        </w:trPr>
        <w:tc>
          <w:tcPr>
            <w:tcW w:w="1920" w:type="dxa"/>
            <w:vAlign w:val="bottom"/>
            <w:tcBorders>
              <w:left w:val="single" w:sz="8" w:color="auto"/>
              <w:right w:val="single" w:sz="8" w:color="auto"/>
            </w:tcBorders>
          </w:tcPr>
          <w:p>
            <w:pPr>
              <w:spacing w:after="0"/>
              <w:rPr>
                <w:sz w:val="19"/>
                <w:szCs w:val="19"/>
                <w:color w:val="auto"/>
              </w:rPr>
            </w:pPr>
          </w:p>
        </w:tc>
        <w:tc>
          <w:tcPr>
            <w:tcW w:w="6540" w:type="dxa"/>
            <w:vAlign w:val="bottom"/>
            <w:tcBorders>
              <w:right w:val="single" w:sz="8" w:color="auto"/>
            </w:tcBorders>
            <w:gridSpan w:val="6"/>
          </w:tcPr>
          <w:p>
            <w:pPr>
              <w:ind w:left="140"/>
              <w:spacing w:after="0"/>
              <w:rPr>
                <w:sz w:val="20"/>
                <w:szCs w:val="20"/>
                <w:color w:val="auto"/>
              </w:rPr>
            </w:pPr>
            <w:r>
              <w:rPr>
                <w:rFonts w:ascii="Verdana" w:cs="Verdana" w:eastAsia="Verdana" w:hAnsi="Verdana"/>
                <w:sz w:val="17"/>
                <w:szCs w:val="17"/>
                <w:color w:val="auto"/>
              </w:rPr>
              <w:t>выводы по интересующим исходам являются согласованными</w:t>
            </w:r>
            <w:r>
              <w:rPr>
                <w:rFonts w:ascii="Verdana" w:cs="Verdana" w:eastAsia="Verdana" w:hAnsi="Verdana"/>
                <w:sz w:val="17"/>
                <w:szCs w:val="17"/>
                <w:color w:val="auto"/>
              </w:rPr>
              <w:t>)</w:t>
            </w:r>
          </w:p>
        </w:tc>
      </w:tr>
      <w:tr>
        <w:trPr>
          <w:trHeight w:val="110"/>
        </w:trPr>
        <w:tc>
          <w:tcPr>
            <w:tcW w:w="1920" w:type="dxa"/>
            <w:vAlign w:val="bottom"/>
            <w:tcBorders>
              <w:left w:val="single" w:sz="8" w:color="auto"/>
              <w:bottom w:val="single" w:sz="8" w:color="auto"/>
              <w:right w:val="single" w:sz="8" w:color="auto"/>
            </w:tcBorders>
          </w:tcPr>
          <w:p>
            <w:pPr>
              <w:spacing w:after="0"/>
              <w:rPr>
                <w:sz w:val="9"/>
                <w:szCs w:val="9"/>
                <w:color w:val="auto"/>
              </w:rPr>
            </w:pPr>
          </w:p>
        </w:tc>
        <w:tc>
          <w:tcPr>
            <w:tcW w:w="980" w:type="dxa"/>
            <w:vAlign w:val="bottom"/>
            <w:tcBorders>
              <w:bottom w:val="single" w:sz="8" w:color="auto"/>
            </w:tcBorders>
          </w:tcPr>
          <w:p>
            <w:pPr>
              <w:spacing w:after="0"/>
              <w:rPr>
                <w:sz w:val="9"/>
                <w:szCs w:val="9"/>
                <w:color w:val="auto"/>
              </w:rPr>
            </w:pPr>
          </w:p>
        </w:tc>
        <w:tc>
          <w:tcPr>
            <w:tcW w:w="556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19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В</w:t>
            </w:r>
          </w:p>
        </w:tc>
        <w:tc>
          <w:tcPr>
            <w:tcW w:w="980" w:type="dxa"/>
            <w:vAlign w:val="bottom"/>
          </w:tcPr>
          <w:p>
            <w:pPr>
              <w:ind w:left="140"/>
              <w:spacing w:after="0"/>
              <w:rPr>
                <w:sz w:val="20"/>
                <w:szCs w:val="20"/>
                <w:color w:val="auto"/>
              </w:rPr>
            </w:pPr>
            <w:r>
              <w:rPr>
                <w:rFonts w:ascii="Verdana" w:cs="Verdana" w:eastAsia="Verdana" w:hAnsi="Verdana"/>
                <w:sz w:val="17"/>
                <w:szCs w:val="17"/>
                <w:color w:val="auto"/>
              </w:rPr>
              <w:t>Условная</w:t>
            </w:r>
          </w:p>
        </w:tc>
        <w:tc>
          <w:tcPr>
            <w:tcW w:w="5560" w:type="dxa"/>
            <w:vAlign w:val="bottom"/>
            <w:tcBorders>
              <w:right w:val="single" w:sz="8" w:color="auto"/>
            </w:tcBorders>
            <w:gridSpan w:val="5"/>
          </w:tcPr>
          <w:p>
            <w:pPr>
              <w:jc w:val="right"/>
              <w:ind w:right="97"/>
              <w:spacing w:after="0"/>
              <w:rPr>
                <w:sz w:val="20"/>
                <w:szCs w:val="20"/>
                <w:color w:val="auto"/>
              </w:rPr>
            </w:pPr>
            <w:r>
              <w:rPr>
                <w:rFonts w:ascii="Verdana" w:cs="Verdana" w:eastAsia="Verdana" w:hAnsi="Verdana"/>
                <w:sz w:val="17"/>
                <w:szCs w:val="17"/>
                <w:color w:val="auto"/>
              </w:rPr>
              <w:t xml:space="preserve">рекомендация   </w:t>
            </w:r>
            <w:r>
              <w:rPr>
                <w:rFonts w:ascii="Verdana" w:cs="Verdana" w:eastAsia="Verdana" w:hAnsi="Verdana"/>
                <w:sz w:val="17"/>
                <w:szCs w:val="17"/>
                <w:color w:val="auto"/>
              </w:rPr>
              <w:t>(</w:t>
            </w:r>
            <w:r>
              <w:rPr>
                <w:rFonts w:ascii="Verdana" w:cs="Verdana" w:eastAsia="Verdana" w:hAnsi="Verdana"/>
                <w:sz w:val="17"/>
                <w:szCs w:val="17"/>
                <w:color w:val="auto"/>
              </w:rPr>
              <w:t>не   все   рассматриваемые   критерии</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эффективности </w:t>
            </w:r>
            <w:r>
              <w:rPr>
                <w:rFonts w:ascii="Verdana" w:cs="Verdana" w:eastAsia="Verdana" w:hAnsi="Verdana"/>
                <w:sz w:val="17"/>
                <w:szCs w:val="17"/>
                <w:color w:val="auto"/>
              </w:rPr>
              <w:t>(</w:t>
            </w:r>
            <w:r>
              <w:rPr>
                <w:rFonts w:ascii="Verdana" w:cs="Verdana" w:eastAsia="Verdana" w:hAnsi="Verdana"/>
                <w:sz w:val="17"/>
                <w:szCs w:val="17"/>
                <w:color w:val="auto"/>
              </w:rPr>
              <w:t>исходы</w:t>
            </w:r>
            <w:r>
              <w:rPr>
                <w:rFonts w:ascii="Verdana" w:cs="Verdana" w:eastAsia="Verdana" w:hAnsi="Verdana"/>
                <w:sz w:val="17"/>
                <w:szCs w:val="17"/>
                <w:color w:val="auto"/>
              </w:rPr>
              <w:t>)</w:t>
            </w:r>
            <w:r>
              <w:rPr>
                <w:rFonts w:ascii="Verdana" w:cs="Verdana" w:eastAsia="Verdana" w:hAnsi="Verdana"/>
                <w:sz w:val="17"/>
                <w:szCs w:val="17"/>
                <w:color w:val="auto"/>
              </w:rPr>
              <w:t xml:space="preserve"> являются важными</w:t>
            </w:r>
            <w:r>
              <w:rPr>
                <w:rFonts w:ascii="Verdana" w:cs="Verdana" w:eastAsia="Verdana" w:hAnsi="Verdana"/>
                <w:sz w:val="17"/>
                <w:szCs w:val="17"/>
                <w:color w:val="auto"/>
              </w:rPr>
              <w:t>,</w:t>
            </w:r>
            <w:r>
              <w:rPr>
                <w:rFonts w:ascii="Verdana" w:cs="Verdana" w:eastAsia="Verdana" w:hAnsi="Verdana"/>
                <w:sz w:val="17"/>
                <w:szCs w:val="17"/>
                <w:color w:val="auto"/>
              </w:rPr>
              <w:t xml:space="preserve"> не все исследования</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w w:val="99"/>
              </w:rPr>
              <w:t>имеют высокое или удовлетворительное методологическое качество и</w:t>
            </w:r>
            <w:r>
              <w:rPr>
                <w:rFonts w:ascii="Verdana" w:cs="Verdana" w:eastAsia="Verdana" w:hAnsi="Verdana"/>
                <w:sz w:val="17"/>
                <w:szCs w:val="17"/>
                <w:color w:val="auto"/>
                <w:w w:val="99"/>
              </w:rPr>
              <w:t>/</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или   их   выводы   по   интересующим   исходам   не   являются</w:t>
            </w:r>
          </w:p>
        </w:tc>
      </w:tr>
      <w:tr>
        <w:trPr>
          <w:trHeight w:val="220"/>
        </w:trPr>
        <w:tc>
          <w:tcPr>
            <w:tcW w:w="1920" w:type="dxa"/>
            <w:vAlign w:val="bottom"/>
            <w:tcBorders>
              <w:left w:val="single" w:sz="8" w:color="auto"/>
              <w:right w:val="single" w:sz="8" w:color="auto"/>
            </w:tcBorders>
          </w:tcPr>
          <w:p>
            <w:pPr>
              <w:spacing w:after="0"/>
              <w:rPr>
                <w:sz w:val="19"/>
                <w:szCs w:val="19"/>
                <w:color w:val="auto"/>
              </w:rPr>
            </w:pPr>
          </w:p>
        </w:tc>
        <w:tc>
          <w:tcPr>
            <w:tcW w:w="2620" w:type="dxa"/>
            <w:vAlign w:val="bottom"/>
            <w:gridSpan w:val="2"/>
          </w:tcPr>
          <w:p>
            <w:pPr>
              <w:ind w:left="140"/>
              <w:spacing w:after="0"/>
              <w:rPr>
                <w:sz w:val="20"/>
                <w:szCs w:val="20"/>
                <w:color w:val="auto"/>
              </w:rPr>
            </w:pPr>
            <w:r>
              <w:rPr>
                <w:rFonts w:ascii="Verdana" w:cs="Verdana" w:eastAsia="Verdana" w:hAnsi="Verdana"/>
                <w:sz w:val="17"/>
                <w:szCs w:val="17"/>
                <w:color w:val="auto"/>
              </w:rPr>
              <w:t>согласованными</w:t>
            </w:r>
            <w:r>
              <w:rPr>
                <w:rFonts w:ascii="Verdana" w:cs="Verdana" w:eastAsia="Verdana" w:hAnsi="Verdana"/>
                <w:sz w:val="17"/>
                <w:szCs w:val="17"/>
                <w:color w:val="auto"/>
              </w:rPr>
              <w:t>).</w:t>
            </w:r>
          </w:p>
        </w:tc>
        <w:tc>
          <w:tcPr>
            <w:tcW w:w="660" w:type="dxa"/>
            <w:vAlign w:val="bottom"/>
          </w:tcPr>
          <w:p>
            <w:pPr>
              <w:spacing w:after="0"/>
              <w:rPr>
                <w:sz w:val="19"/>
                <w:szCs w:val="19"/>
                <w:color w:val="auto"/>
              </w:rPr>
            </w:pPr>
          </w:p>
        </w:tc>
        <w:tc>
          <w:tcPr>
            <w:tcW w:w="1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1060" w:type="dxa"/>
            <w:vAlign w:val="bottom"/>
            <w:tcBorders>
              <w:right w:val="single" w:sz="8" w:color="auto"/>
            </w:tcBorders>
          </w:tcPr>
          <w:p>
            <w:pPr>
              <w:spacing w:after="0"/>
              <w:rPr>
                <w:sz w:val="19"/>
                <w:szCs w:val="19"/>
                <w:color w:val="auto"/>
              </w:rPr>
            </w:pPr>
          </w:p>
        </w:tc>
      </w:tr>
      <w:tr>
        <w:trPr>
          <w:trHeight w:val="110"/>
        </w:trPr>
        <w:tc>
          <w:tcPr>
            <w:tcW w:w="1920" w:type="dxa"/>
            <w:vAlign w:val="bottom"/>
            <w:tcBorders>
              <w:left w:val="single" w:sz="8" w:color="auto"/>
              <w:bottom w:val="single" w:sz="8" w:color="auto"/>
              <w:right w:val="single" w:sz="8" w:color="auto"/>
            </w:tcBorders>
          </w:tcPr>
          <w:p>
            <w:pPr>
              <w:spacing w:after="0"/>
              <w:rPr>
                <w:sz w:val="9"/>
                <w:szCs w:val="9"/>
                <w:color w:val="auto"/>
              </w:rPr>
            </w:pPr>
          </w:p>
        </w:tc>
        <w:tc>
          <w:tcPr>
            <w:tcW w:w="980" w:type="dxa"/>
            <w:vAlign w:val="bottom"/>
            <w:tcBorders>
              <w:bottom w:val="single" w:sz="8" w:color="auto"/>
            </w:tcBorders>
          </w:tcPr>
          <w:p>
            <w:pPr>
              <w:spacing w:after="0"/>
              <w:rPr>
                <w:sz w:val="9"/>
                <w:szCs w:val="9"/>
                <w:color w:val="auto"/>
              </w:rPr>
            </w:pPr>
          </w:p>
        </w:tc>
        <w:tc>
          <w:tcPr>
            <w:tcW w:w="556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19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w:t>
            </w:r>
          </w:p>
        </w:tc>
        <w:tc>
          <w:tcPr>
            <w:tcW w:w="980" w:type="dxa"/>
            <w:vAlign w:val="bottom"/>
          </w:tcPr>
          <w:p>
            <w:pPr>
              <w:ind w:left="140"/>
              <w:spacing w:after="0"/>
              <w:rPr>
                <w:sz w:val="20"/>
                <w:szCs w:val="20"/>
                <w:color w:val="auto"/>
              </w:rPr>
            </w:pPr>
            <w:r>
              <w:rPr>
                <w:rFonts w:ascii="Verdana" w:cs="Verdana" w:eastAsia="Verdana" w:hAnsi="Verdana"/>
                <w:sz w:val="17"/>
                <w:szCs w:val="17"/>
                <w:color w:val="auto"/>
              </w:rPr>
              <w:t>Слабая</w:t>
            </w:r>
          </w:p>
        </w:tc>
        <w:tc>
          <w:tcPr>
            <w:tcW w:w="5560" w:type="dxa"/>
            <w:vAlign w:val="bottom"/>
            <w:tcBorders>
              <w:right w:val="single" w:sz="8" w:color="auto"/>
            </w:tcBorders>
            <w:gridSpan w:val="5"/>
          </w:tcPr>
          <w:p>
            <w:pPr>
              <w:jc w:val="right"/>
              <w:ind w:right="97"/>
              <w:spacing w:after="0"/>
              <w:rPr>
                <w:sz w:val="20"/>
                <w:szCs w:val="20"/>
                <w:color w:val="auto"/>
              </w:rPr>
            </w:pPr>
            <w:r>
              <w:rPr>
                <w:rFonts w:ascii="Verdana" w:cs="Verdana" w:eastAsia="Verdana" w:hAnsi="Verdana"/>
                <w:sz w:val="17"/>
                <w:szCs w:val="17"/>
                <w:color w:val="auto"/>
              </w:rPr>
              <w:t xml:space="preserve">рекомендация   </w:t>
            </w:r>
            <w:r>
              <w:rPr>
                <w:rFonts w:ascii="Verdana" w:cs="Verdana" w:eastAsia="Verdana" w:hAnsi="Verdana"/>
                <w:sz w:val="17"/>
                <w:szCs w:val="17"/>
                <w:color w:val="auto"/>
              </w:rPr>
              <w:t>(</w:t>
            </w:r>
            <w:r>
              <w:rPr>
                <w:rFonts w:ascii="Verdana" w:cs="Verdana" w:eastAsia="Verdana" w:hAnsi="Verdana"/>
                <w:sz w:val="17"/>
                <w:szCs w:val="17"/>
                <w:color w:val="auto"/>
              </w:rPr>
              <w:t>отсутствие   доказательств   надлежащего</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 xml:space="preserve">качества  </w:t>
            </w:r>
            <w:r>
              <w:rPr>
                <w:rFonts w:ascii="Verdana" w:cs="Verdana" w:eastAsia="Verdana" w:hAnsi="Verdana"/>
                <w:sz w:val="17"/>
                <w:szCs w:val="17"/>
                <w:color w:val="auto"/>
              </w:rPr>
              <w:t>(</w:t>
            </w:r>
            <w:r>
              <w:rPr>
                <w:rFonts w:ascii="Verdana" w:cs="Verdana" w:eastAsia="Verdana" w:hAnsi="Verdana"/>
                <w:sz w:val="17"/>
                <w:szCs w:val="17"/>
                <w:color w:val="auto"/>
              </w:rPr>
              <w:t xml:space="preserve">все  рассматриваемые  критерии  эффективности  </w:t>
            </w:r>
            <w:r>
              <w:rPr>
                <w:rFonts w:ascii="Verdana" w:cs="Verdana" w:eastAsia="Verdana" w:hAnsi="Verdana"/>
                <w:sz w:val="17"/>
                <w:szCs w:val="17"/>
                <w:color w:val="auto"/>
              </w:rPr>
              <w:t>(</w:t>
            </w:r>
            <w:r>
              <w:rPr>
                <w:rFonts w:ascii="Verdana" w:cs="Verdana" w:eastAsia="Verdana" w:hAnsi="Verdana"/>
                <w:sz w:val="17"/>
                <w:szCs w:val="17"/>
                <w:color w:val="auto"/>
              </w:rPr>
              <w:t>исходы</w:t>
            </w:r>
            <w:r>
              <w:rPr>
                <w:rFonts w:ascii="Verdana" w:cs="Verdana" w:eastAsia="Verdana" w:hAnsi="Verdana"/>
                <w:sz w:val="17"/>
                <w:szCs w:val="17"/>
                <w:color w:val="auto"/>
              </w:rPr>
              <w:t>)</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980" w:type="dxa"/>
            <w:vAlign w:val="bottom"/>
          </w:tcPr>
          <w:p>
            <w:pPr>
              <w:ind w:left="140"/>
              <w:spacing w:after="0" w:line="165" w:lineRule="exact"/>
              <w:rPr>
                <w:sz w:val="20"/>
                <w:szCs w:val="20"/>
                <w:color w:val="auto"/>
              </w:rPr>
            </w:pPr>
            <w:r>
              <w:rPr>
                <w:rFonts w:ascii="Verdana" w:cs="Verdana" w:eastAsia="Verdana" w:hAnsi="Verdana"/>
                <w:sz w:val="17"/>
                <w:szCs w:val="17"/>
                <w:color w:val="auto"/>
                <w:w w:val="98"/>
              </w:rPr>
              <w:t>являются</w:t>
            </w:r>
          </w:p>
        </w:tc>
        <w:tc>
          <w:tcPr>
            <w:tcW w:w="1640" w:type="dxa"/>
            <w:vAlign w:val="bottom"/>
          </w:tcPr>
          <w:p>
            <w:pPr>
              <w:ind w:left="320"/>
              <w:spacing w:after="0" w:line="165" w:lineRule="exact"/>
              <w:rPr>
                <w:sz w:val="20"/>
                <w:szCs w:val="20"/>
                <w:color w:val="auto"/>
              </w:rPr>
            </w:pPr>
            <w:r>
              <w:rPr>
                <w:rFonts w:ascii="Verdana" w:cs="Verdana" w:eastAsia="Verdana" w:hAnsi="Verdana"/>
                <w:sz w:val="17"/>
                <w:szCs w:val="17"/>
                <w:color w:val="auto"/>
              </w:rPr>
              <w:t>неважными</w:t>
            </w:r>
            <w:r>
              <w:rPr>
                <w:rFonts w:ascii="Verdana" w:cs="Verdana" w:eastAsia="Verdana" w:hAnsi="Verdana"/>
                <w:sz w:val="17"/>
                <w:szCs w:val="17"/>
                <w:color w:val="auto"/>
              </w:rPr>
              <w:t>,</w:t>
            </w:r>
          </w:p>
        </w:tc>
        <w:tc>
          <w:tcPr>
            <w:tcW w:w="660" w:type="dxa"/>
            <w:vAlign w:val="bottom"/>
          </w:tcPr>
          <w:p>
            <w:pPr>
              <w:ind w:left="80"/>
              <w:spacing w:after="0" w:line="165" w:lineRule="exact"/>
              <w:rPr>
                <w:sz w:val="20"/>
                <w:szCs w:val="20"/>
                <w:color w:val="auto"/>
              </w:rPr>
            </w:pPr>
            <w:r>
              <w:rPr>
                <w:rFonts w:ascii="Verdana" w:cs="Verdana" w:eastAsia="Verdana" w:hAnsi="Verdana"/>
                <w:sz w:val="17"/>
                <w:szCs w:val="17"/>
                <w:color w:val="auto"/>
              </w:rPr>
              <w:t>все</w:t>
            </w:r>
          </w:p>
        </w:tc>
        <w:tc>
          <w:tcPr>
            <w:tcW w:w="1420" w:type="dxa"/>
            <w:vAlign w:val="bottom"/>
          </w:tcPr>
          <w:p>
            <w:pPr>
              <w:ind w:left="60"/>
              <w:spacing w:after="0" w:line="165" w:lineRule="exact"/>
              <w:rPr>
                <w:sz w:val="20"/>
                <w:szCs w:val="20"/>
                <w:color w:val="auto"/>
              </w:rPr>
            </w:pPr>
            <w:r>
              <w:rPr>
                <w:rFonts w:ascii="Verdana" w:cs="Verdana" w:eastAsia="Verdana" w:hAnsi="Verdana"/>
                <w:sz w:val="17"/>
                <w:szCs w:val="17"/>
                <w:color w:val="auto"/>
              </w:rPr>
              <w:t>исследования</w:t>
            </w:r>
          </w:p>
        </w:tc>
        <w:tc>
          <w:tcPr>
            <w:tcW w:w="780" w:type="dxa"/>
            <w:vAlign w:val="bottom"/>
          </w:tcPr>
          <w:p>
            <w:pPr>
              <w:ind w:left="180"/>
              <w:spacing w:after="0" w:line="165" w:lineRule="exact"/>
              <w:rPr>
                <w:sz w:val="20"/>
                <w:szCs w:val="20"/>
                <w:color w:val="auto"/>
              </w:rPr>
            </w:pPr>
            <w:r>
              <w:rPr>
                <w:rFonts w:ascii="Verdana" w:cs="Verdana" w:eastAsia="Verdana" w:hAnsi="Verdana"/>
                <w:sz w:val="17"/>
                <w:szCs w:val="17"/>
                <w:color w:val="auto"/>
              </w:rPr>
              <w:t>имеют</w:t>
            </w:r>
          </w:p>
        </w:tc>
        <w:tc>
          <w:tcPr>
            <w:tcW w:w="10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низкое</w:t>
            </w:r>
          </w:p>
        </w:tc>
      </w:tr>
      <w:tr>
        <w:trPr>
          <w:trHeight w:val="165"/>
        </w:trPr>
        <w:tc>
          <w:tcPr>
            <w:tcW w:w="1920" w:type="dxa"/>
            <w:vAlign w:val="bottom"/>
            <w:tcBorders>
              <w:left w:val="single" w:sz="8" w:color="auto"/>
              <w:right w:val="single" w:sz="8" w:color="auto"/>
            </w:tcBorders>
          </w:tcPr>
          <w:p>
            <w:pPr>
              <w:spacing w:after="0"/>
              <w:rPr>
                <w:sz w:val="14"/>
                <w:szCs w:val="14"/>
                <w:color w:val="auto"/>
              </w:rPr>
            </w:pPr>
          </w:p>
        </w:tc>
        <w:tc>
          <w:tcPr>
            <w:tcW w:w="6540" w:type="dxa"/>
            <w:vAlign w:val="bottom"/>
            <w:tcBorders>
              <w:right w:val="single" w:sz="8" w:color="auto"/>
            </w:tcBorders>
            <w:gridSpan w:val="6"/>
          </w:tcPr>
          <w:p>
            <w:pPr>
              <w:ind w:left="140"/>
              <w:spacing w:after="0" w:line="165" w:lineRule="exact"/>
              <w:rPr>
                <w:sz w:val="20"/>
                <w:szCs w:val="20"/>
                <w:color w:val="auto"/>
              </w:rPr>
            </w:pPr>
            <w:r>
              <w:rPr>
                <w:rFonts w:ascii="Verdana" w:cs="Verdana" w:eastAsia="Verdana" w:hAnsi="Verdana"/>
                <w:sz w:val="17"/>
                <w:szCs w:val="17"/>
                <w:color w:val="auto"/>
              </w:rPr>
              <w:t>методологическое качество и их выводы по интересующим исходам не</w:t>
            </w:r>
          </w:p>
        </w:tc>
      </w:tr>
      <w:tr>
        <w:trPr>
          <w:trHeight w:val="220"/>
        </w:trPr>
        <w:tc>
          <w:tcPr>
            <w:tcW w:w="1920" w:type="dxa"/>
            <w:vAlign w:val="bottom"/>
            <w:tcBorders>
              <w:left w:val="single" w:sz="8" w:color="auto"/>
              <w:right w:val="single" w:sz="8" w:color="auto"/>
            </w:tcBorders>
          </w:tcPr>
          <w:p>
            <w:pPr>
              <w:spacing w:after="0"/>
              <w:rPr>
                <w:sz w:val="19"/>
                <w:szCs w:val="19"/>
                <w:color w:val="auto"/>
              </w:rPr>
            </w:pPr>
          </w:p>
        </w:tc>
        <w:tc>
          <w:tcPr>
            <w:tcW w:w="2620" w:type="dxa"/>
            <w:vAlign w:val="bottom"/>
            <w:gridSpan w:val="2"/>
          </w:tcPr>
          <w:p>
            <w:pPr>
              <w:ind w:left="140"/>
              <w:spacing w:after="0"/>
              <w:rPr>
                <w:sz w:val="20"/>
                <w:szCs w:val="20"/>
                <w:color w:val="auto"/>
              </w:rPr>
            </w:pPr>
            <w:r>
              <w:rPr>
                <w:rFonts w:ascii="Verdana" w:cs="Verdana" w:eastAsia="Verdana" w:hAnsi="Verdana"/>
                <w:sz w:val="17"/>
                <w:szCs w:val="17"/>
                <w:color w:val="auto"/>
                <w:w w:val="98"/>
              </w:rPr>
              <w:t>являются согласованными</w:t>
            </w:r>
            <w:r>
              <w:rPr>
                <w:rFonts w:ascii="Verdana" w:cs="Verdana" w:eastAsia="Verdana" w:hAnsi="Verdana"/>
                <w:sz w:val="17"/>
                <w:szCs w:val="17"/>
                <w:color w:val="auto"/>
                <w:w w:val="98"/>
              </w:rPr>
              <w:t>).</w:t>
            </w:r>
          </w:p>
        </w:tc>
        <w:tc>
          <w:tcPr>
            <w:tcW w:w="660" w:type="dxa"/>
            <w:vAlign w:val="bottom"/>
          </w:tcPr>
          <w:p>
            <w:pPr>
              <w:spacing w:after="0"/>
              <w:rPr>
                <w:sz w:val="19"/>
                <w:szCs w:val="19"/>
                <w:color w:val="auto"/>
              </w:rPr>
            </w:pPr>
          </w:p>
        </w:tc>
        <w:tc>
          <w:tcPr>
            <w:tcW w:w="1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1060" w:type="dxa"/>
            <w:vAlign w:val="bottom"/>
            <w:tcBorders>
              <w:right w:val="single" w:sz="8" w:color="auto"/>
            </w:tcBorders>
          </w:tcPr>
          <w:p>
            <w:pPr>
              <w:spacing w:after="0"/>
              <w:rPr>
                <w:sz w:val="19"/>
                <w:szCs w:val="19"/>
                <w:color w:val="auto"/>
              </w:rPr>
            </w:pPr>
          </w:p>
        </w:tc>
      </w:tr>
      <w:tr>
        <w:trPr>
          <w:trHeight w:val="110"/>
        </w:trPr>
        <w:tc>
          <w:tcPr>
            <w:tcW w:w="1920" w:type="dxa"/>
            <w:vAlign w:val="bottom"/>
            <w:tcBorders>
              <w:left w:val="single" w:sz="8" w:color="auto"/>
              <w:bottom w:val="single" w:sz="8" w:color="auto"/>
              <w:right w:val="single" w:sz="8" w:color="auto"/>
            </w:tcBorders>
          </w:tcPr>
          <w:p>
            <w:pPr>
              <w:spacing w:after="0"/>
              <w:rPr>
                <w:sz w:val="9"/>
                <w:szCs w:val="9"/>
                <w:color w:val="auto"/>
              </w:rPr>
            </w:pPr>
          </w:p>
        </w:tc>
        <w:tc>
          <w:tcPr>
            <w:tcW w:w="980" w:type="dxa"/>
            <w:vAlign w:val="bottom"/>
            <w:tcBorders>
              <w:bottom w:val="single" w:sz="8" w:color="auto"/>
            </w:tcBorders>
          </w:tcPr>
          <w:p>
            <w:pPr>
              <w:spacing w:after="0"/>
              <w:rPr>
                <w:sz w:val="9"/>
                <w:szCs w:val="9"/>
                <w:color w:val="auto"/>
              </w:rPr>
            </w:pPr>
          </w:p>
        </w:tc>
        <w:tc>
          <w:tcPr>
            <w:tcW w:w="164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1420" w:type="dxa"/>
            <w:vAlign w:val="bottom"/>
            <w:tcBorders>
              <w:bottom w:val="single" w:sz="8" w:color="auto"/>
            </w:tcBorders>
          </w:tcPr>
          <w:p>
            <w:pPr>
              <w:spacing w:after="0"/>
              <w:rPr>
                <w:sz w:val="9"/>
                <w:szCs w:val="9"/>
                <w:color w:val="auto"/>
              </w:rPr>
            </w:pPr>
          </w:p>
        </w:tc>
        <w:tc>
          <w:tcPr>
            <w:tcW w:w="7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40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Порядок обновления клинических рекомендаций</w:t>
      </w:r>
    </w:p>
    <w:p>
      <w:pPr>
        <w:spacing w:after="0" w:line="350" w:lineRule="exact"/>
        <w:rPr>
          <w:sz w:val="20"/>
          <w:szCs w:val="20"/>
          <w:color w:val="auto"/>
        </w:rPr>
      </w:pPr>
    </w:p>
    <w:p>
      <w:pPr>
        <w:jc w:val="both"/>
        <w:ind w:left="360" w:right="220"/>
        <w:spacing w:after="0" w:line="301" w:lineRule="auto"/>
        <w:rPr>
          <w:sz w:val="20"/>
          <w:szCs w:val="20"/>
          <w:color w:val="auto"/>
        </w:rPr>
      </w:pPr>
      <w:r>
        <w:rPr>
          <w:rFonts w:ascii="Arial" w:cs="Arial" w:eastAsia="Arial" w:hAnsi="Arial"/>
          <w:sz w:val="27"/>
          <w:szCs w:val="27"/>
          <w:color w:val="auto"/>
        </w:rPr>
        <w:t xml:space="preserve">Механизм обновления клинических рекомендаций предусматривает их систематическую актуализацию </w:t>
      </w:r>
      <w:r>
        <w:rPr>
          <w:rFonts w:ascii="Arial" w:cs="Arial" w:eastAsia="Arial" w:hAnsi="Arial"/>
          <w:sz w:val="27"/>
          <w:szCs w:val="27"/>
          <w:color w:val="auto"/>
        </w:rPr>
        <w:t>—</w:t>
      </w:r>
      <w:r>
        <w:rPr>
          <w:rFonts w:ascii="Arial" w:cs="Arial" w:eastAsia="Arial" w:hAnsi="Arial"/>
          <w:sz w:val="27"/>
          <w:szCs w:val="27"/>
          <w:color w:val="auto"/>
        </w:rPr>
        <w:t xml:space="preserve"> не реже чем один раз в три года или при появлении новой информации о тактике ведения пациентов с данным заболеванием</w:t>
      </w:r>
      <w:r>
        <w:rPr>
          <w:rFonts w:ascii="Arial" w:cs="Arial" w:eastAsia="Arial" w:hAnsi="Arial"/>
          <w:sz w:val="27"/>
          <w:szCs w:val="27"/>
          <w:color w:val="auto"/>
        </w:rPr>
        <w:t>.</w:t>
      </w:r>
      <w:r>
        <w:rPr>
          <w:rFonts w:ascii="Arial" w:cs="Arial" w:eastAsia="Arial" w:hAnsi="Arial"/>
          <w:sz w:val="27"/>
          <w:szCs w:val="27"/>
          <w:color w:val="auto"/>
        </w:rPr>
        <w:t xml:space="preserve"> Решение об обновлении принимает МЗ РФ на основе предложений</w:t>
      </w:r>
      <w:r>
        <w:rPr>
          <w:rFonts w:ascii="Arial" w:cs="Arial" w:eastAsia="Arial" w:hAnsi="Arial"/>
          <w:sz w:val="27"/>
          <w:szCs w:val="27"/>
          <w:color w:val="auto"/>
        </w:rPr>
        <w:t>,</w:t>
      </w:r>
    </w:p>
    <w:p>
      <w:pPr>
        <w:spacing w:after="0" w:line="4" w:lineRule="exact"/>
        <w:rPr>
          <w:sz w:val="20"/>
          <w:szCs w:val="20"/>
          <w:color w:val="auto"/>
        </w:rPr>
      </w:pPr>
    </w:p>
    <w:p>
      <w:pPr>
        <w:ind w:left="360"/>
        <w:spacing w:after="0"/>
        <w:tabs>
          <w:tab w:leader="none" w:pos="3460" w:val="left"/>
          <w:tab w:leader="none" w:pos="6420" w:val="left"/>
        </w:tabs>
        <w:rPr>
          <w:sz w:val="20"/>
          <w:szCs w:val="20"/>
          <w:color w:val="auto"/>
        </w:rPr>
      </w:pPr>
      <w:r>
        <w:rPr>
          <w:rFonts w:ascii="Arial" w:cs="Arial" w:eastAsia="Arial" w:hAnsi="Arial"/>
          <w:sz w:val="27"/>
          <w:szCs w:val="27"/>
          <w:color w:val="auto"/>
        </w:rPr>
        <w:t>представленных</w:t>
      </w:r>
      <w:r>
        <w:rPr>
          <w:sz w:val="20"/>
          <w:szCs w:val="20"/>
          <w:color w:val="auto"/>
        </w:rPr>
        <w:tab/>
      </w:r>
      <w:r>
        <w:rPr>
          <w:rFonts w:ascii="Arial" w:cs="Arial" w:eastAsia="Arial" w:hAnsi="Arial"/>
          <w:sz w:val="27"/>
          <w:szCs w:val="27"/>
          <w:color w:val="auto"/>
        </w:rPr>
        <w:t>медицинскими</w:t>
      </w:r>
      <w:r>
        <w:rPr>
          <w:sz w:val="20"/>
          <w:szCs w:val="20"/>
          <w:color w:val="auto"/>
        </w:rPr>
        <w:tab/>
      </w:r>
      <w:r>
        <w:rPr>
          <w:rFonts w:ascii="Arial" w:cs="Arial" w:eastAsia="Arial" w:hAnsi="Arial"/>
          <w:sz w:val="27"/>
          <w:szCs w:val="27"/>
          <w:color w:val="auto"/>
        </w:rPr>
        <w:t>некоммерческими</w:t>
      </w:r>
    </w:p>
    <w:p>
      <w:pPr>
        <w:spacing w:after="0" w:line="80"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профессиональными организациями</w:t>
      </w:r>
      <w:r>
        <w:rPr>
          <w:rFonts w:ascii="Arial" w:cs="Arial" w:eastAsia="Arial" w:hAnsi="Arial"/>
          <w:sz w:val="27"/>
          <w:szCs w:val="27"/>
          <w:color w:val="auto"/>
        </w:rPr>
        <w:t>.</w:t>
      </w:r>
      <w:r>
        <w:rPr>
          <w:rFonts w:ascii="Arial" w:cs="Arial" w:eastAsia="Arial" w:hAnsi="Arial"/>
          <w:sz w:val="27"/>
          <w:szCs w:val="27"/>
          <w:color w:val="auto"/>
        </w:rPr>
        <w:t xml:space="preserve"> Сформированные предложения должны учитывать результаты комплексной оценки лекарственных препаратов</w:t>
      </w:r>
      <w:r>
        <w:rPr>
          <w:rFonts w:ascii="Arial" w:cs="Arial" w:eastAsia="Arial" w:hAnsi="Arial"/>
          <w:sz w:val="27"/>
          <w:szCs w:val="27"/>
          <w:color w:val="auto"/>
        </w:rPr>
        <w:t>,</w:t>
      </w:r>
      <w:r>
        <w:rPr>
          <w:rFonts w:ascii="Arial" w:cs="Arial" w:eastAsia="Arial" w:hAnsi="Arial"/>
          <w:sz w:val="27"/>
          <w:szCs w:val="27"/>
          <w:color w:val="auto"/>
        </w:rPr>
        <w:t xml:space="preserve"> медицинских изделий</w:t>
      </w:r>
      <w:r>
        <w:rPr>
          <w:rFonts w:ascii="Arial" w:cs="Arial" w:eastAsia="Arial" w:hAnsi="Arial"/>
          <w:sz w:val="27"/>
          <w:szCs w:val="27"/>
          <w:color w:val="auto"/>
        </w:rPr>
        <w:t>,</w:t>
      </w:r>
      <w:r>
        <w:rPr>
          <w:rFonts w:ascii="Arial" w:cs="Arial" w:eastAsia="Arial" w:hAnsi="Arial"/>
          <w:sz w:val="27"/>
          <w:szCs w:val="27"/>
          <w:color w:val="auto"/>
        </w:rPr>
        <w:t xml:space="preserve"> а также результаты клинической апробации</w:t>
      </w:r>
      <w:r>
        <w:rPr>
          <w:rFonts w:ascii="Arial" w:cs="Arial" w:eastAsia="Arial" w:hAnsi="Arial"/>
          <w:sz w:val="27"/>
          <w:szCs w:val="27"/>
          <w:color w:val="auto"/>
        </w:rPr>
        <w:t>.</w:t>
      </w:r>
    </w:p>
    <w:p>
      <w:pPr>
        <w:sectPr>
          <w:pgSz w:w="11900" w:h="16840" w:orient="portrait"/>
          <w:cols w:equalWidth="0" w:num="1">
            <w:col w:w="9020"/>
          </w:cols>
          <w:pgMar w:left="1440" w:top="0" w:right="1440" w:bottom="1440" w:gutter="0" w:footer="0" w:header="0"/>
        </w:sectPr>
      </w:pPr>
    </w:p>
    <w:bookmarkStart w:id="122" w:name="page123"/>
    <w:bookmarkEnd w:id="122"/>
    <w:p>
      <w:pPr>
        <w:ind w:left="360" w:right="1900"/>
        <w:spacing w:after="0" w:line="244" w:lineRule="auto"/>
        <w:rPr>
          <w:sz w:val="20"/>
          <w:szCs w:val="20"/>
          <w:color w:val="auto"/>
        </w:rPr>
      </w:pPr>
      <w:r>
        <w:rPr>
          <w:rFonts w:ascii="Arial" w:cs="Arial" w:eastAsia="Arial" w:hAnsi="Arial"/>
          <w:sz w:val="48"/>
          <w:szCs w:val="48"/>
          <w:b w:val="1"/>
          <w:bCs w:val="1"/>
          <w:color w:val="auto"/>
        </w:rPr>
        <w:t>Приложение А</w:t>
      </w:r>
      <w:r>
        <w:rPr>
          <w:rFonts w:ascii="Arial" w:cs="Arial" w:eastAsia="Arial" w:hAnsi="Arial"/>
          <w:sz w:val="48"/>
          <w:szCs w:val="48"/>
          <w:b w:val="1"/>
          <w:bCs w:val="1"/>
          <w:color w:val="auto"/>
        </w:rPr>
        <w:t>3.</w:t>
      </w:r>
      <w:r>
        <w:rPr>
          <w:rFonts w:ascii="Arial" w:cs="Arial" w:eastAsia="Arial" w:hAnsi="Arial"/>
          <w:sz w:val="48"/>
          <w:szCs w:val="48"/>
          <w:b w:val="1"/>
          <w:bCs w:val="1"/>
          <w:color w:val="auto"/>
        </w:rPr>
        <w:t xml:space="preserve"> Связанные документы</w:t>
      </w:r>
    </w:p>
    <w:p>
      <w:pPr>
        <w:spacing w:after="0" w:line="200" w:lineRule="exact"/>
        <w:rPr>
          <w:sz w:val="20"/>
          <w:szCs w:val="20"/>
          <w:color w:val="auto"/>
        </w:rPr>
      </w:pPr>
    </w:p>
    <w:p>
      <w:pPr>
        <w:spacing w:after="0" w:line="200" w:lineRule="exact"/>
        <w:rPr>
          <w:sz w:val="20"/>
          <w:szCs w:val="20"/>
          <w:color w:val="auto"/>
        </w:rPr>
      </w:pPr>
    </w:p>
    <w:p>
      <w:pPr>
        <w:spacing w:after="0" w:line="209" w:lineRule="exact"/>
        <w:rPr>
          <w:sz w:val="20"/>
          <w:szCs w:val="20"/>
          <w:color w:val="auto"/>
        </w:rPr>
      </w:pPr>
    </w:p>
    <w:p>
      <w:pPr>
        <w:ind w:left="360" w:right="580" w:firstLine="89"/>
        <w:spacing w:after="0" w:line="222" w:lineRule="auto"/>
        <w:rPr>
          <w:sz w:val="20"/>
          <w:szCs w:val="20"/>
          <w:color w:val="auto"/>
        </w:rPr>
      </w:pPr>
      <w:r>
        <w:rPr>
          <w:rFonts w:ascii="Arial" w:cs="Arial" w:eastAsia="Arial" w:hAnsi="Arial"/>
          <w:sz w:val="33"/>
          <w:szCs w:val="33"/>
          <w:b w:val="1"/>
          <w:bCs w:val="1"/>
          <w:color w:val="auto"/>
        </w:rPr>
        <w:t>Справочные материалы</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включая соответствие показаний к применению и противопоказаний</w:t>
      </w:r>
      <w:r>
        <w:rPr>
          <w:rFonts w:ascii="Arial" w:cs="Arial" w:eastAsia="Arial" w:hAnsi="Arial"/>
          <w:sz w:val="33"/>
          <w:szCs w:val="33"/>
          <w:b w:val="1"/>
          <w:bCs w:val="1"/>
          <w:color w:val="auto"/>
        </w:rPr>
        <w:t>,</w:t>
      </w:r>
      <w:r>
        <w:rPr>
          <w:rFonts w:ascii="Arial" w:cs="Arial" w:eastAsia="Arial" w:hAnsi="Arial"/>
          <w:sz w:val="33"/>
          <w:szCs w:val="33"/>
          <w:b w:val="1"/>
          <w:bCs w:val="1"/>
          <w:color w:val="auto"/>
        </w:rPr>
        <w:t xml:space="preserve"> способов применения и доз лекарственных препаратов инструкции по применению лекарственного препарата</w:t>
      </w:r>
    </w:p>
    <w:p>
      <w:pPr>
        <w:spacing w:after="0" w:line="200" w:lineRule="exact"/>
        <w:rPr>
          <w:sz w:val="20"/>
          <w:szCs w:val="20"/>
          <w:color w:val="auto"/>
        </w:rPr>
      </w:pPr>
    </w:p>
    <w:p>
      <w:pPr>
        <w:spacing w:after="0" w:line="223" w:lineRule="exact"/>
        <w:rPr>
          <w:sz w:val="20"/>
          <w:szCs w:val="20"/>
          <w:color w:val="auto"/>
        </w:rPr>
      </w:pPr>
    </w:p>
    <w:p>
      <w:pPr>
        <w:jc w:val="both"/>
        <w:ind w:left="360" w:right="220" w:firstLine="1"/>
        <w:spacing w:after="0" w:line="312" w:lineRule="auto"/>
        <w:tabs>
          <w:tab w:leader="none" w:pos="657" w:val="left"/>
        </w:tabs>
        <w:numPr>
          <w:ilvl w:val="0"/>
          <w:numId w:val="99"/>
        </w:numPr>
        <w:rPr>
          <w:rFonts w:ascii="Arial" w:cs="Arial" w:eastAsia="Arial" w:hAnsi="Arial"/>
          <w:sz w:val="27"/>
          <w:szCs w:val="27"/>
          <w:color w:val="auto"/>
        </w:rPr>
      </w:pPr>
      <w:r>
        <w:rPr>
          <w:rFonts w:ascii="Arial" w:cs="Arial" w:eastAsia="Arial" w:hAnsi="Arial"/>
          <w:sz w:val="27"/>
          <w:szCs w:val="27"/>
          <w:color w:val="auto"/>
        </w:rPr>
        <w:t>Приказ Министерства здравоохранения Российской Федерации от 15 ноября 2012 г. № 918н «Об утверждении Порядка оказания медицинской помощи больным с сердечно-сосудистыми заболеваниями».</w:t>
      </w:r>
    </w:p>
    <w:p>
      <w:pPr>
        <w:spacing w:after="0" w:line="216" w:lineRule="exact"/>
        <w:rPr>
          <w:rFonts w:ascii="Arial" w:cs="Arial" w:eastAsia="Arial" w:hAnsi="Arial"/>
          <w:sz w:val="27"/>
          <w:szCs w:val="27"/>
          <w:color w:val="auto"/>
        </w:rPr>
      </w:pPr>
    </w:p>
    <w:p>
      <w:pPr>
        <w:jc w:val="both"/>
        <w:ind w:left="360" w:right="220" w:firstLine="1"/>
        <w:spacing w:after="0" w:line="301" w:lineRule="auto"/>
        <w:tabs>
          <w:tab w:leader="none" w:pos="822" w:val="left"/>
        </w:tabs>
        <w:numPr>
          <w:ilvl w:val="0"/>
          <w:numId w:val="99"/>
        </w:numPr>
        <w:rPr>
          <w:rFonts w:ascii="Arial" w:cs="Arial" w:eastAsia="Arial" w:hAnsi="Arial"/>
          <w:sz w:val="27"/>
          <w:szCs w:val="27"/>
          <w:color w:val="auto"/>
        </w:rPr>
      </w:pPr>
      <w:r>
        <w:rPr>
          <w:rFonts w:ascii="Arial" w:cs="Arial" w:eastAsia="Arial" w:hAnsi="Arial"/>
          <w:sz w:val="27"/>
          <w:szCs w:val="27"/>
          <w:color w:val="auto"/>
        </w:rPr>
        <w:t>Стандарт медицинской помощи больным эссенциальной первичной артериальной гипертензией (при оказании</w:t>
      </w:r>
    </w:p>
    <w:p>
      <w:pPr>
        <w:spacing w:after="0" w:line="1" w:lineRule="exact"/>
        <w:rPr>
          <w:rFonts w:ascii="Arial" w:cs="Arial" w:eastAsia="Arial" w:hAnsi="Arial"/>
          <w:sz w:val="27"/>
          <w:szCs w:val="27"/>
          <w:color w:val="auto"/>
        </w:rPr>
      </w:pPr>
    </w:p>
    <w:p>
      <w:pPr>
        <w:jc w:val="both"/>
        <w:ind w:left="360" w:right="220"/>
        <w:spacing w:after="0" w:line="317" w:lineRule="auto"/>
        <w:rPr>
          <w:rFonts w:ascii="Arial" w:cs="Arial" w:eastAsia="Arial" w:hAnsi="Arial"/>
          <w:sz w:val="27"/>
          <w:szCs w:val="27"/>
          <w:color w:val="auto"/>
        </w:rPr>
      </w:pPr>
      <w:r>
        <w:rPr>
          <w:rFonts w:ascii="Arial" w:cs="Arial" w:eastAsia="Arial" w:hAnsi="Arial"/>
          <w:sz w:val="27"/>
          <w:szCs w:val="27"/>
          <w:color w:val="auto"/>
        </w:rPr>
        <w:t>специализированной помощи), утвержден приказом Министерства здравоохранения и социального развития Российской Федерации от 13 июня 2007г. № 419.</w:t>
      </w:r>
    </w:p>
    <w:p>
      <w:pPr>
        <w:spacing w:after="0" w:line="210" w:lineRule="exact"/>
        <w:rPr>
          <w:rFonts w:ascii="Arial" w:cs="Arial" w:eastAsia="Arial" w:hAnsi="Arial"/>
          <w:sz w:val="27"/>
          <w:szCs w:val="27"/>
          <w:color w:val="auto"/>
        </w:rPr>
      </w:pPr>
    </w:p>
    <w:p>
      <w:pPr>
        <w:jc w:val="both"/>
        <w:ind w:left="360" w:right="220" w:firstLine="1"/>
        <w:spacing w:after="0" w:line="317" w:lineRule="auto"/>
        <w:tabs>
          <w:tab w:leader="none" w:pos="657" w:val="left"/>
        </w:tabs>
        <w:numPr>
          <w:ilvl w:val="0"/>
          <w:numId w:val="99"/>
        </w:numPr>
        <w:rPr>
          <w:rFonts w:ascii="Arial" w:cs="Arial" w:eastAsia="Arial" w:hAnsi="Arial"/>
          <w:sz w:val="27"/>
          <w:szCs w:val="27"/>
          <w:color w:val="auto"/>
        </w:rPr>
      </w:pPr>
      <w:r>
        <w:rPr>
          <w:rFonts w:ascii="Arial" w:cs="Arial" w:eastAsia="Arial" w:hAnsi="Arial"/>
          <w:sz w:val="27"/>
          <w:szCs w:val="27"/>
          <w:color w:val="auto"/>
        </w:rPr>
        <w:t>Приказ Министерства здравоохранения Российской Федерации от 15 июля 2016 г. № 520н «Об утверждении критериев оценки качества медицинской помощи»</w:t>
      </w:r>
    </w:p>
    <w:p>
      <w:pPr>
        <w:spacing w:after="0" w:line="210" w:lineRule="exact"/>
        <w:rPr>
          <w:rFonts w:ascii="Arial" w:cs="Arial" w:eastAsia="Arial" w:hAnsi="Arial"/>
          <w:sz w:val="27"/>
          <w:szCs w:val="27"/>
          <w:color w:val="auto"/>
        </w:rPr>
      </w:pPr>
    </w:p>
    <w:p>
      <w:pPr>
        <w:jc w:val="both"/>
        <w:ind w:left="360" w:right="220" w:firstLine="1"/>
        <w:spacing w:after="0" w:line="307" w:lineRule="auto"/>
        <w:tabs>
          <w:tab w:leader="none" w:pos="657" w:val="left"/>
        </w:tabs>
        <w:numPr>
          <w:ilvl w:val="0"/>
          <w:numId w:val="99"/>
        </w:numPr>
        <w:rPr>
          <w:rFonts w:ascii="Arial" w:cs="Arial" w:eastAsia="Arial" w:hAnsi="Arial"/>
          <w:sz w:val="27"/>
          <w:szCs w:val="27"/>
          <w:color w:val="auto"/>
        </w:rPr>
      </w:pPr>
      <w:r>
        <w:rPr>
          <w:rFonts w:ascii="Arial" w:cs="Arial" w:eastAsia="Arial" w:hAnsi="Arial"/>
          <w:sz w:val="27"/>
          <w:szCs w:val="27"/>
          <w:color w:val="auto"/>
        </w:rPr>
        <w:t>Приказ Министерства здравоохранения Российской Федерации от 28.02.2019 №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обоснованности включаемой в клинические рекомендации информации» (Зарегистрирован 08.05.2019 № 54588)</w:t>
      </w:r>
    </w:p>
    <w:p>
      <w:pPr>
        <w:sectPr>
          <w:pgSz w:w="11900" w:h="16840" w:orient="portrait"/>
          <w:cols w:equalWidth="0" w:num="1">
            <w:col w:w="9020"/>
          </w:cols>
          <w:pgMar w:left="1440" w:top="671" w:right="1440" w:bottom="1440" w:gutter="0" w:footer="0" w:header="0"/>
        </w:sectPr>
      </w:pPr>
    </w:p>
    <w:bookmarkStart w:id="123" w:name="page124"/>
    <w:bookmarkEnd w:id="123"/>
    <w:p>
      <w:pPr>
        <w:ind w:left="360" w:right="2080"/>
        <w:spacing w:after="0" w:line="244" w:lineRule="auto"/>
        <w:rPr>
          <w:sz w:val="20"/>
          <w:szCs w:val="20"/>
          <w:color w:val="auto"/>
        </w:rPr>
      </w:pPr>
      <w:r>
        <w:rPr>
          <w:rFonts w:ascii="Arial" w:cs="Arial" w:eastAsia="Arial" w:hAnsi="Arial"/>
          <w:sz w:val="48"/>
          <w:szCs w:val="48"/>
          <w:b w:val="1"/>
          <w:bCs w:val="1"/>
          <w:color w:val="auto"/>
        </w:rPr>
        <w:t>Приложение Б</w:t>
      </w:r>
      <w:r>
        <w:rPr>
          <w:rFonts w:ascii="Arial" w:cs="Arial" w:eastAsia="Arial" w:hAnsi="Arial"/>
          <w:sz w:val="48"/>
          <w:szCs w:val="48"/>
          <w:b w:val="1"/>
          <w:bCs w:val="1"/>
          <w:color w:val="auto"/>
        </w:rPr>
        <w:t>.</w:t>
      </w:r>
      <w:r>
        <w:rPr>
          <w:rFonts w:ascii="Arial" w:cs="Arial" w:eastAsia="Arial" w:hAnsi="Arial"/>
          <w:sz w:val="48"/>
          <w:szCs w:val="48"/>
          <w:b w:val="1"/>
          <w:bCs w:val="1"/>
          <w:color w:val="auto"/>
        </w:rPr>
        <w:t xml:space="preserve"> Алгоритмы ведения пациента</w:t>
      </w:r>
    </w:p>
    <w:p>
      <w:pPr>
        <w:spacing w:after="0" w:line="200" w:lineRule="exact"/>
        <w:rPr>
          <w:sz w:val="20"/>
          <w:szCs w:val="20"/>
          <w:color w:val="auto"/>
        </w:rPr>
      </w:pPr>
    </w:p>
    <w:p>
      <w:pPr>
        <w:spacing w:after="0" w:line="200" w:lineRule="exact"/>
        <w:rPr>
          <w:sz w:val="20"/>
          <w:szCs w:val="20"/>
          <w:color w:val="auto"/>
        </w:rPr>
      </w:pPr>
    </w:p>
    <w:p>
      <w:pPr>
        <w:spacing w:after="0" w:line="209" w:lineRule="exact"/>
        <w:rPr>
          <w:sz w:val="20"/>
          <w:szCs w:val="20"/>
          <w:color w:val="auto"/>
        </w:rPr>
      </w:pPr>
    </w:p>
    <w:p>
      <w:pPr>
        <w:ind w:left="360"/>
        <w:spacing w:after="0"/>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1.</w:t>
      </w:r>
      <w:r>
        <w:rPr>
          <w:rFonts w:ascii="Arial" w:cs="Arial" w:eastAsia="Arial" w:hAnsi="Arial"/>
          <w:sz w:val="33"/>
          <w:szCs w:val="33"/>
          <w:b w:val="1"/>
          <w:bCs w:val="1"/>
          <w:color w:val="auto"/>
        </w:rPr>
        <w:t xml:space="preserve"> Тактика ведения пациентов</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291465</wp:posOffset>
            </wp:positionV>
            <wp:extent cx="5365115" cy="4069080"/>
            <wp:wrapNone/>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318">
                      <a:extLst>
                        <a:ext uri="{28A0092B-C50C-407E-A947-70E740481C1C}"/>
                      </a:extLst>
                    </a:blip>
                    <a:srcRect/>
                    <a:stretch>
                      <a:fillRect/>
                    </a:stretch>
                  </pic:blipFill>
                  <pic:spPr bwMode="auto">
                    <a:xfrm>
                      <a:off x="0" y="0"/>
                      <a:ext cx="5365115" cy="406908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39" w:lineRule="exact"/>
        <w:rPr>
          <w:sz w:val="20"/>
          <w:szCs w:val="20"/>
          <w:color w:val="auto"/>
        </w:rPr>
      </w:pPr>
    </w:p>
    <w:p>
      <w:pPr>
        <w:jc w:val="center"/>
        <w:ind w:right="-39"/>
        <w:spacing w:after="0"/>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2.</w:t>
      </w:r>
      <w:r>
        <w:rPr>
          <w:rFonts w:ascii="Arial" w:cs="Arial" w:eastAsia="Arial" w:hAnsi="Arial"/>
          <w:sz w:val="33"/>
          <w:szCs w:val="33"/>
          <w:b w:val="1"/>
          <w:bCs w:val="1"/>
          <w:color w:val="auto"/>
        </w:rPr>
        <w:t xml:space="preserve"> Алгоритм лечения АГ </w:t>
      </w:r>
      <w:r>
        <w:rPr>
          <w:rFonts w:ascii="Arial" w:cs="Arial" w:eastAsia="Arial" w:hAnsi="Arial"/>
          <w:sz w:val="33"/>
          <w:szCs w:val="33"/>
          <w:b w:val="1"/>
          <w:bCs w:val="1"/>
          <w:color w:val="auto"/>
        </w:rPr>
        <w:t>I–II</w:t>
      </w:r>
      <w:r>
        <w:rPr>
          <w:rFonts w:ascii="Arial" w:cs="Arial" w:eastAsia="Arial" w:hAnsi="Arial"/>
          <w:sz w:val="33"/>
          <w:szCs w:val="33"/>
          <w:b w:val="1"/>
          <w:bCs w:val="1"/>
          <w:color w:val="auto"/>
        </w:rPr>
        <w:t xml:space="preserve"> стадий</w:t>
      </w:r>
    </w:p>
    <w:p>
      <w:pPr>
        <w:spacing w:after="0" w:line="200" w:lineRule="exact"/>
        <w:rPr>
          <w:sz w:val="20"/>
          <w:szCs w:val="20"/>
          <w:color w:val="auto"/>
        </w:rPr>
      </w:pPr>
    </w:p>
    <w:p>
      <w:pPr>
        <w:spacing w:after="0" w:line="278"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Этот алгоритм подходит для большинства пациентов с ПОМ</w:t>
      </w:r>
      <w:r>
        <w:rPr>
          <w:rFonts w:ascii="Arial" w:cs="Arial" w:eastAsia="Arial" w:hAnsi="Arial"/>
          <w:sz w:val="27"/>
          <w:szCs w:val="27"/>
          <w:color w:val="auto"/>
        </w:rPr>
        <w:t>,</w:t>
      </w:r>
      <w:r>
        <w:rPr>
          <w:rFonts w:ascii="Arial" w:cs="Arial" w:eastAsia="Arial" w:hAnsi="Arial"/>
          <w:sz w:val="27"/>
          <w:szCs w:val="27"/>
          <w:color w:val="auto"/>
        </w:rPr>
        <w:t xml:space="preserve"> а также может быть использован при лечении пациентов с цереброваскулярной болезнью</w:t>
      </w:r>
      <w:r>
        <w:rPr>
          <w:rFonts w:ascii="Arial" w:cs="Arial" w:eastAsia="Arial" w:hAnsi="Arial"/>
          <w:sz w:val="27"/>
          <w:szCs w:val="27"/>
          <w:color w:val="auto"/>
        </w:rPr>
        <w:t>,</w:t>
      </w:r>
      <w:r>
        <w:rPr>
          <w:rFonts w:ascii="Arial" w:cs="Arial" w:eastAsia="Arial" w:hAnsi="Arial"/>
          <w:sz w:val="27"/>
          <w:szCs w:val="27"/>
          <w:color w:val="auto"/>
        </w:rPr>
        <w:t xml:space="preserve"> СД или заболеваниями периферических артерий</w:t>
      </w:r>
      <w:r>
        <w:rPr>
          <w:rFonts w:ascii="Arial" w:cs="Arial" w:eastAsia="Arial" w:hAnsi="Arial"/>
          <w:sz w:val="27"/>
          <w:szCs w:val="27"/>
          <w:color w:val="auto"/>
        </w:rPr>
        <w:t>.</w:t>
      </w:r>
    </w:p>
    <w:p>
      <w:pPr>
        <w:sectPr>
          <w:pgSz w:w="11900" w:h="16840" w:orient="portrait"/>
          <w:cols w:equalWidth="0" w:num="1">
            <w:col w:w="9020"/>
          </w:cols>
          <w:pgMar w:left="1440" w:top="671" w:right="1440" w:bottom="1440" w:gutter="0" w:footer="0" w:header="0"/>
        </w:sectPr>
      </w:pPr>
    </w:p>
    <w:bookmarkStart w:id="124" w:name="page125"/>
    <w:bookmarkEnd w:id="124"/>
    <w:p>
      <w:pPr>
        <w:spacing w:after="0" w:line="200" w:lineRule="exact"/>
        <w:rPr>
          <w:sz w:val="20"/>
          <w:szCs w:val="20"/>
          <w:color w:val="auto"/>
        </w:rPr>
      </w:pPr>
      <w:r>
        <w:rPr>
          <w:sz w:val="20"/>
          <w:szCs w:val="20"/>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3811905"/>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319">
                      <a:clrChange>
                        <a:clrFrom>
                          <a:srgbClr val="FFFFFF"/>
                        </a:clrFrom>
                        <a:clrTo>
                          <a:srgbClr val="FFFFFF">
                            <a:alpha val="0"/>
                          </a:srgbClr>
                        </a:clrTo>
                      </a:clrChange>
                      <a:extLst>
                        <a:ext uri="{28A0092B-C50C-407E-A947-70E740481C1C}"/>
                      </a:extLst>
                    </a:blip>
                    <a:srcRect/>
                    <a:stretch>
                      <a:fillRect/>
                    </a:stretch>
                  </pic:blipFill>
                  <pic:spPr bwMode="auto">
                    <a:xfrm>
                      <a:off x="0" y="0"/>
                      <a:ext cx="5365115" cy="381190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15" w:lineRule="exact"/>
        <w:rPr>
          <w:sz w:val="20"/>
          <w:szCs w:val="20"/>
          <w:color w:val="auto"/>
        </w:rPr>
      </w:pPr>
    </w:p>
    <w:p>
      <w:pPr>
        <w:ind w:left="360" w:right="1580"/>
        <w:spacing w:after="0" w:line="245" w:lineRule="auto"/>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3.</w:t>
      </w:r>
      <w:r>
        <w:rPr>
          <w:rFonts w:ascii="Arial" w:cs="Arial" w:eastAsia="Arial" w:hAnsi="Arial"/>
          <w:sz w:val="33"/>
          <w:szCs w:val="33"/>
          <w:b w:val="1"/>
          <w:bCs w:val="1"/>
          <w:color w:val="auto"/>
        </w:rPr>
        <w:t xml:space="preserve"> Стратегия лекарственной терапии при сочетании АГ и ХБП</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250190</wp:posOffset>
            </wp:positionV>
            <wp:extent cx="5365115" cy="369697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20">
                      <a:extLst>
                        <a:ext uri="{28A0092B-C50C-407E-A947-70E740481C1C}"/>
                      </a:extLst>
                    </a:blip>
                    <a:srcRect/>
                    <a:stretch>
                      <a:fillRect/>
                    </a:stretch>
                  </pic:blipFill>
                  <pic:spPr bwMode="auto">
                    <a:xfrm>
                      <a:off x="0" y="0"/>
                      <a:ext cx="5365115" cy="369697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51" w:lineRule="exact"/>
        <w:rPr>
          <w:sz w:val="20"/>
          <w:szCs w:val="20"/>
          <w:color w:val="auto"/>
        </w:rPr>
      </w:pPr>
    </w:p>
    <w:p>
      <w:pPr>
        <w:jc w:val="both"/>
        <w:ind w:left="360" w:right="220"/>
        <w:spacing w:after="0" w:line="268" w:lineRule="auto"/>
        <w:rPr>
          <w:sz w:val="20"/>
          <w:szCs w:val="20"/>
          <w:color w:val="auto"/>
        </w:rPr>
      </w:pPr>
      <w:r>
        <w:rPr>
          <w:rFonts w:ascii="Arial" w:cs="Arial" w:eastAsia="Arial" w:hAnsi="Arial"/>
          <w:sz w:val="54"/>
          <w:szCs w:val="54"/>
          <w:color w:val="auto"/>
          <w:vertAlign w:val="superscript"/>
        </w:rPr>
        <w:t>1</w:t>
      </w:r>
      <w:r>
        <w:rPr>
          <w:rFonts w:ascii="Arial" w:cs="Arial" w:eastAsia="Arial" w:hAnsi="Arial"/>
          <w:sz w:val="27"/>
          <w:szCs w:val="27"/>
          <w:color w:val="auto"/>
        </w:rPr>
        <w:t>У пациентов с ХБП</w:t>
      </w:r>
      <w:r>
        <w:rPr>
          <w:rFonts w:ascii="Arial" w:cs="Arial" w:eastAsia="Arial" w:hAnsi="Arial"/>
          <w:sz w:val="27"/>
          <w:szCs w:val="27"/>
          <w:color w:val="auto"/>
        </w:rPr>
        <w:t>,</w:t>
      </w:r>
      <w:r>
        <w:rPr>
          <w:rFonts w:ascii="Arial" w:cs="Arial" w:eastAsia="Arial" w:hAnsi="Arial"/>
          <w:sz w:val="27"/>
          <w:szCs w:val="27"/>
          <w:color w:val="auto"/>
        </w:rPr>
        <w:t xml:space="preserve"> получающих антигипертензивную терапию</w:t>
      </w:r>
      <w:r>
        <w:rPr>
          <w:rFonts w:ascii="Arial" w:cs="Arial" w:eastAsia="Arial" w:hAnsi="Arial"/>
          <w:sz w:val="27"/>
          <w:szCs w:val="27"/>
          <w:color w:val="auto"/>
        </w:rPr>
        <w:t>,</w:t>
      </w:r>
      <w:r>
        <w:rPr>
          <w:rFonts w:ascii="Arial" w:cs="Arial" w:eastAsia="Arial" w:hAnsi="Arial"/>
          <w:sz w:val="27"/>
          <w:szCs w:val="27"/>
          <w:color w:val="auto"/>
        </w:rPr>
        <w:t xml:space="preserve"> особенно ИАПФ или БРА</w:t>
      </w:r>
      <w:r>
        <w:rPr>
          <w:rFonts w:ascii="Arial" w:cs="Arial" w:eastAsia="Arial" w:hAnsi="Arial"/>
          <w:sz w:val="27"/>
          <w:szCs w:val="27"/>
          <w:color w:val="auto"/>
        </w:rPr>
        <w:t>,</w:t>
      </w:r>
      <w:r>
        <w:rPr>
          <w:rFonts w:ascii="Arial" w:cs="Arial" w:eastAsia="Arial" w:hAnsi="Arial"/>
          <w:sz w:val="27"/>
          <w:szCs w:val="27"/>
          <w:color w:val="auto"/>
        </w:rPr>
        <w:t xml:space="preserve"> можно ожидать повышения уровня креатинина</w:t>
      </w:r>
      <w:r>
        <w:rPr>
          <w:rFonts w:ascii="Arial" w:cs="Arial" w:eastAsia="Arial" w:hAnsi="Arial"/>
          <w:sz w:val="27"/>
          <w:szCs w:val="27"/>
          <w:color w:val="auto"/>
        </w:rPr>
        <w:t>.</w:t>
      </w:r>
      <w:r>
        <w:rPr>
          <w:rFonts w:ascii="Arial" w:cs="Arial" w:eastAsia="Arial" w:hAnsi="Arial"/>
          <w:sz w:val="27"/>
          <w:szCs w:val="27"/>
          <w:color w:val="auto"/>
        </w:rPr>
        <w:t xml:space="preserve"> Значительное повышение уровня креатинина на фоне назначения блокаторов РААС требует обследования пациента для исключения реноваскулярного заболевания</w:t>
      </w:r>
      <w:r>
        <w:rPr>
          <w:rFonts w:ascii="Arial" w:cs="Arial" w:eastAsia="Arial" w:hAnsi="Arial"/>
          <w:sz w:val="27"/>
          <w:szCs w:val="27"/>
          <w:color w:val="auto"/>
        </w:rPr>
        <w:t>.</w:t>
      </w:r>
    </w:p>
    <w:p>
      <w:pPr>
        <w:sectPr>
          <w:pgSz w:w="11900" w:h="16840" w:orient="portrait"/>
          <w:cols w:equalWidth="0" w:num="1">
            <w:col w:w="9020"/>
          </w:cols>
          <w:pgMar w:left="1440" w:top="1440" w:right="1440" w:bottom="0" w:gutter="0" w:footer="0" w:header="0"/>
        </w:sectPr>
      </w:pPr>
    </w:p>
    <w:bookmarkStart w:id="125" w:name="page126"/>
    <w:bookmarkEnd w:id="125"/>
    <w:p>
      <w:pPr>
        <w:jc w:val="both"/>
        <w:ind w:left="360" w:right="220"/>
        <w:spacing w:after="0" w:line="319" w:lineRule="auto"/>
        <w:rPr>
          <w:sz w:val="20"/>
          <w:szCs w:val="20"/>
          <w:color w:val="auto"/>
        </w:rPr>
      </w:pPr>
      <w:r>
        <w:rPr>
          <w:rFonts w:ascii="Arial" w:cs="Arial" w:eastAsia="Arial" w:hAnsi="Arial"/>
          <w:sz w:val="27"/>
          <w:szCs w:val="27"/>
          <w:color w:val="auto"/>
        </w:rPr>
        <w:t>²</w:t>
      </w:r>
      <w:r>
        <w:rPr>
          <w:rFonts w:ascii="Arial" w:cs="Arial" w:eastAsia="Arial" w:hAnsi="Arial"/>
          <w:sz w:val="27"/>
          <w:szCs w:val="27"/>
          <w:color w:val="auto"/>
        </w:rPr>
        <w:t>Диуретик</w:t>
      </w:r>
      <w:r>
        <w:rPr>
          <w:rFonts w:ascii="Arial" w:cs="Arial" w:eastAsia="Arial" w:hAnsi="Arial"/>
          <w:sz w:val="27"/>
          <w:szCs w:val="27"/>
          <w:color w:val="auto"/>
        </w:rPr>
        <w:t xml:space="preserve"> — </w:t>
      </w:r>
      <w:r>
        <w:rPr>
          <w:rFonts w:ascii="Arial" w:cs="Arial" w:eastAsia="Arial" w:hAnsi="Arial"/>
          <w:sz w:val="27"/>
          <w:szCs w:val="27"/>
          <w:color w:val="auto"/>
        </w:rPr>
        <w:t>тиазидный или тиазидоподобный диуретик</w:t>
      </w:r>
      <w:r>
        <w:rPr>
          <w:rFonts w:ascii="Arial" w:cs="Arial" w:eastAsia="Arial" w:hAnsi="Arial"/>
          <w:sz w:val="27"/>
          <w:szCs w:val="27"/>
          <w:color w:val="auto"/>
        </w:rPr>
        <w:t xml:space="preserve">. </w:t>
      </w:r>
      <w:r>
        <w:rPr>
          <w:rFonts w:ascii="Arial" w:cs="Arial" w:eastAsia="Arial" w:hAnsi="Arial"/>
          <w:sz w:val="27"/>
          <w:szCs w:val="27"/>
          <w:color w:val="auto"/>
        </w:rPr>
        <w:t>Оценить целесообразность назначения петлевых диуретиков у пациентов с отеками</w:t>
      </w:r>
      <w:r>
        <w:rPr>
          <w:rFonts w:ascii="Arial" w:cs="Arial" w:eastAsia="Arial" w:hAnsi="Arial"/>
          <w:sz w:val="27"/>
          <w:szCs w:val="27"/>
          <w:b w:val="1"/>
          <w:bCs w:val="1"/>
          <w:color w:val="auto"/>
        </w:rPr>
        <w:t>.</w:t>
      </w:r>
    </w:p>
    <w:p>
      <w:pPr>
        <w:spacing w:after="0" w:line="68" w:lineRule="exact"/>
        <w:rPr>
          <w:sz w:val="20"/>
          <w:szCs w:val="20"/>
          <w:color w:val="auto"/>
        </w:rPr>
      </w:pPr>
    </w:p>
    <w:p>
      <w:pPr>
        <w:jc w:val="both"/>
        <w:ind w:left="360" w:right="220"/>
        <w:spacing w:after="0" w:line="196" w:lineRule="auto"/>
        <w:rPr>
          <w:sz w:val="20"/>
          <w:szCs w:val="20"/>
          <w:color w:val="auto"/>
        </w:rPr>
      </w:pPr>
      <w:r>
        <w:rPr>
          <w:rFonts w:ascii="Arial" w:cs="Arial" w:eastAsia="Arial" w:hAnsi="Arial"/>
          <w:sz w:val="54"/>
          <w:szCs w:val="54"/>
          <w:color w:val="auto"/>
          <w:vertAlign w:val="superscript"/>
        </w:rPr>
        <w:t>3</w:t>
      </w:r>
      <w:r>
        <w:rPr>
          <w:rFonts w:ascii="Arial" w:cs="Arial" w:eastAsia="Arial" w:hAnsi="Arial"/>
          <w:sz w:val="27"/>
          <w:szCs w:val="27"/>
          <w:color w:val="auto"/>
        </w:rPr>
        <w:t>Риск гиперкалиемии при назначении спиронолактона</w:t>
      </w:r>
      <w:r>
        <w:rPr>
          <w:rFonts w:ascii="Arial" w:cs="Arial" w:eastAsia="Arial" w:hAnsi="Arial"/>
          <w:sz w:val="27"/>
          <w:szCs w:val="27"/>
          <w:color w:val="auto"/>
        </w:rPr>
        <w:t>,</w:t>
      </w:r>
      <w:r>
        <w:rPr>
          <w:rFonts w:ascii="Arial" w:cs="Arial" w:eastAsia="Arial" w:hAnsi="Arial"/>
          <w:sz w:val="27"/>
          <w:szCs w:val="27"/>
          <w:color w:val="auto"/>
        </w:rPr>
        <w:t xml:space="preserve"> особенно при исходной СКФ </w:t>
      </w:r>
      <w:r>
        <w:rPr>
          <w:rFonts w:ascii="Arial" w:cs="Arial" w:eastAsia="Arial" w:hAnsi="Arial"/>
          <w:sz w:val="27"/>
          <w:szCs w:val="27"/>
          <w:color w:val="auto"/>
        </w:rPr>
        <w:t>&lt;45</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мин</w:t>
      </w:r>
      <w:r>
        <w:rPr>
          <w:rFonts w:ascii="Arial" w:cs="Arial" w:eastAsia="Arial" w:hAnsi="Arial"/>
          <w:sz w:val="27"/>
          <w:szCs w:val="27"/>
          <w:color w:val="auto"/>
        </w:rPr>
        <w:t>/1,73</w:t>
      </w:r>
      <w:r>
        <w:rPr>
          <w:rFonts w:ascii="Arial" w:cs="Arial" w:eastAsia="Arial" w:hAnsi="Arial"/>
          <w:sz w:val="27"/>
          <w:szCs w:val="27"/>
          <w:color w:val="auto"/>
        </w:rPr>
        <w:t xml:space="preserve"> 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и уровне калия </w:t>
      </w:r>
      <w:r>
        <w:rPr>
          <w:rFonts w:ascii="Arial" w:cs="Arial" w:eastAsia="Arial" w:hAnsi="Arial"/>
          <w:sz w:val="27"/>
          <w:szCs w:val="27"/>
          <w:color w:val="auto"/>
        </w:rPr>
        <w:t>4,5</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 л</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71" w:lineRule="exact"/>
        <w:rPr>
          <w:sz w:val="20"/>
          <w:szCs w:val="20"/>
          <w:color w:val="auto"/>
        </w:rPr>
      </w:pPr>
    </w:p>
    <w:p>
      <w:pPr>
        <w:ind w:left="360" w:right="1580"/>
        <w:spacing w:after="0" w:line="245" w:lineRule="auto"/>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4.</w:t>
      </w:r>
      <w:r>
        <w:rPr>
          <w:rFonts w:ascii="Arial" w:cs="Arial" w:eastAsia="Arial" w:hAnsi="Arial"/>
          <w:sz w:val="33"/>
          <w:szCs w:val="33"/>
          <w:b w:val="1"/>
          <w:bCs w:val="1"/>
          <w:color w:val="auto"/>
        </w:rPr>
        <w:t xml:space="preserve"> Стратегия лекарственной терапии при сочетании АГ и ИБС</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250190</wp:posOffset>
            </wp:positionV>
            <wp:extent cx="5365115" cy="3487420"/>
            <wp:wrapNone/>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21">
                      <a:extLst>
                        <a:ext uri="{28A0092B-C50C-407E-A947-70E740481C1C}"/>
                      </a:extLst>
                    </a:blip>
                    <a:srcRect/>
                    <a:stretch>
                      <a:fillRect/>
                    </a:stretch>
                  </pic:blipFill>
                  <pic:spPr bwMode="auto">
                    <a:xfrm>
                      <a:off x="0" y="0"/>
                      <a:ext cx="5365115" cy="348742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58" w:lineRule="exact"/>
        <w:rPr>
          <w:sz w:val="20"/>
          <w:szCs w:val="20"/>
          <w:color w:val="auto"/>
        </w:rPr>
      </w:pPr>
    </w:p>
    <w:p>
      <w:pPr>
        <w:ind w:left="360" w:right="680"/>
        <w:spacing w:after="0" w:line="231" w:lineRule="auto"/>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5.</w:t>
      </w:r>
      <w:r>
        <w:rPr>
          <w:rFonts w:ascii="Arial" w:cs="Arial" w:eastAsia="Arial" w:hAnsi="Arial"/>
          <w:sz w:val="33"/>
          <w:szCs w:val="33"/>
          <w:b w:val="1"/>
          <w:bCs w:val="1"/>
          <w:color w:val="auto"/>
        </w:rPr>
        <w:t xml:space="preserve"> Стратегия лекарственной терапии при сочетании АГ и ХСН со сниженной ФВ левого желудочка</w:t>
      </w:r>
    </w:p>
    <w:p>
      <w:pPr>
        <w:sectPr>
          <w:pgSz w:w="11900" w:h="16840" w:orient="portrait"/>
          <w:cols w:equalWidth="0" w:num="1">
            <w:col w:w="9020"/>
          </w:cols>
          <w:pgMar w:left="1440" w:top="19" w:right="1440" w:bottom="1440" w:gutter="0" w:footer="0" w:header="0"/>
        </w:sectPr>
      </w:pPr>
    </w:p>
    <w:bookmarkStart w:id="126" w:name="page127"/>
    <w:bookmarkEnd w:id="126"/>
    <w:p>
      <w:pPr>
        <w:spacing w:after="0" w:line="200" w:lineRule="exact"/>
        <w:rPr>
          <w:sz w:val="20"/>
          <w:szCs w:val="20"/>
          <w:color w:val="auto"/>
        </w:rPr>
      </w:pPr>
      <w:r>
        <w:rPr>
          <w:sz w:val="20"/>
          <w:szCs w:val="20"/>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2792095"/>
            <wp:wrapNone/>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22">
                      <a:clrChange>
                        <a:clrFrom>
                          <a:srgbClr val="FFFFFF"/>
                        </a:clrFrom>
                        <a:clrTo>
                          <a:srgbClr val="FFFFFF">
                            <a:alpha val="0"/>
                          </a:srgbClr>
                        </a:clrTo>
                      </a:clrChange>
                      <a:extLst>
                        <a:ext uri="{28A0092B-C50C-407E-A947-70E740481C1C}"/>
                      </a:extLst>
                    </a:blip>
                    <a:srcRect/>
                    <a:stretch>
                      <a:fillRect/>
                    </a:stretch>
                  </pic:blipFill>
                  <pic:spPr bwMode="auto">
                    <a:xfrm>
                      <a:off x="0" y="0"/>
                      <a:ext cx="5365115" cy="279209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09" w:lineRule="exact"/>
        <w:rPr>
          <w:sz w:val="20"/>
          <w:szCs w:val="20"/>
          <w:color w:val="auto"/>
        </w:rPr>
      </w:pPr>
    </w:p>
    <w:p>
      <w:pPr>
        <w:ind w:left="360" w:right="1580"/>
        <w:spacing w:after="0" w:line="245" w:lineRule="auto"/>
        <w:rPr>
          <w:sz w:val="20"/>
          <w:szCs w:val="20"/>
          <w:color w:val="auto"/>
        </w:rPr>
      </w:pPr>
      <w:r>
        <w:rPr>
          <w:rFonts w:ascii="Arial" w:cs="Arial" w:eastAsia="Arial" w:hAnsi="Arial"/>
          <w:sz w:val="33"/>
          <w:szCs w:val="33"/>
          <w:b w:val="1"/>
          <w:bCs w:val="1"/>
          <w:color w:val="auto"/>
        </w:rPr>
        <w:t>Приложение Б</w:t>
      </w:r>
      <w:r>
        <w:rPr>
          <w:rFonts w:ascii="Arial" w:cs="Arial" w:eastAsia="Arial" w:hAnsi="Arial"/>
          <w:sz w:val="33"/>
          <w:szCs w:val="33"/>
          <w:b w:val="1"/>
          <w:bCs w:val="1"/>
          <w:color w:val="auto"/>
        </w:rPr>
        <w:t>6.</w:t>
      </w:r>
      <w:r>
        <w:rPr>
          <w:rFonts w:ascii="Arial" w:cs="Arial" w:eastAsia="Arial" w:hAnsi="Arial"/>
          <w:sz w:val="33"/>
          <w:szCs w:val="33"/>
          <w:b w:val="1"/>
          <w:bCs w:val="1"/>
          <w:color w:val="auto"/>
        </w:rPr>
        <w:t xml:space="preserve"> Стратегия лекарственной терапии при сочетании АГ и ФП</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250190</wp:posOffset>
            </wp:positionV>
            <wp:extent cx="5365115" cy="3696970"/>
            <wp:wrapNone/>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23">
                      <a:extLst>
                        <a:ext uri="{28A0092B-C50C-407E-A947-70E740481C1C}"/>
                      </a:extLst>
                    </a:blip>
                    <a:srcRect/>
                    <a:stretch>
                      <a:fillRect/>
                    </a:stretch>
                  </pic:blipFill>
                  <pic:spPr bwMode="auto">
                    <a:xfrm>
                      <a:off x="0" y="0"/>
                      <a:ext cx="5365115" cy="369697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86" w:lineRule="exact"/>
        <w:rPr>
          <w:sz w:val="20"/>
          <w:szCs w:val="20"/>
          <w:color w:val="auto"/>
        </w:rPr>
      </w:pPr>
    </w:p>
    <w:p>
      <w:pPr>
        <w:jc w:val="both"/>
        <w:ind w:left="360" w:right="220"/>
        <w:spacing w:after="0" w:line="218" w:lineRule="auto"/>
        <w:rPr>
          <w:sz w:val="20"/>
          <w:szCs w:val="20"/>
          <w:color w:val="auto"/>
        </w:rPr>
      </w:pPr>
      <w:r>
        <w:rPr>
          <w:rFonts w:ascii="Arial" w:cs="Arial" w:eastAsia="Arial" w:hAnsi="Arial"/>
          <w:sz w:val="27"/>
          <w:szCs w:val="27"/>
          <w:color w:val="auto"/>
        </w:rPr>
        <w:t xml:space="preserve">Оральные антикоагулянты должны быть назначены по показаниям в соответствии с оценкой риска по </w:t>
      </w:r>
      <w:r>
        <w:rPr>
          <w:rFonts w:ascii="Arial" w:cs="Arial" w:eastAsia="Arial" w:hAnsi="Arial"/>
          <w:sz w:val="27"/>
          <w:szCs w:val="27"/>
          <w:color w:val="auto"/>
        </w:rPr>
        <w:t>CHA</w:t>
      </w:r>
      <w:r>
        <w:rPr>
          <w:rFonts w:ascii="Arial" w:cs="Arial" w:eastAsia="Arial" w:hAnsi="Arial"/>
          <w:sz w:val="54"/>
          <w:szCs w:val="54"/>
          <w:color w:val="auto"/>
          <w:vertAlign w:val="subscript"/>
        </w:rPr>
        <w:t>2</w:t>
      </w:r>
      <w:r>
        <w:rPr>
          <w:rFonts w:ascii="Arial" w:cs="Arial" w:eastAsia="Arial" w:hAnsi="Arial"/>
          <w:sz w:val="27"/>
          <w:szCs w:val="27"/>
          <w:color w:val="auto"/>
        </w:rPr>
        <w:t>DS</w:t>
      </w:r>
      <w:r>
        <w:rPr>
          <w:rFonts w:ascii="Arial" w:cs="Arial" w:eastAsia="Arial" w:hAnsi="Arial"/>
          <w:sz w:val="54"/>
          <w:szCs w:val="54"/>
          <w:color w:val="auto"/>
          <w:vertAlign w:val="subscript"/>
        </w:rPr>
        <w:t>2</w:t>
      </w:r>
      <w:r>
        <w:rPr>
          <w:rFonts w:ascii="Arial" w:cs="Arial" w:eastAsia="Arial" w:hAnsi="Arial"/>
          <w:sz w:val="27"/>
          <w:szCs w:val="27"/>
          <w:color w:val="auto"/>
        </w:rPr>
        <w:t>Vasc</w:t>
      </w:r>
      <w:r>
        <w:rPr>
          <w:rFonts w:ascii="Arial" w:cs="Arial" w:eastAsia="Arial" w:hAnsi="Arial"/>
          <w:sz w:val="27"/>
          <w:szCs w:val="27"/>
          <w:color w:val="auto"/>
        </w:rPr>
        <w:t xml:space="preserve"> при отсутствии противопоказаний</w:t>
      </w:r>
      <w:r>
        <w:rPr>
          <w:rFonts w:ascii="Arial" w:cs="Arial" w:eastAsia="Arial" w:hAnsi="Arial"/>
          <w:sz w:val="27"/>
          <w:szCs w:val="27"/>
          <w:color w:val="auto"/>
        </w:rPr>
        <w:t>.</w:t>
      </w:r>
    </w:p>
    <w:p>
      <w:pPr>
        <w:sectPr>
          <w:pgSz w:w="11900" w:h="16840" w:orient="portrait"/>
          <w:cols w:equalWidth="0" w:num="1">
            <w:col w:w="9020"/>
          </w:cols>
          <w:pgMar w:left="1440" w:top="1440" w:right="1440" w:bottom="1440" w:gutter="0" w:footer="0" w:header="0"/>
        </w:sectPr>
      </w:pPr>
    </w:p>
    <w:bookmarkStart w:id="127" w:name="page128"/>
    <w:bookmarkEnd w:id="127"/>
    <w:p>
      <w:pPr>
        <w:ind w:left="360" w:right="660"/>
        <w:spacing w:after="0" w:line="244" w:lineRule="auto"/>
        <w:rPr>
          <w:sz w:val="20"/>
          <w:szCs w:val="20"/>
          <w:color w:val="auto"/>
        </w:rPr>
      </w:pPr>
      <w:r>
        <w:rPr>
          <w:rFonts w:ascii="Arial" w:cs="Arial" w:eastAsia="Arial" w:hAnsi="Arial"/>
          <w:sz w:val="48"/>
          <w:szCs w:val="48"/>
          <w:b w:val="1"/>
          <w:bCs w:val="1"/>
          <w:color w:val="auto"/>
        </w:rPr>
        <w:t>Приложение В</w:t>
      </w:r>
      <w:r>
        <w:rPr>
          <w:rFonts w:ascii="Arial" w:cs="Arial" w:eastAsia="Arial" w:hAnsi="Arial"/>
          <w:sz w:val="48"/>
          <w:szCs w:val="48"/>
          <w:b w:val="1"/>
          <w:bCs w:val="1"/>
          <w:color w:val="auto"/>
        </w:rPr>
        <w:t>.</w:t>
      </w:r>
      <w:r>
        <w:rPr>
          <w:rFonts w:ascii="Arial" w:cs="Arial" w:eastAsia="Arial" w:hAnsi="Arial"/>
          <w:sz w:val="48"/>
          <w:szCs w:val="48"/>
          <w:b w:val="1"/>
          <w:bCs w:val="1"/>
          <w:color w:val="auto"/>
        </w:rPr>
        <w:t xml:space="preserve"> Информация для пациентов</w:t>
      </w:r>
    </w:p>
    <w:p>
      <w:pPr>
        <w:spacing w:after="0" w:line="387" w:lineRule="exact"/>
        <w:rPr>
          <w:sz w:val="20"/>
          <w:szCs w:val="20"/>
          <w:color w:val="auto"/>
        </w:rPr>
      </w:pPr>
    </w:p>
    <w:p>
      <w:pPr>
        <w:jc w:val="both"/>
        <w:ind w:left="360" w:right="220"/>
        <w:spacing w:after="0" w:line="321" w:lineRule="auto"/>
        <w:rPr>
          <w:sz w:val="20"/>
          <w:szCs w:val="20"/>
          <w:color w:val="auto"/>
        </w:rPr>
      </w:pPr>
      <w:r>
        <w:rPr>
          <w:rFonts w:ascii="Arial" w:cs="Arial" w:eastAsia="Arial" w:hAnsi="Arial"/>
          <w:sz w:val="27"/>
          <w:szCs w:val="27"/>
          <w:color w:val="auto"/>
        </w:rPr>
        <w:t xml:space="preserve">Гипертоническая болезнь </w:t>
      </w:r>
      <w:r>
        <w:rPr>
          <w:rFonts w:ascii="Arial" w:cs="Arial" w:eastAsia="Arial" w:hAnsi="Arial"/>
          <w:sz w:val="27"/>
          <w:szCs w:val="27"/>
          <w:color w:val="auto"/>
        </w:rPr>
        <w:t>—</w:t>
      </w:r>
      <w:r>
        <w:rPr>
          <w:rFonts w:ascii="Arial" w:cs="Arial" w:eastAsia="Arial" w:hAnsi="Arial"/>
          <w:sz w:val="27"/>
          <w:szCs w:val="27"/>
          <w:color w:val="auto"/>
        </w:rPr>
        <w:t xml:space="preserve"> заболевание</w:t>
      </w:r>
      <w:r>
        <w:rPr>
          <w:rFonts w:ascii="Arial" w:cs="Arial" w:eastAsia="Arial" w:hAnsi="Arial"/>
          <w:sz w:val="27"/>
          <w:szCs w:val="27"/>
          <w:color w:val="auto"/>
        </w:rPr>
        <w:t>,</w:t>
      </w:r>
      <w:r>
        <w:rPr>
          <w:rFonts w:ascii="Arial" w:cs="Arial" w:eastAsia="Arial" w:hAnsi="Arial"/>
          <w:sz w:val="27"/>
          <w:szCs w:val="27"/>
          <w:color w:val="auto"/>
        </w:rPr>
        <w:t xml:space="preserve"> основным симптомом которого является повышение артериального давления выше </w:t>
      </w:r>
      <w:r>
        <w:rPr>
          <w:rFonts w:ascii="Arial" w:cs="Arial" w:eastAsia="Arial" w:hAnsi="Arial"/>
          <w:sz w:val="27"/>
          <w:szCs w:val="27"/>
          <w:color w:val="auto"/>
        </w:rPr>
        <w:t xml:space="preserve">140/90 </w:t>
      </w:r>
      <w:r>
        <w:rPr>
          <w:rFonts w:ascii="Arial" w:cs="Arial" w:eastAsia="Arial" w:hAnsi="Arial"/>
          <w:sz w:val="27"/>
          <w:szCs w:val="27"/>
          <w:color w:val="auto"/>
        </w:rPr>
        <w:t>мм рт</w:t>
      </w:r>
      <w:r>
        <w:rPr>
          <w:rFonts w:ascii="Arial" w:cs="Arial" w:eastAsia="Arial" w:hAnsi="Arial"/>
          <w:sz w:val="27"/>
          <w:szCs w:val="27"/>
          <w:color w:val="auto"/>
        </w:rPr>
        <w:t xml:space="preserve">. </w:t>
      </w:r>
      <w:r>
        <w:rPr>
          <w:rFonts w:ascii="Arial" w:cs="Arial" w:eastAsia="Arial" w:hAnsi="Arial"/>
          <w:sz w:val="27"/>
          <w:szCs w:val="27"/>
          <w:color w:val="auto"/>
        </w:rPr>
        <w:t>ст</w:t>
      </w:r>
      <w:r>
        <w:rPr>
          <w:rFonts w:ascii="Arial" w:cs="Arial" w:eastAsia="Arial" w:hAnsi="Arial"/>
          <w:sz w:val="27"/>
          <w:szCs w:val="27"/>
          <w:color w:val="auto"/>
        </w:rPr>
        <w:t xml:space="preserve">., </w:t>
      </w:r>
      <w:r>
        <w:rPr>
          <w:rFonts w:ascii="Arial" w:cs="Arial" w:eastAsia="Arial" w:hAnsi="Arial"/>
          <w:sz w:val="27"/>
          <w:szCs w:val="27"/>
          <w:color w:val="auto"/>
        </w:rPr>
        <w:t>что приводит к поражению мозга</w:t>
      </w:r>
      <w:r>
        <w:rPr>
          <w:rFonts w:ascii="Arial" w:cs="Arial" w:eastAsia="Arial" w:hAnsi="Arial"/>
          <w:sz w:val="27"/>
          <w:szCs w:val="27"/>
          <w:color w:val="auto"/>
        </w:rPr>
        <w:t xml:space="preserve">, </w:t>
      </w:r>
      <w:r>
        <w:rPr>
          <w:rFonts w:ascii="Arial" w:cs="Arial" w:eastAsia="Arial" w:hAnsi="Arial"/>
          <w:sz w:val="27"/>
          <w:szCs w:val="27"/>
          <w:color w:val="auto"/>
        </w:rPr>
        <w:t>сердца</w:t>
      </w:r>
      <w:r>
        <w:rPr>
          <w:rFonts w:ascii="Arial" w:cs="Arial" w:eastAsia="Arial" w:hAnsi="Arial"/>
          <w:sz w:val="27"/>
          <w:szCs w:val="27"/>
          <w:color w:val="auto"/>
        </w:rPr>
        <w:t xml:space="preserve">, </w:t>
      </w:r>
      <w:r>
        <w:rPr>
          <w:rFonts w:ascii="Arial" w:cs="Arial" w:eastAsia="Arial" w:hAnsi="Arial"/>
          <w:sz w:val="27"/>
          <w:szCs w:val="27"/>
          <w:color w:val="auto"/>
        </w:rPr>
        <w:t>почек</w:t>
      </w:r>
      <w:r>
        <w:rPr>
          <w:rFonts w:ascii="Arial" w:cs="Arial" w:eastAsia="Arial" w:hAnsi="Arial"/>
          <w:sz w:val="27"/>
          <w:szCs w:val="27"/>
          <w:color w:val="auto"/>
        </w:rPr>
        <w:t>.</w:t>
      </w:r>
    </w:p>
    <w:p>
      <w:pPr>
        <w:spacing w:after="0" w:line="200" w:lineRule="exact"/>
        <w:rPr>
          <w:sz w:val="20"/>
          <w:szCs w:val="20"/>
          <w:color w:val="auto"/>
        </w:rPr>
      </w:pPr>
    </w:p>
    <w:p>
      <w:pPr>
        <w:spacing w:after="0" w:line="385"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 xml:space="preserve">Только </w:t>
      </w:r>
      <w:r>
        <w:rPr>
          <w:rFonts w:ascii="Arial" w:cs="Arial" w:eastAsia="Arial" w:hAnsi="Arial"/>
          <w:sz w:val="27"/>
          <w:szCs w:val="27"/>
          <w:color w:val="auto"/>
        </w:rPr>
        <w:t>50%</w:t>
      </w:r>
      <w:r>
        <w:rPr>
          <w:rFonts w:ascii="Arial" w:cs="Arial" w:eastAsia="Arial" w:hAnsi="Arial"/>
          <w:sz w:val="27"/>
          <w:szCs w:val="27"/>
          <w:color w:val="auto"/>
        </w:rPr>
        <w:t xml:space="preserve"> люде</w:t>
      </w:r>
      <w:r>
        <w:rPr>
          <w:rFonts w:ascii="Times New Roman" w:cs="Times New Roman" w:eastAsia="Times New Roman" w:hAnsi="Times New Roman"/>
          <w:sz w:val="27"/>
          <w:szCs w:val="27"/>
          <w:color w:val="auto"/>
        </w:rPr>
        <w:t>й</w:t>
      </w:r>
      <w:r>
        <w:rPr>
          <w:rFonts w:ascii="Times New Roman" w:cs="Times New Roman" w:eastAsia="Times New Roman" w:hAnsi="Times New Roman"/>
          <w:sz w:val="27"/>
          <w:szCs w:val="27"/>
          <w:color w:val="auto"/>
        </w:rPr>
        <w:t>̆</w:t>
      </w:r>
      <w:r>
        <w:rPr>
          <w:rFonts w:ascii="Arial" w:cs="Arial" w:eastAsia="Arial" w:hAnsi="Arial"/>
          <w:sz w:val="27"/>
          <w:szCs w:val="27"/>
          <w:color w:val="auto"/>
        </w:rPr>
        <w:t>с повышенным артериальным давлением знают</w:t>
      </w:r>
      <w:r>
        <w:rPr>
          <w:rFonts w:ascii="Arial" w:cs="Arial" w:eastAsia="Arial" w:hAnsi="Arial"/>
          <w:sz w:val="27"/>
          <w:szCs w:val="27"/>
          <w:color w:val="auto"/>
        </w:rPr>
        <w:t>,</w:t>
      </w:r>
      <w:r>
        <w:rPr>
          <w:rFonts w:ascii="Arial" w:cs="Arial" w:eastAsia="Arial" w:hAnsi="Arial"/>
          <w:sz w:val="27"/>
          <w:szCs w:val="27"/>
          <w:color w:val="auto"/>
        </w:rPr>
        <w:t xml:space="preserve"> что больны</w:t>
      </w:r>
      <w:r>
        <w:rPr>
          <w:rFonts w:ascii="Arial" w:cs="Arial" w:eastAsia="Arial" w:hAnsi="Arial"/>
          <w:sz w:val="27"/>
          <w:szCs w:val="27"/>
          <w:color w:val="auto"/>
        </w:rPr>
        <w:t>,</w:t>
      </w:r>
      <w:r>
        <w:rPr>
          <w:rFonts w:ascii="Arial" w:cs="Arial" w:eastAsia="Arial" w:hAnsi="Arial"/>
          <w:sz w:val="27"/>
          <w:szCs w:val="27"/>
          <w:color w:val="auto"/>
        </w:rPr>
        <w:t xml:space="preserve"> из них систематически лечатся далеко не все</w:t>
      </w:r>
      <w:r>
        <w:rPr>
          <w:rFonts w:ascii="Arial" w:cs="Arial" w:eastAsia="Arial" w:hAnsi="Arial"/>
          <w:sz w:val="27"/>
          <w:szCs w:val="27"/>
          <w:color w:val="auto"/>
        </w:rPr>
        <w:t>.</w:t>
      </w:r>
      <w:r>
        <w:rPr>
          <w:rFonts w:ascii="Arial" w:cs="Arial" w:eastAsia="Arial" w:hAnsi="Arial"/>
          <w:sz w:val="27"/>
          <w:szCs w:val="27"/>
          <w:color w:val="auto"/>
        </w:rPr>
        <w:t xml:space="preserve"> Нелеченная гипертоническая болезнь опасна осложнениями</w:t>
      </w:r>
      <w:r>
        <w:rPr>
          <w:rFonts w:ascii="Arial" w:cs="Arial" w:eastAsia="Arial" w:hAnsi="Arial"/>
          <w:sz w:val="27"/>
          <w:szCs w:val="27"/>
          <w:color w:val="auto"/>
        </w:rPr>
        <w:t>,</w:t>
      </w:r>
      <w:r>
        <w:rPr>
          <w:rFonts w:ascii="Arial" w:cs="Arial" w:eastAsia="Arial" w:hAnsi="Arial"/>
          <w:sz w:val="27"/>
          <w:szCs w:val="27"/>
          <w:color w:val="auto"/>
        </w:rPr>
        <w:t xml:space="preserve"> главные из которых </w:t>
      </w:r>
      <w:r>
        <w:rPr>
          <w:rFonts w:ascii="Arial" w:cs="Arial" w:eastAsia="Arial" w:hAnsi="Arial"/>
          <w:sz w:val="27"/>
          <w:szCs w:val="27"/>
          <w:color w:val="auto"/>
        </w:rPr>
        <w:t>—</w:t>
      </w:r>
      <w:r>
        <w:rPr>
          <w:rFonts w:ascii="Arial" w:cs="Arial" w:eastAsia="Arial" w:hAnsi="Arial"/>
          <w:sz w:val="27"/>
          <w:szCs w:val="27"/>
          <w:color w:val="auto"/>
        </w:rPr>
        <w:t xml:space="preserve"> инсульт</w:t>
      </w:r>
      <w:r>
        <w:rPr>
          <w:rFonts w:ascii="Arial" w:cs="Arial" w:eastAsia="Arial" w:hAnsi="Arial"/>
          <w:sz w:val="27"/>
          <w:szCs w:val="27"/>
          <w:color w:val="auto"/>
        </w:rPr>
        <w:t>,</w:t>
      </w:r>
      <w:r>
        <w:rPr>
          <w:rFonts w:ascii="Arial" w:cs="Arial" w:eastAsia="Arial" w:hAnsi="Arial"/>
          <w:sz w:val="27"/>
          <w:szCs w:val="27"/>
          <w:color w:val="auto"/>
        </w:rPr>
        <w:t xml:space="preserve"> инфаркт миокарда</w:t>
      </w:r>
      <w:r>
        <w:rPr>
          <w:rFonts w:ascii="Arial" w:cs="Arial" w:eastAsia="Arial" w:hAnsi="Arial"/>
          <w:sz w:val="27"/>
          <w:szCs w:val="27"/>
          <w:color w:val="auto"/>
        </w:rPr>
        <w:t>,</w:t>
      </w:r>
      <w:r>
        <w:rPr>
          <w:rFonts w:ascii="Arial" w:cs="Arial" w:eastAsia="Arial" w:hAnsi="Arial"/>
          <w:sz w:val="27"/>
          <w:szCs w:val="27"/>
          <w:color w:val="auto"/>
        </w:rPr>
        <w:t xml:space="preserve"> сердечная недостаточность</w:t>
      </w:r>
      <w:r>
        <w:rPr>
          <w:rFonts w:ascii="Arial" w:cs="Arial" w:eastAsia="Arial" w:hAnsi="Arial"/>
          <w:sz w:val="27"/>
          <w:szCs w:val="27"/>
          <w:color w:val="auto"/>
        </w:rPr>
        <w:t>,</w:t>
      </w:r>
      <w:r>
        <w:rPr>
          <w:rFonts w:ascii="Arial" w:cs="Arial" w:eastAsia="Arial" w:hAnsi="Arial"/>
          <w:sz w:val="27"/>
          <w:szCs w:val="27"/>
          <w:color w:val="auto"/>
        </w:rPr>
        <w:t xml:space="preserve"> почечная недостаточность</w:t>
      </w:r>
      <w:r>
        <w:rPr>
          <w:rFonts w:ascii="Arial" w:cs="Arial" w:eastAsia="Arial" w:hAnsi="Arial"/>
          <w:sz w:val="27"/>
          <w:szCs w:val="27"/>
          <w:color w:val="auto"/>
        </w:rPr>
        <w:t>.</w:t>
      </w:r>
    </w:p>
    <w:p>
      <w:pPr>
        <w:spacing w:after="0" w:line="221" w:lineRule="exact"/>
        <w:rPr>
          <w:sz w:val="20"/>
          <w:szCs w:val="20"/>
          <w:color w:val="auto"/>
        </w:rPr>
      </w:pPr>
    </w:p>
    <w:p>
      <w:pPr>
        <w:jc w:val="both"/>
        <w:ind w:left="360" w:right="220"/>
        <w:spacing w:after="0" w:line="308" w:lineRule="auto"/>
        <w:rPr>
          <w:sz w:val="20"/>
          <w:szCs w:val="20"/>
          <w:color w:val="auto"/>
        </w:rPr>
      </w:pPr>
      <w:r>
        <w:rPr>
          <w:rFonts w:ascii="Arial" w:cs="Arial" w:eastAsia="Arial" w:hAnsi="Arial"/>
          <w:sz w:val="27"/>
          <w:szCs w:val="27"/>
          <w:color w:val="auto"/>
        </w:rPr>
        <w:t>Главным фактором снижения риска смерти</w:t>
      </w:r>
      <w:r>
        <w:rPr>
          <w:rFonts w:ascii="Arial" w:cs="Arial" w:eastAsia="Arial" w:hAnsi="Arial"/>
          <w:sz w:val="27"/>
          <w:szCs w:val="27"/>
          <w:color w:val="auto"/>
        </w:rPr>
        <w:t>,</w:t>
      </w:r>
      <w:r>
        <w:rPr>
          <w:rFonts w:ascii="Arial" w:cs="Arial" w:eastAsia="Arial" w:hAnsi="Arial"/>
          <w:sz w:val="27"/>
          <w:szCs w:val="27"/>
          <w:color w:val="auto"/>
        </w:rPr>
        <w:t xml:space="preserve"> инсульта и инфаркта миокарда является контроль АД и поддержание его на уровне как минимум </w:t>
      </w:r>
      <w:r>
        <w:rPr>
          <w:rFonts w:ascii="Arial" w:cs="Arial" w:eastAsia="Arial" w:hAnsi="Arial"/>
          <w:sz w:val="27"/>
          <w:szCs w:val="27"/>
          <w:color w:val="auto"/>
        </w:rPr>
        <w:t>&lt;140/90</w:t>
      </w:r>
      <w:r>
        <w:rPr>
          <w:rFonts w:ascii="Arial" w:cs="Arial" w:eastAsia="Arial" w:hAnsi="Arial"/>
          <w:sz w:val="27"/>
          <w:szCs w:val="27"/>
          <w:color w:val="auto"/>
        </w:rPr>
        <w:t xml:space="preserve"> мм рт</w:t>
      </w:r>
      <w:r>
        <w:rPr>
          <w:rFonts w:ascii="Arial" w:cs="Arial" w:eastAsia="Arial" w:hAnsi="Arial"/>
          <w:sz w:val="27"/>
          <w:szCs w:val="27"/>
          <w:color w:val="auto"/>
        </w:rPr>
        <w:t>.</w:t>
      </w:r>
      <w:r>
        <w:rPr>
          <w:rFonts w:ascii="Arial" w:cs="Arial" w:eastAsia="Arial" w:hAnsi="Arial"/>
          <w:sz w:val="27"/>
          <w:szCs w:val="27"/>
          <w:color w:val="auto"/>
        </w:rPr>
        <w:t xml:space="preserve"> ст</w:t>
      </w:r>
      <w:r>
        <w:rPr>
          <w:rFonts w:ascii="Arial" w:cs="Arial" w:eastAsia="Arial" w:hAnsi="Arial"/>
          <w:sz w:val="27"/>
          <w:szCs w:val="27"/>
          <w:color w:val="auto"/>
        </w:rPr>
        <w:t>.,</w:t>
      </w:r>
      <w:r>
        <w:rPr>
          <w:rFonts w:ascii="Arial" w:cs="Arial" w:eastAsia="Arial" w:hAnsi="Arial"/>
          <w:sz w:val="27"/>
          <w:szCs w:val="27"/>
          <w:color w:val="auto"/>
        </w:rPr>
        <w:t xml:space="preserve"> поэтому важен самоконтроль АД в домашних условиях с использованием сертифицированных аппаратов для измерения АД</w:t>
      </w:r>
      <w:r>
        <w:rPr>
          <w:rFonts w:ascii="Arial" w:cs="Arial" w:eastAsia="Arial" w:hAnsi="Arial"/>
          <w:sz w:val="27"/>
          <w:szCs w:val="27"/>
          <w:color w:val="auto"/>
        </w:rPr>
        <w:t>.</w:t>
      </w:r>
      <w:r>
        <w:rPr>
          <w:rFonts w:ascii="Arial" w:cs="Arial" w:eastAsia="Arial" w:hAnsi="Arial"/>
          <w:sz w:val="27"/>
          <w:szCs w:val="27"/>
          <w:color w:val="auto"/>
        </w:rPr>
        <w:t xml:space="preserve"> При этом необходимо выполнение следующих правил</w:t>
      </w:r>
      <w:r>
        <w:rPr>
          <w:rFonts w:ascii="Arial" w:cs="Arial" w:eastAsia="Arial" w:hAnsi="Arial"/>
          <w:sz w:val="27"/>
          <w:szCs w:val="27"/>
          <w:color w:val="auto"/>
        </w:rPr>
        <w:t>:</w:t>
      </w:r>
    </w:p>
    <w:p>
      <w:pPr>
        <w:spacing w:after="0" w:line="22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перед измерением АД необходимы минимум </w:t>
      </w:r>
      <w:r>
        <w:rPr>
          <w:rFonts w:ascii="Arial" w:cs="Arial" w:eastAsia="Arial" w:hAnsi="Arial"/>
          <w:sz w:val="27"/>
          <w:szCs w:val="27"/>
          <w:color w:val="auto"/>
        </w:rPr>
        <w:t>5</w:t>
      </w:r>
      <w:r>
        <w:rPr>
          <w:rFonts w:ascii="Arial" w:cs="Arial" w:eastAsia="Arial" w:hAnsi="Arial"/>
          <w:sz w:val="27"/>
          <w:szCs w:val="27"/>
          <w:color w:val="auto"/>
        </w:rPr>
        <w:t xml:space="preserve"> мин отдыха в</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2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положении сидя</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сидеть во время измерения АД нужно с полной опорой стоп на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32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пол</w:t>
      </w:r>
      <w:r>
        <w:rPr>
          <w:rFonts w:ascii="Arial" w:cs="Arial" w:eastAsia="Arial" w:hAnsi="Arial"/>
          <w:sz w:val="27"/>
          <w:szCs w:val="27"/>
          <w:color w:val="auto"/>
        </w:rPr>
        <w:t>,</w:t>
      </w:r>
      <w:r>
        <w:rPr>
          <w:rFonts w:ascii="Arial" w:cs="Arial" w:eastAsia="Arial" w:hAnsi="Arial"/>
          <w:sz w:val="27"/>
          <w:szCs w:val="27"/>
          <w:color w:val="auto"/>
        </w:rPr>
        <w:t xml:space="preserve"> не перекрещивая и не поджимая ноги</w:t>
      </w:r>
      <w:r>
        <w:rPr>
          <w:rFonts w:ascii="Arial" w:cs="Arial" w:eastAsia="Arial" w:hAnsi="Arial"/>
          <w:sz w:val="27"/>
          <w:szCs w:val="27"/>
          <w:color w:val="auto"/>
        </w:rPr>
        <w:t>,</w:t>
      </w:r>
      <w:r>
        <w:rPr>
          <w:rFonts w:ascii="Arial" w:cs="Arial" w:eastAsia="Arial" w:hAnsi="Arial"/>
          <w:sz w:val="27"/>
          <w:szCs w:val="27"/>
          <w:color w:val="auto"/>
        </w:rPr>
        <w:t xml:space="preserve"> положив руку на</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стол так</w:t>
      </w:r>
      <w:r>
        <w:rPr>
          <w:rFonts w:ascii="Arial" w:cs="Arial" w:eastAsia="Arial" w:hAnsi="Arial"/>
          <w:sz w:val="27"/>
          <w:szCs w:val="27"/>
          <w:color w:val="auto"/>
        </w:rPr>
        <w:t>,</w:t>
      </w:r>
      <w:r>
        <w:rPr>
          <w:rFonts w:ascii="Arial" w:cs="Arial" w:eastAsia="Arial" w:hAnsi="Arial"/>
          <w:sz w:val="27"/>
          <w:szCs w:val="27"/>
          <w:color w:val="auto"/>
        </w:rPr>
        <w:t xml:space="preserve"> чтобы наложенная на плечо манжета была на уровне</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сердца</w:t>
      </w:r>
      <w:r>
        <w:rPr>
          <w:rFonts w:ascii="Arial" w:cs="Arial" w:eastAsia="Arial" w:hAnsi="Arial"/>
          <w:sz w:val="27"/>
          <w:szCs w:val="27"/>
          <w:color w:val="auto"/>
        </w:rPr>
        <w:t>,</w:t>
      </w:r>
      <w:r>
        <w:rPr>
          <w:rFonts w:ascii="Arial" w:cs="Arial" w:eastAsia="Arial" w:hAnsi="Arial"/>
          <w:sz w:val="27"/>
          <w:szCs w:val="27"/>
          <w:color w:val="auto"/>
        </w:rPr>
        <w:t xml:space="preserve"> спина и рука с манжетой должны быть расслаблены</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2560" w:val="left"/>
          <w:tab w:leader="none" w:pos="4320" w:val="left"/>
          <w:tab w:leader="none" w:pos="5920" w:val="left"/>
          <w:tab w:leader="none" w:pos="6420" w:val="left"/>
        </w:tabs>
        <w:rPr>
          <w:sz w:val="20"/>
          <w:szCs w:val="20"/>
          <w:color w:val="auto"/>
        </w:rPr>
      </w:pPr>
      <w:r>
        <w:rPr>
          <w:rFonts w:ascii="Arial" w:cs="Arial" w:eastAsia="Arial" w:hAnsi="Arial"/>
          <w:sz w:val="27"/>
          <w:szCs w:val="27"/>
          <w:color w:val="auto"/>
        </w:rPr>
        <w:t>необходимо</w:t>
        <w:tab/>
        <w:t>выполнять</w:t>
        <w:tab/>
        <w:t>минимум</w:t>
      </w:r>
      <w:r>
        <w:rPr>
          <w:sz w:val="20"/>
          <w:szCs w:val="20"/>
          <w:color w:val="auto"/>
        </w:rPr>
        <w:tab/>
      </w:r>
      <w:r>
        <w:rPr>
          <w:rFonts w:ascii="Arial" w:cs="Arial" w:eastAsia="Arial" w:hAnsi="Arial"/>
          <w:sz w:val="27"/>
          <w:szCs w:val="27"/>
          <w:color w:val="auto"/>
        </w:rPr>
        <w:t>2</w:t>
      </w:r>
      <w:r>
        <w:rPr>
          <w:sz w:val="20"/>
          <w:szCs w:val="20"/>
          <w:color w:val="auto"/>
        </w:rPr>
        <w:tab/>
      </w:r>
      <w:r>
        <w:rPr>
          <w:rFonts w:ascii="Arial" w:cs="Arial" w:eastAsia="Arial" w:hAnsi="Arial"/>
          <w:sz w:val="26"/>
          <w:szCs w:val="26"/>
          <w:color w:val="auto"/>
        </w:rPr>
        <w:t>последовательных</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2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измерения АД утром и вечером ежедневно</w:t>
      </w:r>
      <w:r>
        <w:rPr>
          <w:rFonts w:ascii="Arial" w:cs="Arial" w:eastAsia="Arial" w:hAnsi="Arial"/>
          <w:sz w:val="27"/>
          <w:szCs w:val="27"/>
          <w:color w:val="auto"/>
        </w:rPr>
        <w:t>,</w:t>
      </w:r>
      <w:r>
        <w:rPr>
          <w:rFonts w:ascii="Arial" w:cs="Arial" w:eastAsia="Arial" w:hAnsi="Arial"/>
          <w:sz w:val="27"/>
          <w:szCs w:val="27"/>
          <w:color w:val="auto"/>
        </w:rPr>
        <w:t xml:space="preserve"> хотя бы за </w:t>
      </w:r>
      <w:r>
        <w:rPr>
          <w:rFonts w:ascii="Arial" w:cs="Arial" w:eastAsia="Arial" w:hAnsi="Arial"/>
          <w:sz w:val="27"/>
          <w:szCs w:val="27"/>
          <w:color w:val="auto"/>
        </w:rPr>
        <w:t>7</w:t>
      </w:r>
      <w:r>
        <w:rPr>
          <w:rFonts w:ascii="Arial" w:cs="Arial" w:eastAsia="Arial" w:hAnsi="Arial"/>
          <w:sz w:val="27"/>
          <w:szCs w:val="27"/>
          <w:color w:val="auto"/>
        </w:rPr>
        <w:t xml:space="preserve"> дней</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до планового визита к врачу или после изменения терапии</w:t>
      </w:r>
      <w:r>
        <w:rPr>
          <w:rFonts w:ascii="Arial" w:cs="Arial" w:eastAsia="Arial" w:hAnsi="Arial"/>
          <w:sz w:val="27"/>
          <w:szCs w:val="27"/>
          <w:color w:val="auto"/>
        </w:rPr>
        <w:t>;</w:t>
      </w:r>
    </w:p>
    <w:p>
      <w:pPr>
        <w:spacing w:after="0" w:line="80" w:lineRule="exact"/>
        <w:rPr>
          <w:sz w:val="20"/>
          <w:szCs w:val="20"/>
          <w:color w:val="auto"/>
        </w:rPr>
      </w:pPr>
    </w:p>
    <w:p>
      <w:pPr>
        <w:ind w:left="680"/>
        <w:spacing w:after="0"/>
        <w:tabs>
          <w:tab w:leader="none" w:pos="1940" w:val="left"/>
          <w:tab w:leader="none" w:pos="3740" w:val="left"/>
          <w:tab w:leader="none" w:pos="5500" w:val="left"/>
          <w:tab w:leader="none" w:pos="7240" w:val="left"/>
          <w:tab w:leader="none" w:pos="7700" w:val="left"/>
        </w:tabs>
        <w:rPr>
          <w:sz w:val="20"/>
          <w:szCs w:val="20"/>
          <w:color w:val="auto"/>
        </w:rPr>
      </w:pPr>
      <w:r>
        <w:rPr>
          <w:rFonts w:ascii="Arial" w:cs="Arial" w:eastAsia="Arial" w:hAnsi="Arial"/>
          <w:sz w:val="27"/>
          <w:szCs w:val="27"/>
          <w:color w:val="auto"/>
        </w:rPr>
        <w:t>следует</w:t>
        <w:tab/>
        <w:t>записывать</w:t>
        <w:tab/>
        <w:t>результаты</w:t>
        <w:tab/>
        <w:t>измерений</w:t>
        <w:tab/>
        <w:t>в</w:t>
        <w:tab/>
        <w:t>дневник</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самоконтроля</w:t>
      </w:r>
      <w:r>
        <w:rPr>
          <w:rFonts w:ascii="Arial" w:cs="Arial" w:eastAsia="Arial" w:hAnsi="Arial"/>
          <w:sz w:val="27"/>
          <w:szCs w:val="27"/>
          <w:color w:val="auto"/>
        </w:rPr>
        <w:t>;</w:t>
      </w:r>
    </w:p>
    <w:p>
      <w:pPr>
        <w:spacing w:after="0" w:line="8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минимум за </w:t>
      </w:r>
      <w:r>
        <w:rPr>
          <w:rFonts w:ascii="Arial" w:cs="Arial" w:eastAsia="Arial" w:hAnsi="Arial"/>
          <w:sz w:val="27"/>
          <w:szCs w:val="27"/>
          <w:color w:val="auto"/>
        </w:rPr>
        <w:t>30</w:t>
      </w:r>
      <w:r>
        <w:rPr>
          <w:rFonts w:ascii="Arial" w:cs="Arial" w:eastAsia="Arial" w:hAnsi="Arial"/>
          <w:sz w:val="27"/>
          <w:szCs w:val="27"/>
          <w:color w:val="auto"/>
        </w:rPr>
        <w:t xml:space="preserve"> мин до измерения АД не следует курить 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2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употреблять кофеинсодержащие напитки</w:t>
      </w:r>
      <w:r>
        <w:rPr>
          <w:rFonts w:ascii="Arial" w:cs="Arial" w:eastAsia="Arial" w:hAnsi="Arial"/>
          <w:sz w:val="27"/>
          <w:szCs w:val="27"/>
          <w:color w:val="auto"/>
        </w:rPr>
        <w:t>;</w:t>
      </w:r>
    </w:p>
    <w:p>
      <w:pPr>
        <w:spacing w:after="0" w:line="80" w:lineRule="exact"/>
        <w:rPr>
          <w:sz w:val="20"/>
          <w:szCs w:val="20"/>
          <w:color w:val="auto"/>
        </w:rPr>
      </w:pPr>
    </w:p>
    <w:p>
      <w:pPr>
        <w:ind w:left="680" w:right="220"/>
        <w:spacing w:after="0" w:line="334" w:lineRule="auto"/>
        <w:rPr>
          <w:sz w:val="20"/>
          <w:szCs w:val="20"/>
          <w:color w:val="auto"/>
        </w:rPr>
      </w:pPr>
      <w:r>
        <w:rPr>
          <w:rFonts w:ascii="Arial" w:cs="Arial" w:eastAsia="Arial" w:hAnsi="Arial"/>
          <w:sz w:val="27"/>
          <w:szCs w:val="27"/>
          <w:color w:val="auto"/>
        </w:rPr>
        <w:t>во время измерения АД одежда не должна плотно охватывать плечо</w:t>
      </w:r>
      <w:r>
        <w:rPr>
          <w:rFonts w:ascii="Arial" w:cs="Arial" w:eastAsia="Arial" w:hAnsi="Arial"/>
          <w:sz w:val="27"/>
          <w:szCs w:val="27"/>
          <w:color w:val="auto"/>
        </w:rPr>
        <w:t>,</w:t>
      </w:r>
      <w:r>
        <w:rPr>
          <w:rFonts w:ascii="Arial" w:cs="Arial" w:eastAsia="Arial" w:hAnsi="Arial"/>
          <w:sz w:val="27"/>
          <w:szCs w:val="27"/>
          <w:color w:val="auto"/>
        </w:rPr>
        <w:t xml:space="preserve"> создавая складки и дополнительную компрессию</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-468630</wp:posOffset>
            </wp:positionV>
            <wp:extent cx="82550" cy="8255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32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66"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Пациент и члены его семьи должны владеть методикой измерения АД</w:t>
      </w:r>
      <w:r>
        <w:rPr>
          <w:rFonts w:ascii="Arial" w:cs="Arial" w:eastAsia="Arial" w:hAnsi="Arial"/>
          <w:sz w:val="27"/>
          <w:szCs w:val="27"/>
          <w:color w:val="auto"/>
        </w:rPr>
        <w:t>,</w:t>
      </w:r>
      <w:r>
        <w:rPr>
          <w:rFonts w:ascii="Arial" w:cs="Arial" w:eastAsia="Arial" w:hAnsi="Arial"/>
          <w:sz w:val="27"/>
          <w:szCs w:val="27"/>
          <w:color w:val="auto"/>
        </w:rPr>
        <w:t xml:space="preserve"> уметь вести дневник АД с записью цифр</w:t>
      </w:r>
      <w:r>
        <w:rPr>
          <w:rFonts w:ascii="Arial" w:cs="Arial" w:eastAsia="Arial" w:hAnsi="Arial"/>
          <w:sz w:val="27"/>
          <w:szCs w:val="27"/>
          <w:color w:val="auto"/>
        </w:rPr>
        <w:t>.</w:t>
      </w:r>
    </w:p>
    <w:p>
      <w:pPr>
        <w:sectPr>
          <w:pgSz w:w="11900" w:h="16840" w:orient="portrait"/>
          <w:cols w:equalWidth="0" w:num="1">
            <w:col w:w="9020"/>
          </w:cols>
          <w:pgMar w:left="1440" w:top="671" w:right="1440" w:bottom="446" w:gutter="0" w:footer="0" w:header="0"/>
        </w:sectPr>
      </w:pPr>
    </w:p>
    <w:bookmarkStart w:id="128" w:name="page129"/>
    <w:bookmarkEnd w:id="128"/>
    <w:p>
      <w:pPr>
        <w:jc w:val="both"/>
        <w:ind w:left="360" w:right="220"/>
        <w:spacing w:after="0" w:line="312" w:lineRule="auto"/>
        <w:rPr>
          <w:sz w:val="20"/>
          <w:szCs w:val="20"/>
          <w:color w:val="auto"/>
        </w:rPr>
      </w:pPr>
      <w:r>
        <w:rPr>
          <w:rFonts w:ascii="Arial" w:cs="Arial" w:eastAsia="Arial" w:hAnsi="Arial"/>
          <w:sz w:val="27"/>
          <w:szCs w:val="27"/>
          <w:color w:val="auto"/>
        </w:rPr>
        <w:t>Если пациент получает антигипертензивные препараты</w:t>
      </w:r>
      <w:r>
        <w:rPr>
          <w:rFonts w:ascii="Arial" w:cs="Arial" w:eastAsia="Arial" w:hAnsi="Arial"/>
          <w:sz w:val="27"/>
          <w:szCs w:val="27"/>
          <w:color w:val="auto"/>
        </w:rPr>
        <w:t>,</w:t>
      </w:r>
      <w:r>
        <w:rPr>
          <w:rFonts w:ascii="Arial" w:cs="Arial" w:eastAsia="Arial" w:hAnsi="Arial"/>
          <w:sz w:val="27"/>
          <w:szCs w:val="27"/>
          <w:color w:val="auto"/>
        </w:rPr>
        <w:t xml:space="preserve"> он должен быть осведомлен об ожидаемом эффекте</w:t>
      </w:r>
      <w:r>
        <w:rPr>
          <w:rFonts w:ascii="Arial" w:cs="Arial" w:eastAsia="Arial" w:hAnsi="Arial"/>
          <w:sz w:val="27"/>
          <w:szCs w:val="27"/>
          <w:color w:val="auto"/>
        </w:rPr>
        <w:t>,</w:t>
      </w:r>
      <w:r>
        <w:rPr>
          <w:rFonts w:ascii="Arial" w:cs="Arial" w:eastAsia="Arial" w:hAnsi="Arial"/>
          <w:sz w:val="27"/>
          <w:szCs w:val="27"/>
          <w:color w:val="auto"/>
        </w:rPr>
        <w:t xml:space="preserve"> изменениях самочувствия и качестве жизни в ходе терапии</w:t>
      </w:r>
      <w:r>
        <w:rPr>
          <w:rFonts w:ascii="Arial" w:cs="Arial" w:eastAsia="Arial" w:hAnsi="Arial"/>
          <w:sz w:val="27"/>
          <w:szCs w:val="27"/>
          <w:color w:val="auto"/>
        </w:rPr>
        <w:t>,</w:t>
      </w:r>
      <w:r>
        <w:rPr>
          <w:rFonts w:ascii="Arial" w:cs="Arial" w:eastAsia="Arial" w:hAnsi="Arial"/>
          <w:sz w:val="27"/>
          <w:szCs w:val="27"/>
          <w:color w:val="auto"/>
        </w:rPr>
        <w:t xml:space="preserve"> возможных побочных эффектах и способах их устранения</w:t>
      </w:r>
      <w:r>
        <w:rPr>
          <w:rFonts w:ascii="Arial" w:cs="Arial" w:eastAsia="Arial" w:hAnsi="Arial"/>
          <w:sz w:val="27"/>
          <w:szCs w:val="27"/>
          <w:color w:val="auto"/>
        </w:rPr>
        <w:t>.</w:t>
      </w:r>
    </w:p>
    <w:p>
      <w:pPr>
        <w:spacing w:after="0" w:line="216" w:lineRule="exact"/>
        <w:rPr>
          <w:sz w:val="20"/>
          <w:szCs w:val="20"/>
          <w:color w:val="auto"/>
        </w:rPr>
      </w:pPr>
    </w:p>
    <w:p>
      <w:pPr>
        <w:jc w:val="both"/>
        <w:ind w:left="360" w:right="220"/>
        <w:spacing w:after="0" w:line="304" w:lineRule="auto"/>
        <w:rPr>
          <w:sz w:val="20"/>
          <w:szCs w:val="20"/>
          <w:color w:val="auto"/>
        </w:rPr>
      </w:pPr>
      <w:r>
        <w:rPr>
          <w:rFonts w:ascii="Arial" w:cs="Arial" w:eastAsia="Arial" w:hAnsi="Arial"/>
          <w:sz w:val="27"/>
          <w:szCs w:val="27"/>
          <w:color w:val="auto"/>
        </w:rPr>
        <w:t>Пациент должен знать об имеющихся у него и членов его семьи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сосудистых факторах риска </w:t>
      </w:r>
      <w:r>
        <w:rPr>
          <w:rFonts w:ascii="Arial" w:cs="Arial" w:eastAsia="Arial" w:hAnsi="Arial"/>
          <w:sz w:val="27"/>
          <w:szCs w:val="27"/>
          <w:color w:val="auto"/>
        </w:rPr>
        <w:t>—</w:t>
      </w:r>
      <w:r>
        <w:rPr>
          <w:rFonts w:ascii="Arial" w:cs="Arial" w:eastAsia="Arial" w:hAnsi="Arial"/>
          <w:sz w:val="27"/>
          <w:szCs w:val="27"/>
          <w:color w:val="auto"/>
        </w:rPr>
        <w:t xml:space="preserve"> это курение</w:t>
      </w:r>
      <w:r>
        <w:rPr>
          <w:rFonts w:ascii="Arial" w:cs="Arial" w:eastAsia="Arial" w:hAnsi="Arial"/>
          <w:sz w:val="27"/>
          <w:szCs w:val="27"/>
          <w:color w:val="auto"/>
        </w:rPr>
        <w:t>,</w:t>
      </w:r>
      <w:r>
        <w:rPr>
          <w:rFonts w:ascii="Arial" w:cs="Arial" w:eastAsia="Arial" w:hAnsi="Arial"/>
          <w:sz w:val="27"/>
          <w:szCs w:val="27"/>
          <w:color w:val="auto"/>
        </w:rPr>
        <w:t xml:space="preserve"> избыточная масса тела</w:t>
      </w:r>
      <w:r>
        <w:rPr>
          <w:rFonts w:ascii="Arial" w:cs="Arial" w:eastAsia="Arial" w:hAnsi="Arial"/>
          <w:sz w:val="27"/>
          <w:szCs w:val="27"/>
          <w:color w:val="auto"/>
        </w:rPr>
        <w:t>,</w:t>
      </w:r>
      <w:r>
        <w:rPr>
          <w:rFonts w:ascii="Arial" w:cs="Arial" w:eastAsia="Arial" w:hAnsi="Arial"/>
          <w:sz w:val="27"/>
          <w:szCs w:val="27"/>
          <w:color w:val="auto"/>
        </w:rPr>
        <w:t xml:space="preserve"> психоэмоциональный стресс</w:t>
      </w:r>
      <w:r>
        <w:rPr>
          <w:rFonts w:ascii="Arial" w:cs="Arial" w:eastAsia="Arial" w:hAnsi="Arial"/>
          <w:sz w:val="27"/>
          <w:szCs w:val="27"/>
          <w:color w:val="auto"/>
        </w:rPr>
        <w:t>,</w:t>
      </w:r>
      <w:r>
        <w:rPr>
          <w:rFonts w:ascii="Arial" w:cs="Arial" w:eastAsia="Arial" w:hAnsi="Arial"/>
          <w:sz w:val="27"/>
          <w:szCs w:val="27"/>
          <w:color w:val="auto"/>
        </w:rPr>
        <w:t xml:space="preserve"> малоподвижный образ жизни</w:t>
      </w:r>
      <w:r>
        <w:rPr>
          <w:rFonts w:ascii="Arial" w:cs="Arial" w:eastAsia="Arial" w:hAnsi="Arial"/>
          <w:sz w:val="27"/>
          <w:szCs w:val="27"/>
          <w:color w:val="auto"/>
        </w:rPr>
        <w:t>,</w:t>
      </w:r>
      <w:r>
        <w:rPr>
          <w:rFonts w:ascii="Arial" w:cs="Arial" w:eastAsia="Arial" w:hAnsi="Arial"/>
          <w:sz w:val="27"/>
          <w:szCs w:val="27"/>
          <w:color w:val="auto"/>
        </w:rPr>
        <w:t xml:space="preserve"> повышенный уровень холестерина</w:t>
      </w:r>
      <w:r>
        <w:rPr>
          <w:rFonts w:ascii="Arial" w:cs="Arial" w:eastAsia="Arial" w:hAnsi="Arial"/>
          <w:sz w:val="27"/>
          <w:szCs w:val="27"/>
          <w:color w:val="auto"/>
        </w:rPr>
        <w:t>.</w:t>
      </w:r>
      <w:r>
        <w:rPr>
          <w:rFonts w:ascii="Arial" w:cs="Arial" w:eastAsia="Arial" w:hAnsi="Arial"/>
          <w:sz w:val="27"/>
          <w:szCs w:val="27"/>
          <w:color w:val="auto"/>
        </w:rPr>
        <w:t xml:space="preserve"> Влияние указанных факторов риска может быть снижено</w:t>
      </w:r>
      <w:r>
        <w:rPr>
          <w:rFonts w:ascii="Arial" w:cs="Arial" w:eastAsia="Arial" w:hAnsi="Arial"/>
          <w:sz w:val="27"/>
          <w:szCs w:val="27"/>
          <w:color w:val="auto"/>
        </w:rPr>
        <w:t>.</w:t>
      </w:r>
      <w:r>
        <w:rPr>
          <w:rFonts w:ascii="Arial" w:cs="Arial" w:eastAsia="Arial" w:hAnsi="Arial"/>
          <w:sz w:val="27"/>
          <w:szCs w:val="27"/>
          <w:color w:val="auto"/>
        </w:rPr>
        <w:t xml:space="preserve"> Особенно важна коррекция изменяемых факторов риска при наличии у пациента и членов его семьи некорригируемых факторов риска</w:t>
      </w:r>
      <w:r>
        <w:rPr>
          <w:rFonts w:ascii="Arial" w:cs="Arial" w:eastAsia="Arial" w:hAnsi="Arial"/>
          <w:sz w:val="27"/>
          <w:szCs w:val="27"/>
          <w:color w:val="auto"/>
        </w:rPr>
        <w:t>,</w:t>
      </w:r>
      <w:r>
        <w:rPr>
          <w:rFonts w:ascii="Arial" w:cs="Arial" w:eastAsia="Arial" w:hAnsi="Arial"/>
          <w:sz w:val="27"/>
          <w:szCs w:val="27"/>
          <w:color w:val="auto"/>
        </w:rPr>
        <w:t xml:space="preserve"> к которым относятся</w:t>
      </w:r>
      <w:r>
        <w:rPr>
          <w:rFonts w:ascii="Arial" w:cs="Arial" w:eastAsia="Arial" w:hAnsi="Arial"/>
          <w:sz w:val="27"/>
          <w:szCs w:val="27"/>
          <w:color w:val="auto"/>
        </w:rPr>
        <w:t>:</w:t>
      </w:r>
      <w:r>
        <w:rPr>
          <w:rFonts w:ascii="Arial" w:cs="Arial" w:eastAsia="Arial" w:hAnsi="Arial"/>
          <w:sz w:val="27"/>
          <w:szCs w:val="27"/>
          <w:color w:val="auto"/>
        </w:rPr>
        <w:t xml:space="preserve"> наличие в семейном анамнезе ранних мозговых инсультов</w:t>
      </w:r>
      <w:r>
        <w:rPr>
          <w:rFonts w:ascii="Arial" w:cs="Arial" w:eastAsia="Arial" w:hAnsi="Arial"/>
          <w:sz w:val="27"/>
          <w:szCs w:val="27"/>
          <w:color w:val="auto"/>
        </w:rPr>
        <w:t>,</w:t>
      </w:r>
      <w:r>
        <w:rPr>
          <w:rFonts w:ascii="Arial" w:cs="Arial" w:eastAsia="Arial" w:hAnsi="Arial"/>
          <w:sz w:val="27"/>
          <w:szCs w:val="27"/>
          <w:color w:val="auto"/>
        </w:rPr>
        <w:t xml:space="preserve"> инфарктов миокарда</w:t>
      </w:r>
      <w:r>
        <w:rPr>
          <w:rFonts w:ascii="Arial" w:cs="Arial" w:eastAsia="Arial" w:hAnsi="Arial"/>
          <w:sz w:val="27"/>
          <w:szCs w:val="27"/>
          <w:color w:val="auto"/>
        </w:rPr>
        <w:t>,</w:t>
      </w:r>
      <w:r>
        <w:rPr>
          <w:rFonts w:ascii="Arial" w:cs="Arial" w:eastAsia="Arial" w:hAnsi="Arial"/>
          <w:sz w:val="27"/>
          <w:szCs w:val="27"/>
          <w:color w:val="auto"/>
        </w:rPr>
        <w:t xml:space="preserve"> сахарного диабета</w:t>
      </w:r>
      <w:r>
        <w:rPr>
          <w:rFonts w:ascii="Arial" w:cs="Arial" w:eastAsia="Arial" w:hAnsi="Arial"/>
          <w:sz w:val="27"/>
          <w:szCs w:val="27"/>
          <w:color w:val="auto"/>
        </w:rPr>
        <w:t>;</w:t>
      </w:r>
      <w:r>
        <w:rPr>
          <w:rFonts w:ascii="Arial" w:cs="Arial" w:eastAsia="Arial" w:hAnsi="Arial"/>
          <w:sz w:val="27"/>
          <w:szCs w:val="27"/>
          <w:color w:val="auto"/>
        </w:rPr>
        <w:t xml:space="preserve"> мужской пол</w:t>
      </w:r>
      <w:r>
        <w:rPr>
          <w:rFonts w:ascii="Arial" w:cs="Arial" w:eastAsia="Arial" w:hAnsi="Arial"/>
          <w:sz w:val="27"/>
          <w:szCs w:val="27"/>
          <w:color w:val="auto"/>
        </w:rPr>
        <w:t>;</w:t>
      </w:r>
      <w:r>
        <w:rPr>
          <w:rFonts w:ascii="Arial" w:cs="Arial" w:eastAsia="Arial" w:hAnsi="Arial"/>
          <w:sz w:val="27"/>
          <w:szCs w:val="27"/>
          <w:color w:val="auto"/>
        </w:rPr>
        <w:t xml:space="preserve"> пожилой возраст</w:t>
      </w:r>
      <w:r>
        <w:rPr>
          <w:rFonts w:ascii="Arial" w:cs="Arial" w:eastAsia="Arial" w:hAnsi="Arial"/>
          <w:sz w:val="27"/>
          <w:szCs w:val="27"/>
          <w:color w:val="auto"/>
        </w:rPr>
        <w:t>;</w:t>
      </w:r>
      <w:r>
        <w:rPr>
          <w:rFonts w:ascii="Arial" w:cs="Arial" w:eastAsia="Arial" w:hAnsi="Arial"/>
          <w:sz w:val="27"/>
          <w:szCs w:val="27"/>
          <w:color w:val="auto"/>
        </w:rPr>
        <w:t xml:space="preserve"> физиологическая или хирургическая менопауза у женщин</w:t>
      </w:r>
      <w:r>
        <w:rPr>
          <w:rFonts w:ascii="Arial" w:cs="Arial" w:eastAsia="Arial" w:hAnsi="Arial"/>
          <w:sz w:val="27"/>
          <w:szCs w:val="27"/>
          <w:color w:val="auto"/>
        </w:rPr>
        <w:t>.</w:t>
      </w:r>
    </w:p>
    <w:p>
      <w:pPr>
        <w:spacing w:after="0" w:line="236"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color w:val="auto"/>
        </w:rPr>
        <w:t>Коррекцию факторов риска требуется проводить не только пациенту</w:t>
      </w:r>
      <w:r>
        <w:rPr>
          <w:rFonts w:ascii="Arial" w:cs="Arial" w:eastAsia="Arial" w:hAnsi="Arial"/>
          <w:sz w:val="27"/>
          <w:szCs w:val="27"/>
          <w:color w:val="auto"/>
        </w:rPr>
        <w:t>,</w:t>
      </w:r>
      <w:r>
        <w:rPr>
          <w:rFonts w:ascii="Arial" w:cs="Arial" w:eastAsia="Arial" w:hAnsi="Arial"/>
          <w:sz w:val="27"/>
          <w:szCs w:val="27"/>
          <w:color w:val="auto"/>
        </w:rPr>
        <w:t xml:space="preserve"> но и членам его семьи</w:t>
      </w:r>
      <w:r>
        <w:rPr>
          <w:rFonts w:ascii="Arial" w:cs="Arial" w:eastAsia="Arial" w:hAnsi="Arial"/>
          <w:sz w:val="27"/>
          <w:szCs w:val="27"/>
          <w:color w:val="auto"/>
        </w:rPr>
        <w:t>.</w:t>
      </w:r>
      <w:r>
        <w:rPr>
          <w:rFonts w:ascii="Arial" w:cs="Arial" w:eastAsia="Arial" w:hAnsi="Arial"/>
          <w:sz w:val="27"/>
          <w:szCs w:val="27"/>
          <w:color w:val="auto"/>
        </w:rPr>
        <w:t xml:space="preserve"> Она осуществляется путем реализации программ семейной первичной профилактики и воспитания</w:t>
      </w:r>
      <w:r>
        <w:rPr>
          <w:rFonts w:ascii="Arial" w:cs="Arial" w:eastAsia="Arial" w:hAnsi="Arial"/>
          <w:sz w:val="27"/>
          <w:szCs w:val="27"/>
          <w:color w:val="auto"/>
        </w:rPr>
        <w:t>,</w:t>
      </w:r>
      <w:r>
        <w:rPr>
          <w:rFonts w:ascii="Arial" w:cs="Arial" w:eastAsia="Arial" w:hAnsi="Arial"/>
          <w:sz w:val="27"/>
          <w:szCs w:val="27"/>
          <w:color w:val="auto"/>
        </w:rPr>
        <w:t xml:space="preserve"> составленных врачом</w:t>
      </w:r>
      <w:r>
        <w:rPr>
          <w:rFonts w:ascii="Arial" w:cs="Arial" w:eastAsia="Arial" w:hAnsi="Arial"/>
          <w:sz w:val="27"/>
          <w:szCs w:val="27"/>
          <w:color w:val="auto"/>
        </w:rPr>
        <w:t>.</w:t>
      </w:r>
    </w:p>
    <w:p>
      <w:pPr>
        <w:spacing w:after="0" w:line="216" w:lineRule="exact"/>
        <w:rPr>
          <w:sz w:val="20"/>
          <w:szCs w:val="20"/>
          <w:color w:val="auto"/>
        </w:rPr>
      </w:pPr>
    </w:p>
    <w:p>
      <w:pPr>
        <w:ind w:left="680" w:right="220"/>
        <w:spacing w:after="0" w:line="181" w:lineRule="auto"/>
        <w:rPr>
          <w:sz w:val="20"/>
          <w:szCs w:val="20"/>
          <w:color w:val="auto"/>
        </w:rPr>
      </w:pPr>
      <w:r>
        <w:rPr>
          <w:rFonts w:ascii="Arial" w:cs="Arial" w:eastAsia="Arial" w:hAnsi="Arial"/>
          <w:sz w:val="26"/>
          <w:szCs w:val="26"/>
          <w:color w:val="auto"/>
        </w:rPr>
        <w:t xml:space="preserve">индекс массы тела </w:t>
      </w:r>
      <w:r>
        <w:rPr>
          <w:rFonts w:ascii="Arial" w:cs="Arial" w:eastAsia="Arial" w:hAnsi="Arial"/>
          <w:sz w:val="26"/>
          <w:szCs w:val="26"/>
          <w:color w:val="auto"/>
        </w:rPr>
        <w:t>(</w:t>
      </w:r>
      <w:r>
        <w:rPr>
          <w:rFonts w:ascii="Arial" w:cs="Arial" w:eastAsia="Arial" w:hAnsi="Arial"/>
          <w:sz w:val="26"/>
          <w:szCs w:val="26"/>
          <w:color w:val="auto"/>
        </w:rPr>
        <w:t>Кетле</w:t>
      </w:r>
      <w:r>
        <w:rPr>
          <w:rFonts w:ascii="Arial" w:cs="Arial" w:eastAsia="Arial" w:hAnsi="Arial"/>
          <w:sz w:val="26"/>
          <w:szCs w:val="26"/>
          <w:color w:val="auto"/>
        </w:rPr>
        <w:t>) =</w:t>
      </w:r>
      <w:r>
        <w:rPr>
          <w:rFonts w:ascii="Arial" w:cs="Arial" w:eastAsia="Arial" w:hAnsi="Arial"/>
          <w:sz w:val="26"/>
          <w:szCs w:val="26"/>
          <w:color w:val="auto"/>
        </w:rPr>
        <w:t xml:space="preserve"> масса тела в килограммах</w:t>
      </w:r>
      <w:r>
        <w:rPr>
          <w:rFonts w:ascii="Arial" w:cs="Arial" w:eastAsia="Arial" w:hAnsi="Arial"/>
          <w:sz w:val="26"/>
          <w:szCs w:val="26"/>
          <w:color w:val="auto"/>
        </w:rPr>
        <w:t>/(</w:t>
      </w:r>
      <w:r>
        <w:rPr>
          <w:rFonts w:ascii="Arial" w:cs="Arial" w:eastAsia="Arial" w:hAnsi="Arial"/>
          <w:sz w:val="26"/>
          <w:szCs w:val="26"/>
          <w:color w:val="auto"/>
        </w:rPr>
        <w:t>рост в м</w:t>
      </w:r>
      <w:r>
        <w:rPr>
          <w:rFonts w:ascii="Arial" w:cs="Arial" w:eastAsia="Arial" w:hAnsi="Arial"/>
          <w:sz w:val="51"/>
          <w:szCs w:val="51"/>
          <w:color w:val="auto"/>
          <w:vertAlign w:val="superscript"/>
        </w:rPr>
        <w:t>2</w:t>
      </w:r>
      <w:r>
        <w:rPr>
          <w:rFonts w:ascii="Arial" w:cs="Arial" w:eastAsia="Arial" w:hAnsi="Arial"/>
          <w:sz w:val="26"/>
          <w:szCs w:val="26"/>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-343535</wp:posOffset>
            </wp:positionV>
            <wp:extent cx="82550" cy="82550"/>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32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line="182" w:lineRule="auto"/>
        <w:rPr>
          <w:sz w:val="20"/>
          <w:szCs w:val="20"/>
          <w:color w:val="auto"/>
        </w:rPr>
      </w:pPr>
      <w:r>
        <w:rPr>
          <w:rFonts w:ascii="Arial" w:cs="Arial" w:eastAsia="Arial" w:hAnsi="Arial"/>
          <w:sz w:val="24"/>
          <w:szCs w:val="24"/>
          <w:color w:val="auto"/>
        </w:rPr>
        <w:t xml:space="preserve">15–19,9 </w:t>
      </w:r>
      <w:r>
        <w:rPr>
          <w:rFonts w:ascii="Arial" w:cs="Arial" w:eastAsia="Arial" w:hAnsi="Arial"/>
          <w:sz w:val="24"/>
          <w:szCs w:val="24"/>
          <w:color w:val="auto"/>
        </w:rPr>
        <w:t>кг</w:t>
      </w:r>
      <w:r>
        <w:rPr>
          <w:rFonts w:ascii="Arial" w:cs="Arial" w:eastAsia="Arial" w:hAnsi="Arial"/>
          <w:sz w:val="24"/>
          <w:szCs w:val="24"/>
          <w:color w:val="auto"/>
        </w:rPr>
        <w:t>/</w:t>
      </w:r>
      <w:r>
        <w:rPr>
          <w:rFonts w:ascii="Arial" w:cs="Arial" w:eastAsia="Arial" w:hAnsi="Arial"/>
          <w:sz w:val="24"/>
          <w:szCs w:val="24"/>
          <w:color w:val="auto"/>
        </w:rPr>
        <w:t>м</w:t>
      </w:r>
      <w:r>
        <w:rPr>
          <w:rFonts w:ascii="Arial" w:cs="Arial" w:eastAsia="Arial" w:hAnsi="Arial"/>
          <w:sz w:val="45"/>
          <w:szCs w:val="45"/>
          <w:color w:val="auto"/>
          <w:vertAlign w:val="superscript"/>
        </w:rPr>
        <w:t>2</w:t>
      </w:r>
      <w:r>
        <w:rPr>
          <w:rFonts w:ascii="Arial" w:cs="Arial" w:eastAsia="Arial" w:hAnsi="Arial"/>
          <w:sz w:val="24"/>
          <w:szCs w:val="24"/>
          <w:color w:val="auto"/>
        </w:rPr>
        <w:t xml:space="preserve"> — </w:t>
      </w:r>
      <w:r>
        <w:rPr>
          <w:rFonts w:ascii="Arial" w:cs="Arial" w:eastAsia="Arial" w:hAnsi="Arial"/>
          <w:sz w:val="24"/>
          <w:szCs w:val="24"/>
          <w:color w:val="auto"/>
        </w:rPr>
        <w:t>недостаточная масса тела</w:t>
      </w:r>
      <w:r>
        <w:rPr>
          <w:rFonts w:ascii="Arial" w:cs="Arial" w:eastAsia="Arial" w:hAnsi="Arial"/>
          <w:sz w:val="24"/>
          <w:szCs w:val="24"/>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-97155</wp:posOffset>
            </wp:positionV>
            <wp:extent cx="82550" cy="82550"/>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860"/>
        <w:spacing w:after="0" w:line="187" w:lineRule="auto"/>
        <w:rPr>
          <w:sz w:val="20"/>
          <w:szCs w:val="20"/>
          <w:color w:val="auto"/>
        </w:rPr>
      </w:pPr>
      <w:r>
        <w:rPr>
          <w:rFonts w:ascii="Arial" w:cs="Arial" w:eastAsia="Arial" w:hAnsi="Arial"/>
          <w:sz w:val="26"/>
          <w:szCs w:val="26"/>
          <w:color w:val="auto"/>
        </w:rPr>
        <w:t xml:space="preserve">20–24,9 </w:t>
      </w:r>
      <w:r>
        <w:rPr>
          <w:rFonts w:ascii="Arial" w:cs="Arial" w:eastAsia="Arial" w:hAnsi="Arial"/>
          <w:sz w:val="26"/>
          <w:szCs w:val="26"/>
          <w:color w:val="auto"/>
        </w:rPr>
        <w:t>кг</w:t>
      </w:r>
      <w:r>
        <w:rPr>
          <w:rFonts w:ascii="Arial" w:cs="Arial" w:eastAsia="Arial" w:hAnsi="Arial"/>
          <w:sz w:val="26"/>
          <w:szCs w:val="26"/>
          <w:color w:val="auto"/>
        </w:rPr>
        <w:t>/</w:t>
      </w:r>
      <w:r>
        <w:rPr>
          <w:rFonts w:ascii="Arial" w:cs="Arial" w:eastAsia="Arial" w:hAnsi="Arial"/>
          <w:sz w:val="26"/>
          <w:szCs w:val="26"/>
          <w:color w:val="auto"/>
        </w:rPr>
        <w:t>м</w:t>
      </w:r>
      <w:r>
        <w:rPr>
          <w:rFonts w:ascii="Arial" w:cs="Arial" w:eastAsia="Arial" w:hAnsi="Arial"/>
          <w:sz w:val="52"/>
          <w:szCs w:val="52"/>
          <w:color w:val="auto"/>
          <w:vertAlign w:val="superscript"/>
        </w:rPr>
        <w:t>2</w:t>
      </w:r>
      <w:r>
        <w:rPr>
          <w:rFonts w:ascii="Arial" w:cs="Arial" w:eastAsia="Arial" w:hAnsi="Arial"/>
          <w:sz w:val="26"/>
          <w:szCs w:val="26"/>
          <w:color w:val="auto"/>
        </w:rPr>
        <w:t xml:space="preserve"> — </w:t>
      </w:r>
      <w:r>
        <w:rPr>
          <w:rFonts w:ascii="Arial" w:cs="Arial" w:eastAsia="Arial" w:hAnsi="Arial"/>
          <w:sz w:val="26"/>
          <w:szCs w:val="26"/>
          <w:color w:val="auto"/>
        </w:rPr>
        <w:t>нормальная масса тела</w:t>
      </w:r>
      <w:r>
        <w:rPr>
          <w:rFonts w:ascii="Arial" w:cs="Arial" w:eastAsia="Arial" w:hAnsi="Arial"/>
          <w:sz w:val="26"/>
          <w:szCs w:val="26"/>
          <w:color w:val="auto"/>
        </w:rPr>
        <w:t xml:space="preserve"> (</w:t>
      </w:r>
      <w:r>
        <w:rPr>
          <w:rFonts w:ascii="Arial" w:cs="Arial" w:eastAsia="Arial" w:hAnsi="Arial"/>
          <w:sz w:val="26"/>
          <w:szCs w:val="26"/>
          <w:color w:val="auto"/>
        </w:rPr>
        <w:t>целевой уровень</w:t>
      </w:r>
      <w:r>
        <w:rPr>
          <w:rFonts w:ascii="Arial" w:cs="Arial" w:eastAsia="Arial" w:hAnsi="Arial"/>
          <w:sz w:val="26"/>
          <w:szCs w:val="26"/>
          <w:color w:val="auto"/>
        </w:rPr>
        <w:t xml:space="preserve">); 25–29,9 </w:t>
      </w:r>
      <w:r>
        <w:rPr>
          <w:rFonts w:ascii="Arial" w:cs="Arial" w:eastAsia="Arial" w:hAnsi="Arial"/>
          <w:sz w:val="26"/>
          <w:szCs w:val="26"/>
          <w:color w:val="auto"/>
        </w:rPr>
        <w:t>кг</w:t>
      </w:r>
      <w:r>
        <w:rPr>
          <w:rFonts w:ascii="Arial" w:cs="Arial" w:eastAsia="Arial" w:hAnsi="Arial"/>
          <w:sz w:val="26"/>
          <w:szCs w:val="26"/>
          <w:color w:val="auto"/>
        </w:rPr>
        <w:t>/</w:t>
      </w:r>
      <w:r>
        <w:rPr>
          <w:rFonts w:ascii="Arial" w:cs="Arial" w:eastAsia="Arial" w:hAnsi="Arial"/>
          <w:sz w:val="26"/>
          <w:szCs w:val="26"/>
          <w:color w:val="auto"/>
        </w:rPr>
        <w:t>м</w:t>
      </w:r>
      <w:r>
        <w:rPr>
          <w:rFonts w:ascii="Arial" w:cs="Arial" w:eastAsia="Arial" w:hAnsi="Arial"/>
          <w:sz w:val="52"/>
          <w:szCs w:val="52"/>
          <w:color w:val="auto"/>
          <w:vertAlign w:val="superscript"/>
        </w:rPr>
        <w:t>2</w:t>
      </w:r>
      <w:r>
        <w:rPr>
          <w:rFonts w:ascii="Arial" w:cs="Arial" w:eastAsia="Arial" w:hAnsi="Arial"/>
          <w:sz w:val="26"/>
          <w:szCs w:val="26"/>
          <w:color w:val="auto"/>
        </w:rPr>
        <w:t xml:space="preserve">- </w:t>
      </w:r>
      <w:r>
        <w:rPr>
          <w:rFonts w:ascii="Arial" w:cs="Arial" w:eastAsia="Arial" w:hAnsi="Arial"/>
          <w:sz w:val="26"/>
          <w:szCs w:val="26"/>
          <w:color w:val="auto"/>
        </w:rPr>
        <w:t>избыточная масса тела</w:t>
      </w:r>
      <w:r>
        <w:rPr>
          <w:rFonts w:ascii="Arial" w:cs="Arial" w:eastAsia="Arial" w:hAnsi="Arial"/>
          <w:sz w:val="26"/>
          <w:szCs w:val="26"/>
          <w:color w:val="auto"/>
        </w:rPr>
        <w:t xml:space="preserve">; 30–39,9 </w:t>
      </w:r>
      <w:r>
        <w:rPr>
          <w:rFonts w:ascii="Arial" w:cs="Arial" w:eastAsia="Arial" w:hAnsi="Arial"/>
          <w:sz w:val="26"/>
          <w:szCs w:val="26"/>
          <w:color w:val="auto"/>
        </w:rPr>
        <w:t>кг</w:t>
      </w:r>
      <w:r>
        <w:rPr>
          <w:rFonts w:ascii="Arial" w:cs="Arial" w:eastAsia="Arial" w:hAnsi="Arial"/>
          <w:sz w:val="26"/>
          <w:szCs w:val="26"/>
          <w:color w:val="auto"/>
        </w:rPr>
        <w:t>/</w:t>
      </w:r>
      <w:r>
        <w:rPr>
          <w:rFonts w:ascii="Arial" w:cs="Arial" w:eastAsia="Arial" w:hAnsi="Arial"/>
          <w:sz w:val="26"/>
          <w:szCs w:val="26"/>
          <w:color w:val="auto"/>
        </w:rPr>
        <w:t>м</w:t>
      </w:r>
      <w:r>
        <w:rPr>
          <w:rFonts w:ascii="Arial" w:cs="Arial" w:eastAsia="Arial" w:hAnsi="Arial"/>
          <w:sz w:val="52"/>
          <w:szCs w:val="52"/>
          <w:color w:val="auto"/>
          <w:vertAlign w:val="superscript"/>
        </w:rPr>
        <w:t>2</w:t>
      </w:r>
      <w:r>
        <w:rPr>
          <w:rFonts w:ascii="Arial" w:cs="Arial" w:eastAsia="Arial" w:hAnsi="Arial"/>
          <w:sz w:val="26"/>
          <w:szCs w:val="26"/>
          <w:color w:val="auto"/>
        </w:rPr>
        <w:t xml:space="preserve"> — </w:t>
      </w:r>
      <w:r>
        <w:rPr>
          <w:rFonts w:ascii="Arial" w:cs="Arial" w:eastAsia="Arial" w:hAnsi="Arial"/>
          <w:sz w:val="26"/>
          <w:szCs w:val="26"/>
          <w:color w:val="auto"/>
        </w:rPr>
        <w:t>ожирение</w:t>
      </w:r>
      <w:r>
        <w:rPr>
          <w:rFonts w:ascii="Arial" w:cs="Arial" w:eastAsia="Arial" w:hAnsi="Arial"/>
          <w:sz w:val="26"/>
          <w:szCs w:val="26"/>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-589915</wp:posOffset>
            </wp:positionV>
            <wp:extent cx="82550" cy="82550"/>
            <wp:wrapNone/>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31">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-342265</wp:posOffset>
            </wp:positionV>
            <wp:extent cx="82550" cy="8255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32">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-93980</wp:posOffset>
            </wp:positionV>
            <wp:extent cx="82550" cy="82550"/>
            <wp:wrapNone/>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3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line="195" w:lineRule="auto"/>
        <w:rPr>
          <w:sz w:val="20"/>
          <w:szCs w:val="20"/>
          <w:color w:val="auto"/>
        </w:rPr>
      </w:pPr>
      <w:r>
        <w:rPr>
          <w:rFonts w:ascii="Arial" w:cs="Arial" w:eastAsia="Arial" w:hAnsi="Arial"/>
          <w:sz w:val="27"/>
          <w:szCs w:val="27"/>
          <w:color w:val="auto"/>
        </w:rPr>
        <w:t xml:space="preserve">40 </w:t>
      </w:r>
      <w:r>
        <w:rPr>
          <w:rFonts w:ascii="Arial" w:cs="Arial" w:eastAsia="Arial" w:hAnsi="Arial"/>
          <w:sz w:val="27"/>
          <w:szCs w:val="27"/>
          <w:color w:val="auto"/>
        </w:rPr>
        <w:t>кг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 xml:space="preserve"> — </w:t>
      </w:r>
      <w:r>
        <w:rPr>
          <w:rFonts w:ascii="Arial" w:cs="Arial" w:eastAsia="Arial" w:hAnsi="Arial"/>
          <w:sz w:val="27"/>
          <w:szCs w:val="27"/>
          <w:color w:val="auto"/>
        </w:rPr>
        <w:t>выраженное ожирение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-167005</wp:posOffset>
            </wp:positionV>
            <wp:extent cx="82550" cy="82550"/>
            <wp:wrapNone/>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3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индекс талия</w:t>
      </w:r>
      <w:r>
        <w:rPr>
          <w:rFonts w:ascii="Arial" w:cs="Arial" w:eastAsia="Arial" w:hAnsi="Arial"/>
          <w:sz w:val="27"/>
          <w:szCs w:val="27"/>
          <w:color w:val="auto"/>
        </w:rPr>
        <w:t>/</w:t>
      </w:r>
      <w:r>
        <w:rPr>
          <w:rFonts w:ascii="Arial" w:cs="Arial" w:eastAsia="Arial" w:hAnsi="Arial"/>
          <w:sz w:val="27"/>
          <w:szCs w:val="27"/>
          <w:color w:val="auto"/>
        </w:rPr>
        <w:t xml:space="preserve">бедра </w:t>
      </w:r>
      <w:r>
        <w:rPr>
          <w:rFonts w:ascii="Arial" w:cs="Arial" w:eastAsia="Arial" w:hAnsi="Arial"/>
          <w:sz w:val="27"/>
          <w:szCs w:val="27"/>
          <w:color w:val="auto"/>
        </w:rPr>
        <w:t>(</w:t>
      </w:r>
      <w:r>
        <w:rPr>
          <w:rFonts w:ascii="Arial" w:cs="Arial" w:eastAsia="Arial" w:hAnsi="Arial"/>
          <w:sz w:val="27"/>
          <w:szCs w:val="27"/>
          <w:color w:val="auto"/>
        </w:rPr>
        <w:t>ИТБ</w:t>
      </w:r>
      <w:r>
        <w:rPr>
          <w:rFonts w:ascii="Arial" w:cs="Arial" w:eastAsia="Arial" w:hAnsi="Arial"/>
          <w:sz w:val="27"/>
          <w:szCs w:val="27"/>
          <w:color w:val="auto"/>
        </w:rPr>
        <w:t>):</w:t>
      </w:r>
      <w:r>
        <w:rPr>
          <w:rFonts w:ascii="Arial" w:cs="Arial" w:eastAsia="Arial" w:hAnsi="Arial"/>
          <w:sz w:val="27"/>
          <w:szCs w:val="27"/>
          <w:color w:val="auto"/>
        </w:rPr>
        <w:t xml:space="preserve"> ИТБ </w:t>
      </w:r>
      <w:r>
        <w:rPr>
          <w:rFonts w:ascii="Arial" w:cs="Arial" w:eastAsia="Arial" w:hAnsi="Arial"/>
          <w:sz w:val="27"/>
          <w:szCs w:val="27"/>
          <w:color w:val="auto"/>
        </w:rPr>
        <w:t>=</w:t>
      </w:r>
      <w:r>
        <w:rPr>
          <w:rFonts w:ascii="Arial" w:cs="Arial" w:eastAsia="Arial" w:hAnsi="Arial"/>
          <w:sz w:val="27"/>
          <w:szCs w:val="27"/>
          <w:color w:val="auto"/>
        </w:rPr>
        <w:t xml:space="preserve"> ОТ</w:t>
      </w:r>
      <w:r>
        <w:rPr>
          <w:rFonts w:ascii="Arial" w:cs="Arial" w:eastAsia="Arial" w:hAnsi="Arial"/>
          <w:sz w:val="27"/>
          <w:szCs w:val="27"/>
          <w:color w:val="auto"/>
        </w:rPr>
        <w:t>/</w:t>
      </w:r>
      <w:r>
        <w:rPr>
          <w:rFonts w:ascii="Arial" w:cs="Arial" w:eastAsia="Arial" w:hAnsi="Arial"/>
          <w:sz w:val="27"/>
          <w:szCs w:val="27"/>
          <w:color w:val="auto"/>
        </w:rPr>
        <w:t>ОБ</w:t>
      </w:r>
      <w:r>
        <w:rPr>
          <w:rFonts w:ascii="Arial" w:cs="Arial" w:eastAsia="Arial" w:hAnsi="Arial"/>
          <w:sz w:val="27"/>
          <w:szCs w:val="27"/>
          <w:color w:val="auto"/>
        </w:rPr>
        <w:t>,</w:t>
      </w:r>
      <w:r>
        <w:rPr>
          <w:rFonts w:ascii="Arial" w:cs="Arial" w:eastAsia="Arial" w:hAnsi="Arial"/>
          <w:sz w:val="27"/>
          <w:szCs w:val="27"/>
          <w:color w:val="auto"/>
        </w:rPr>
        <w:t xml:space="preserve"> где ОТ </w:t>
      </w:r>
      <w:r>
        <w:rPr>
          <w:rFonts w:ascii="Arial" w:cs="Arial" w:eastAsia="Arial" w:hAnsi="Arial"/>
          <w:sz w:val="27"/>
          <w:szCs w:val="27"/>
          <w:color w:val="auto"/>
        </w:rPr>
        <w:t>(</w:t>
      </w:r>
      <w:r>
        <w:rPr>
          <w:rFonts w:ascii="Arial" w:cs="Arial" w:eastAsia="Arial" w:hAnsi="Arial"/>
          <w:sz w:val="27"/>
          <w:szCs w:val="27"/>
          <w:color w:val="auto"/>
        </w:rPr>
        <w:t>окружность талии</w:t>
      </w:r>
      <w:r>
        <w:rPr>
          <w:rFonts w:ascii="Arial" w:cs="Arial" w:eastAsia="Arial" w:hAnsi="Arial"/>
          <w:sz w:val="27"/>
          <w:szCs w:val="27"/>
          <w:color w:val="auto"/>
        </w:rPr>
        <w:t>) —</w:t>
      </w:r>
      <w:r>
        <w:rPr>
          <w:rFonts w:ascii="Arial" w:cs="Arial" w:eastAsia="Arial" w:hAnsi="Arial"/>
          <w:sz w:val="27"/>
          <w:szCs w:val="27"/>
          <w:color w:val="auto"/>
        </w:rPr>
        <w:t xml:space="preserve"> наименьшая окружность</w:t>
      </w:r>
      <w:r>
        <w:rPr>
          <w:rFonts w:ascii="Arial" w:cs="Arial" w:eastAsia="Arial" w:hAnsi="Arial"/>
          <w:sz w:val="27"/>
          <w:szCs w:val="27"/>
          <w:color w:val="auto"/>
        </w:rPr>
        <w:t>,</w:t>
      </w:r>
      <w:r>
        <w:rPr>
          <w:rFonts w:ascii="Arial" w:cs="Arial" w:eastAsia="Arial" w:hAnsi="Arial"/>
          <w:sz w:val="27"/>
          <w:szCs w:val="27"/>
          <w:color w:val="auto"/>
        </w:rPr>
        <w:t xml:space="preserve"> измеренная над пупком</w:t>
      </w:r>
      <w:r>
        <w:rPr>
          <w:rFonts w:ascii="Arial" w:cs="Arial" w:eastAsia="Arial" w:hAnsi="Arial"/>
          <w:sz w:val="27"/>
          <w:szCs w:val="27"/>
          <w:color w:val="auto"/>
        </w:rPr>
        <w:t>;</w:t>
      </w:r>
      <w:r>
        <w:rPr>
          <w:rFonts w:ascii="Arial" w:cs="Arial" w:eastAsia="Arial" w:hAnsi="Arial"/>
          <w:sz w:val="27"/>
          <w:szCs w:val="27"/>
          <w:color w:val="auto"/>
        </w:rPr>
        <w:t xml:space="preserve"> ОБ </w:t>
      </w:r>
      <w:r>
        <w:rPr>
          <w:rFonts w:ascii="Arial" w:cs="Arial" w:eastAsia="Arial" w:hAnsi="Arial"/>
          <w:sz w:val="27"/>
          <w:szCs w:val="27"/>
          <w:color w:val="auto"/>
        </w:rPr>
        <w:t>(</w:t>
      </w:r>
      <w:r>
        <w:rPr>
          <w:rFonts w:ascii="Arial" w:cs="Arial" w:eastAsia="Arial" w:hAnsi="Arial"/>
          <w:sz w:val="27"/>
          <w:szCs w:val="27"/>
          <w:color w:val="auto"/>
        </w:rPr>
        <w:t>окружность бедер</w:t>
      </w:r>
      <w:r>
        <w:rPr>
          <w:rFonts w:ascii="Arial" w:cs="Arial" w:eastAsia="Arial" w:hAnsi="Arial"/>
          <w:sz w:val="27"/>
          <w:szCs w:val="27"/>
          <w:color w:val="auto"/>
        </w:rPr>
        <w:t xml:space="preserve">) — </w:t>
      </w:r>
      <w:r>
        <w:rPr>
          <w:rFonts w:ascii="Arial" w:cs="Arial" w:eastAsia="Arial" w:hAnsi="Arial"/>
          <w:sz w:val="27"/>
          <w:szCs w:val="27"/>
          <w:color w:val="auto"/>
        </w:rPr>
        <w:t>наибольшая окружность</w:t>
      </w:r>
      <w:r>
        <w:rPr>
          <w:rFonts w:ascii="Arial" w:cs="Arial" w:eastAsia="Arial" w:hAnsi="Arial"/>
          <w:sz w:val="27"/>
          <w:szCs w:val="27"/>
          <w:color w:val="auto"/>
        </w:rPr>
        <w:t xml:space="preserve">, </w:t>
      </w:r>
      <w:r>
        <w:rPr>
          <w:rFonts w:ascii="Arial" w:cs="Arial" w:eastAsia="Arial" w:hAnsi="Arial"/>
          <w:sz w:val="27"/>
          <w:szCs w:val="27"/>
          <w:color w:val="auto"/>
        </w:rPr>
        <w:t>измеренная на</w:t>
      </w:r>
      <w:r>
        <w:rPr>
          <w:rFonts w:ascii="Arial" w:cs="Arial" w:eastAsia="Arial" w:hAnsi="Arial"/>
          <w:sz w:val="27"/>
          <w:szCs w:val="27"/>
          <w:color w:val="auto"/>
        </w:rPr>
        <w:t xml:space="preserve"> </w:t>
      </w:r>
      <w:r>
        <w:rPr>
          <w:rFonts w:ascii="Arial" w:cs="Arial" w:eastAsia="Arial" w:hAnsi="Arial"/>
          <w:sz w:val="27"/>
          <w:szCs w:val="27"/>
          <w:color w:val="auto"/>
        </w:rPr>
        <w:t>уровне ягодиц</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3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right="400"/>
        <w:spacing w:after="0" w:line="301" w:lineRule="auto"/>
        <w:rPr>
          <w:sz w:val="20"/>
          <w:szCs w:val="20"/>
          <w:color w:val="auto"/>
        </w:rPr>
      </w:pPr>
      <w:r>
        <w:rPr>
          <w:rFonts w:ascii="Arial" w:cs="Arial" w:eastAsia="Arial" w:hAnsi="Arial"/>
          <w:sz w:val="27"/>
          <w:szCs w:val="27"/>
          <w:color w:val="auto"/>
        </w:rPr>
        <w:t xml:space="preserve">0,8–0,9 — </w:t>
      </w:r>
      <w:r>
        <w:rPr>
          <w:rFonts w:ascii="Arial" w:cs="Arial" w:eastAsia="Arial" w:hAnsi="Arial"/>
          <w:sz w:val="27"/>
          <w:szCs w:val="27"/>
          <w:color w:val="auto"/>
        </w:rPr>
        <w:t>промежуточный тип распределения жировой ткани</w:t>
      </w:r>
      <w:r>
        <w:rPr>
          <w:rFonts w:ascii="Arial" w:cs="Arial" w:eastAsia="Arial" w:hAnsi="Arial"/>
          <w:sz w:val="27"/>
          <w:szCs w:val="27"/>
          <w:color w:val="auto"/>
        </w:rPr>
        <w:t xml:space="preserve">, &lt; 0,8 — </w:t>
      </w:r>
      <w:r>
        <w:rPr>
          <w:rFonts w:ascii="Arial" w:cs="Arial" w:eastAsia="Arial" w:hAnsi="Arial"/>
          <w:sz w:val="27"/>
          <w:szCs w:val="27"/>
          <w:color w:val="auto"/>
        </w:rPr>
        <w:t>гиноидный</w:t>
      </w:r>
      <w:r>
        <w:rPr>
          <w:rFonts w:ascii="Arial" w:cs="Arial" w:eastAsia="Arial" w:hAnsi="Arial"/>
          <w:sz w:val="27"/>
          <w:szCs w:val="27"/>
          <w:color w:val="auto"/>
        </w:rPr>
        <w:t xml:space="preserve"> (</w:t>
      </w:r>
      <w:r>
        <w:rPr>
          <w:rFonts w:ascii="Arial" w:cs="Arial" w:eastAsia="Arial" w:hAnsi="Arial"/>
          <w:sz w:val="27"/>
          <w:szCs w:val="27"/>
          <w:color w:val="auto"/>
        </w:rPr>
        <w:t>бедренно</w:t>
      </w:r>
      <w:r>
        <w:rPr>
          <w:rFonts w:ascii="Arial" w:cs="Arial" w:eastAsia="Arial" w:hAnsi="Arial"/>
          <w:sz w:val="27"/>
          <w:szCs w:val="27"/>
          <w:color w:val="auto"/>
        </w:rPr>
        <w:t>-</w:t>
      </w:r>
      <w:r>
        <w:rPr>
          <w:rFonts w:ascii="Arial" w:cs="Arial" w:eastAsia="Arial" w:hAnsi="Arial"/>
          <w:sz w:val="27"/>
          <w:szCs w:val="27"/>
          <w:color w:val="auto"/>
        </w:rPr>
        <w:t>ягодичный</w:t>
      </w:r>
      <w:r>
        <w:rPr>
          <w:rFonts w:ascii="Arial" w:cs="Arial" w:eastAsia="Arial" w:hAnsi="Arial"/>
          <w:sz w:val="27"/>
          <w:szCs w:val="27"/>
          <w:color w:val="auto"/>
        </w:rPr>
        <w:t xml:space="preserve">), &gt;0,9 — </w:t>
      </w:r>
      <w:r>
        <w:rPr>
          <w:rFonts w:ascii="Arial" w:cs="Arial" w:eastAsia="Arial" w:hAnsi="Arial"/>
          <w:sz w:val="27"/>
          <w:szCs w:val="27"/>
          <w:color w:val="auto"/>
        </w:rPr>
        <w:t>андроидный</w:t>
      </w:r>
      <w:r>
        <w:rPr>
          <w:rFonts w:ascii="Arial" w:cs="Arial" w:eastAsia="Arial" w:hAnsi="Arial"/>
          <w:sz w:val="27"/>
          <w:szCs w:val="27"/>
          <w:color w:val="auto"/>
        </w:rPr>
        <w:t xml:space="preserve"> (</w:t>
      </w:r>
      <w:r>
        <w:rPr>
          <w:rFonts w:ascii="Arial" w:cs="Arial" w:eastAsia="Arial" w:hAnsi="Arial"/>
          <w:sz w:val="27"/>
          <w:szCs w:val="27"/>
          <w:color w:val="auto"/>
        </w:rPr>
        <w:t>абдоминальный</w:t>
      </w:r>
      <w:r>
        <w:rPr>
          <w:rFonts w:ascii="Arial" w:cs="Arial" w:eastAsia="Arial" w:hAnsi="Arial"/>
          <w:sz w:val="27"/>
          <w:szCs w:val="27"/>
          <w:color w:val="auto"/>
        </w:rPr>
        <w:t xml:space="preserve">); </w:t>
      </w:r>
      <w:r>
        <w:rPr>
          <w:rFonts w:ascii="Arial" w:cs="Arial" w:eastAsia="Arial" w:hAnsi="Arial"/>
          <w:sz w:val="27"/>
          <w:szCs w:val="27"/>
          <w:color w:val="auto"/>
        </w:rPr>
        <w:t>Интерпретация уровня холестерина плазмы</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36">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-661035</wp:posOffset>
            </wp:positionV>
            <wp:extent cx="82550" cy="82550"/>
            <wp:wrapNone/>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37">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-413385</wp:posOffset>
            </wp:positionV>
            <wp:extent cx="82550" cy="82550"/>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38">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-165100</wp:posOffset>
            </wp:positionV>
            <wp:extent cx="82550" cy="82550"/>
            <wp:wrapNone/>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3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 xml:space="preserve">целевой уровень ХС ЛНП для пациентов с очень высоким риском </w:t>
      </w:r>
      <w:r>
        <w:rPr>
          <w:rFonts w:ascii="Arial" w:cs="Arial" w:eastAsia="Arial" w:hAnsi="Arial"/>
          <w:sz w:val="27"/>
          <w:szCs w:val="27"/>
          <w:color w:val="auto"/>
        </w:rPr>
        <w:t>&lt; 1,8</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или его снижение не менее чем на </w:t>
      </w:r>
      <w:r>
        <w:rPr>
          <w:rFonts w:ascii="Arial" w:cs="Arial" w:eastAsia="Arial" w:hAnsi="Arial"/>
          <w:sz w:val="27"/>
          <w:szCs w:val="27"/>
          <w:color w:val="auto"/>
        </w:rPr>
        <w:t>50%</w:t>
      </w:r>
      <w:r>
        <w:rPr>
          <w:rFonts w:ascii="Arial" w:cs="Arial" w:eastAsia="Arial" w:hAnsi="Arial"/>
          <w:sz w:val="27"/>
          <w:szCs w:val="27"/>
          <w:color w:val="auto"/>
        </w:rPr>
        <w:t xml:space="preserve"> от исходного уровня</w:t>
      </w:r>
      <w:r>
        <w:rPr>
          <w:rFonts w:ascii="Arial" w:cs="Arial" w:eastAsia="Arial" w:hAnsi="Arial"/>
          <w:sz w:val="27"/>
          <w:szCs w:val="27"/>
          <w:color w:val="auto"/>
        </w:rPr>
        <w:t>,</w:t>
      </w:r>
      <w:r>
        <w:rPr>
          <w:rFonts w:ascii="Arial" w:cs="Arial" w:eastAsia="Arial" w:hAnsi="Arial"/>
          <w:sz w:val="27"/>
          <w:szCs w:val="27"/>
          <w:color w:val="auto"/>
        </w:rPr>
        <w:t xml:space="preserve"> если он находился в диапазоне </w:t>
      </w:r>
      <w:r>
        <w:rPr>
          <w:rFonts w:ascii="Arial" w:cs="Arial" w:eastAsia="Arial" w:hAnsi="Arial"/>
          <w:sz w:val="27"/>
          <w:szCs w:val="27"/>
          <w:color w:val="auto"/>
        </w:rPr>
        <w:t>1,8-3,5</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(70–135</w:t>
      </w:r>
      <w:r>
        <w:rPr>
          <w:rFonts w:ascii="Arial" w:cs="Arial" w:eastAsia="Arial" w:hAnsi="Arial"/>
          <w:sz w:val="27"/>
          <w:szCs w:val="27"/>
          <w:color w:val="auto"/>
        </w:rPr>
        <w:t xml:space="preserve"> мг</w:t>
      </w:r>
      <w:r>
        <w:rPr>
          <w:rFonts w:ascii="Arial" w:cs="Arial" w:eastAsia="Arial" w:hAnsi="Arial"/>
          <w:sz w:val="27"/>
          <w:szCs w:val="27"/>
          <w:color w:val="auto"/>
        </w:rPr>
        <w:t>/</w:t>
      </w:r>
      <w:r>
        <w:rPr>
          <w:rFonts w:ascii="Arial" w:cs="Arial" w:eastAsia="Arial" w:hAnsi="Arial"/>
          <w:sz w:val="27"/>
          <w:szCs w:val="27"/>
          <w:color w:val="auto"/>
        </w:rPr>
        <w:t>дл</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4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56" w:lineRule="auto"/>
        <w:rPr>
          <w:sz w:val="20"/>
          <w:szCs w:val="20"/>
          <w:color w:val="auto"/>
        </w:rPr>
      </w:pPr>
      <w:r>
        <w:rPr>
          <w:rFonts w:ascii="Arial" w:cs="Arial" w:eastAsia="Arial" w:hAnsi="Arial"/>
          <w:sz w:val="26"/>
          <w:szCs w:val="26"/>
          <w:color w:val="auto"/>
        </w:rPr>
        <w:t xml:space="preserve">целевой уровень ХС ЛНП для пациентов с высоким риском </w:t>
      </w:r>
      <w:r>
        <w:rPr>
          <w:rFonts w:ascii="Arial" w:cs="Arial" w:eastAsia="Arial" w:hAnsi="Arial"/>
          <w:sz w:val="26"/>
          <w:szCs w:val="26"/>
          <w:color w:val="auto"/>
        </w:rPr>
        <w:t>&lt; 2,6</w:t>
      </w:r>
      <w:r>
        <w:rPr>
          <w:rFonts w:ascii="Arial" w:cs="Arial" w:eastAsia="Arial" w:hAnsi="Arial"/>
          <w:sz w:val="26"/>
          <w:szCs w:val="26"/>
          <w:color w:val="auto"/>
        </w:rPr>
        <w:t xml:space="preserve"> ммоль</w:t>
      </w:r>
      <w:r>
        <w:rPr>
          <w:rFonts w:ascii="Arial" w:cs="Arial" w:eastAsia="Arial" w:hAnsi="Arial"/>
          <w:sz w:val="26"/>
          <w:szCs w:val="26"/>
          <w:color w:val="auto"/>
        </w:rPr>
        <w:t>/</w:t>
      </w:r>
      <w:r>
        <w:rPr>
          <w:rFonts w:ascii="Arial" w:cs="Arial" w:eastAsia="Arial" w:hAnsi="Arial"/>
          <w:sz w:val="26"/>
          <w:szCs w:val="26"/>
          <w:color w:val="auto"/>
        </w:rPr>
        <w:t xml:space="preserve">л или его снижение не менее чем на </w:t>
      </w:r>
      <w:r>
        <w:rPr>
          <w:rFonts w:ascii="Arial" w:cs="Arial" w:eastAsia="Arial" w:hAnsi="Arial"/>
          <w:sz w:val="26"/>
          <w:szCs w:val="26"/>
          <w:color w:val="auto"/>
        </w:rPr>
        <w:t>50%</w:t>
      </w:r>
      <w:r>
        <w:rPr>
          <w:rFonts w:ascii="Arial" w:cs="Arial" w:eastAsia="Arial" w:hAnsi="Arial"/>
          <w:sz w:val="26"/>
          <w:szCs w:val="26"/>
          <w:color w:val="auto"/>
        </w:rPr>
        <w:t xml:space="preserve"> от исходного</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-482600</wp:posOffset>
            </wp:positionV>
            <wp:extent cx="82550" cy="82550"/>
            <wp:wrapNone/>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41">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0" w:gutter="0" w:footer="0" w:header="0"/>
        </w:sectPr>
      </w:pPr>
    </w:p>
    <w:bookmarkStart w:id="129" w:name="page130"/>
    <w:bookmarkEnd w:id="129"/>
    <w:p>
      <w:pPr>
        <w:ind w:left="680"/>
        <w:spacing w:after="0"/>
        <w:rPr>
          <w:sz w:val="20"/>
          <w:szCs w:val="20"/>
          <w:color w:val="auto"/>
        </w:rPr>
      </w:pPr>
      <w:r>
        <w:rPr>
          <w:rFonts w:ascii="Arial" w:cs="Arial" w:eastAsia="Arial" w:hAnsi="Arial"/>
          <w:sz w:val="27"/>
          <w:szCs w:val="27"/>
          <w:color w:val="auto"/>
        </w:rPr>
        <w:t>уровня</w:t>
      </w:r>
      <w:r>
        <w:rPr>
          <w:rFonts w:ascii="Arial" w:cs="Arial" w:eastAsia="Arial" w:hAnsi="Arial"/>
          <w:sz w:val="27"/>
          <w:szCs w:val="27"/>
          <w:color w:val="auto"/>
        </w:rPr>
        <w:t>,</w:t>
      </w:r>
      <w:r>
        <w:rPr>
          <w:rFonts w:ascii="Arial" w:cs="Arial" w:eastAsia="Arial" w:hAnsi="Arial"/>
          <w:sz w:val="27"/>
          <w:szCs w:val="27"/>
          <w:color w:val="auto"/>
        </w:rPr>
        <w:t xml:space="preserve"> если он находился в диапазоне </w:t>
      </w:r>
      <w:r>
        <w:rPr>
          <w:rFonts w:ascii="Arial" w:cs="Arial" w:eastAsia="Arial" w:hAnsi="Arial"/>
          <w:sz w:val="27"/>
          <w:szCs w:val="27"/>
          <w:color w:val="auto"/>
        </w:rPr>
        <w:t>2,6–5,2</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(100–</w:t>
      </w:r>
    </w:p>
    <w:p>
      <w:pPr>
        <w:spacing w:after="0" w:line="80" w:lineRule="exact"/>
        <w:rPr>
          <w:sz w:val="20"/>
          <w:szCs w:val="20"/>
          <w:color w:val="auto"/>
        </w:rPr>
      </w:pPr>
    </w:p>
    <w:p>
      <w:pPr>
        <w:ind w:left="1180" w:hanging="504"/>
        <w:spacing w:after="0"/>
        <w:tabs>
          <w:tab w:leader="none" w:pos="1180" w:val="left"/>
        </w:tabs>
        <w:numPr>
          <w:ilvl w:val="0"/>
          <w:numId w:val="100"/>
        </w:numPr>
        <w:rPr>
          <w:rFonts w:ascii="Arial" w:cs="Arial" w:eastAsia="Arial" w:hAnsi="Arial"/>
          <w:sz w:val="27"/>
          <w:szCs w:val="27"/>
          <w:color w:val="auto"/>
        </w:rPr>
      </w:pPr>
      <w:r>
        <w:rPr>
          <w:rFonts w:ascii="Arial" w:cs="Arial" w:eastAsia="Arial" w:hAnsi="Arial"/>
          <w:sz w:val="27"/>
          <w:szCs w:val="27"/>
          <w:color w:val="auto"/>
        </w:rPr>
        <w:t>мг</w:t>
      </w:r>
      <w:r>
        <w:rPr>
          <w:rFonts w:ascii="Arial" w:cs="Arial" w:eastAsia="Arial" w:hAnsi="Arial"/>
          <w:sz w:val="27"/>
          <w:szCs w:val="27"/>
          <w:color w:val="auto"/>
        </w:rPr>
        <w:t>/</w:t>
      </w:r>
      <w:r>
        <w:rPr>
          <w:rFonts w:ascii="Arial" w:cs="Arial" w:eastAsia="Arial" w:hAnsi="Arial"/>
          <w:sz w:val="27"/>
          <w:szCs w:val="27"/>
          <w:color w:val="auto"/>
        </w:rPr>
        <w:t>дл</w:t>
      </w:r>
      <w:r>
        <w:rPr>
          <w:rFonts w:ascii="Arial" w:cs="Arial" w:eastAsia="Arial" w:hAnsi="Arial"/>
          <w:sz w:val="27"/>
          <w:szCs w:val="27"/>
          <w:color w:val="auto"/>
        </w:rPr>
        <w:t>)</w:t>
      </w:r>
    </w:p>
    <w:p>
      <w:pPr>
        <w:spacing w:after="0" w:line="80" w:lineRule="exact"/>
        <w:rPr>
          <w:sz w:val="20"/>
          <w:szCs w:val="20"/>
          <w:color w:val="auto"/>
        </w:rPr>
      </w:pPr>
    </w:p>
    <w:p>
      <w:pPr>
        <w:ind w:left="680" w:right="220"/>
        <w:spacing w:after="0" w:line="301" w:lineRule="auto"/>
        <w:rPr>
          <w:sz w:val="20"/>
          <w:szCs w:val="20"/>
          <w:color w:val="auto"/>
        </w:rPr>
      </w:pPr>
      <w:r>
        <w:rPr>
          <w:rFonts w:ascii="Arial" w:cs="Arial" w:eastAsia="Arial" w:hAnsi="Arial"/>
          <w:sz w:val="27"/>
          <w:szCs w:val="27"/>
          <w:color w:val="auto"/>
        </w:rPr>
        <w:t xml:space="preserve">целевой уровень ХС ЛНП для пациентов с низким и умеренным риском по шкале </w:t>
      </w:r>
      <w:r>
        <w:rPr>
          <w:rFonts w:ascii="Arial" w:cs="Arial" w:eastAsia="Arial" w:hAnsi="Arial"/>
          <w:sz w:val="27"/>
          <w:szCs w:val="27"/>
          <w:color w:val="auto"/>
        </w:rPr>
        <w:t>SCORE &lt;3</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-414020</wp:posOffset>
            </wp:positionV>
            <wp:extent cx="82550" cy="82550"/>
            <wp:wrapNone/>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4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ind w:left="680"/>
        <w:spacing w:after="0"/>
        <w:rPr>
          <w:sz w:val="20"/>
          <w:szCs w:val="20"/>
          <w:color w:val="auto"/>
        </w:rPr>
      </w:pPr>
      <w:r>
        <w:rPr>
          <w:rFonts w:ascii="Arial" w:cs="Arial" w:eastAsia="Arial" w:hAnsi="Arial"/>
          <w:sz w:val="27"/>
          <w:szCs w:val="27"/>
          <w:color w:val="auto"/>
        </w:rPr>
        <w:t xml:space="preserve">ЛПВП </w:t>
      </w:r>
      <w:r>
        <w:rPr>
          <w:rFonts w:ascii="Arial" w:cs="Arial" w:eastAsia="Arial" w:hAnsi="Arial"/>
          <w:sz w:val="27"/>
          <w:szCs w:val="27"/>
          <w:color w:val="auto"/>
        </w:rPr>
        <w:t>&gt;1,2</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w:t>
      </w:r>
      <w:r>
        <w:rPr>
          <w:rFonts w:ascii="Arial" w:cs="Arial" w:eastAsia="Arial" w:hAnsi="Arial"/>
          <w:sz w:val="27"/>
          <w:szCs w:val="27"/>
          <w:color w:val="auto"/>
        </w:rPr>
        <w:t>у женщин</w:t>
      </w:r>
      <w:r>
        <w:rPr>
          <w:rFonts w:ascii="Arial" w:cs="Arial" w:eastAsia="Arial" w:hAnsi="Arial"/>
          <w:sz w:val="27"/>
          <w:szCs w:val="27"/>
          <w:color w:val="auto"/>
        </w:rPr>
        <w:t>), &gt;1,0</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w:t>
      </w:r>
      <w:r>
        <w:rPr>
          <w:rFonts w:ascii="Arial" w:cs="Arial" w:eastAsia="Arial" w:hAnsi="Arial"/>
          <w:sz w:val="27"/>
          <w:szCs w:val="27"/>
          <w:color w:val="auto"/>
        </w:rPr>
        <w:t>у мужчин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4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триглицеридов </w:t>
      </w:r>
      <w:r>
        <w:rPr>
          <w:rFonts w:ascii="Arial" w:cs="Arial" w:eastAsia="Arial" w:hAnsi="Arial"/>
          <w:sz w:val="27"/>
          <w:szCs w:val="27"/>
          <w:color w:val="auto"/>
        </w:rPr>
        <w:t>&lt; 1,7</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4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ind w:left="680" w:right="220"/>
        <w:spacing w:after="0" w:line="317" w:lineRule="auto"/>
        <w:rPr>
          <w:sz w:val="20"/>
          <w:szCs w:val="20"/>
          <w:color w:val="auto"/>
        </w:rPr>
      </w:pPr>
      <w:r>
        <w:rPr>
          <w:rFonts w:ascii="Arial" w:cs="Arial" w:eastAsia="Arial" w:hAnsi="Arial"/>
          <w:sz w:val="27"/>
          <w:szCs w:val="27"/>
          <w:color w:val="auto"/>
        </w:rPr>
        <w:t xml:space="preserve">уровень глюкозы в плазме натощак не выше </w:t>
      </w:r>
      <w:r>
        <w:rPr>
          <w:rFonts w:ascii="Arial" w:cs="Arial" w:eastAsia="Arial" w:hAnsi="Arial"/>
          <w:sz w:val="27"/>
          <w:szCs w:val="27"/>
          <w:color w:val="auto"/>
        </w:rPr>
        <w:t>6,1</w:t>
      </w:r>
      <w:r>
        <w:rPr>
          <w:rFonts w:ascii="Arial" w:cs="Arial" w:eastAsia="Arial" w:hAnsi="Arial"/>
          <w:sz w:val="27"/>
          <w:szCs w:val="27"/>
          <w:color w:val="auto"/>
        </w:rPr>
        <w:t xml:space="preserve"> ммоль</w:t>
      </w:r>
      <w:r>
        <w:rPr>
          <w:rFonts w:ascii="Arial" w:cs="Arial" w:eastAsia="Arial" w:hAnsi="Arial"/>
          <w:sz w:val="27"/>
          <w:szCs w:val="27"/>
          <w:color w:val="auto"/>
        </w:rPr>
        <w:t>/</w:t>
      </w:r>
      <w:r>
        <w:rPr>
          <w:rFonts w:ascii="Arial" w:cs="Arial" w:eastAsia="Arial" w:hAnsi="Arial"/>
          <w:sz w:val="27"/>
          <w:szCs w:val="27"/>
          <w:color w:val="auto"/>
        </w:rPr>
        <w:t>л</w:t>
      </w:r>
      <w:r>
        <w:rPr>
          <w:rFonts w:ascii="Arial" w:cs="Arial" w:eastAsia="Arial" w:hAnsi="Arial"/>
          <w:sz w:val="27"/>
          <w:szCs w:val="27"/>
          <w:color w:val="auto"/>
        </w:rPr>
        <w:t>;</w:t>
      </w:r>
      <w:r>
        <w:rPr>
          <w:rFonts w:ascii="Arial" w:cs="Arial" w:eastAsia="Arial" w:hAnsi="Arial"/>
          <w:sz w:val="27"/>
          <w:szCs w:val="27"/>
          <w:color w:val="auto"/>
        </w:rPr>
        <w:t xml:space="preserve"> уровень мочевой кислоты сыворотки крови</w:t>
      </w:r>
      <w:r>
        <w:rPr>
          <w:rFonts w:ascii="Arial" w:cs="Arial" w:eastAsia="Arial" w:hAnsi="Arial"/>
          <w:sz w:val="27"/>
          <w:szCs w:val="27"/>
          <w:color w:val="auto"/>
        </w:rPr>
        <w:t>&lt;420</w:t>
      </w:r>
      <w:r>
        <w:rPr>
          <w:rFonts w:ascii="Arial" w:cs="Arial" w:eastAsia="Arial" w:hAnsi="Arial"/>
          <w:sz w:val="27"/>
          <w:szCs w:val="27"/>
          <w:color w:val="auto"/>
        </w:rPr>
        <w:t xml:space="preserve"> мкмоль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w:t>
      </w:r>
      <w:r>
        <w:rPr>
          <w:rFonts w:ascii="Arial" w:cs="Arial" w:eastAsia="Arial" w:hAnsi="Arial"/>
          <w:sz w:val="27"/>
          <w:szCs w:val="27"/>
          <w:color w:val="auto"/>
        </w:rPr>
        <w:t>у мужчин</w:t>
      </w:r>
      <w:r>
        <w:rPr>
          <w:rFonts w:ascii="Arial" w:cs="Arial" w:eastAsia="Arial" w:hAnsi="Arial"/>
          <w:sz w:val="27"/>
          <w:szCs w:val="27"/>
          <w:color w:val="auto"/>
        </w:rPr>
        <w:t>), &lt; 360</w:t>
      </w:r>
      <w:r>
        <w:rPr>
          <w:rFonts w:ascii="Arial" w:cs="Arial" w:eastAsia="Arial" w:hAnsi="Arial"/>
          <w:sz w:val="27"/>
          <w:szCs w:val="27"/>
          <w:color w:val="auto"/>
        </w:rPr>
        <w:t xml:space="preserve"> мкмоль</w:t>
      </w:r>
      <w:r>
        <w:rPr>
          <w:rFonts w:ascii="Arial" w:cs="Arial" w:eastAsia="Arial" w:hAnsi="Arial"/>
          <w:sz w:val="27"/>
          <w:szCs w:val="27"/>
          <w:color w:val="auto"/>
        </w:rPr>
        <w:t>/</w:t>
      </w:r>
      <w:r>
        <w:rPr>
          <w:rFonts w:ascii="Arial" w:cs="Arial" w:eastAsia="Arial" w:hAnsi="Arial"/>
          <w:sz w:val="27"/>
          <w:szCs w:val="27"/>
          <w:color w:val="auto"/>
        </w:rPr>
        <w:t xml:space="preserve">л </w:t>
      </w:r>
      <w:r>
        <w:rPr>
          <w:rFonts w:ascii="Arial" w:cs="Arial" w:eastAsia="Arial" w:hAnsi="Arial"/>
          <w:sz w:val="27"/>
          <w:szCs w:val="27"/>
          <w:color w:val="auto"/>
        </w:rPr>
        <w:t>(</w:t>
      </w:r>
      <w:r>
        <w:rPr>
          <w:rFonts w:ascii="Arial" w:cs="Arial" w:eastAsia="Arial" w:hAnsi="Arial"/>
          <w:sz w:val="27"/>
          <w:szCs w:val="27"/>
          <w:color w:val="auto"/>
        </w:rPr>
        <w:t>у женщин</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45">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-453390</wp:posOffset>
            </wp:positionV>
            <wp:extent cx="82550" cy="8255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46">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360"/>
        <w:spacing w:after="0"/>
        <w:rPr>
          <w:sz w:val="20"/>
          <w:szCs w:val="20"/>
          <w:color w:val="auto"/>
        </w:rPr>
      </w:pPr>
      <w:r>
        <w:rPr>
          <w:rFonts w:ascii="Arial" w:cs="Arial" w:eastAsia="Arial" w:hAnsi="Arial"/>
          <w:sz w:val="27"/>
          <w:szCs w:val="27"/>
          <w:b w:val="1"/>
          <w:bCs w:val="1"/>
          <w:i w:val="1"/>
          <w:iCs w:val="1"/>
          <w:color w:val="auto"/>
        </w:rPr>
        <w:t>Советы пациенту и его семье</w:t>
      </w:r>
      <w:r>
        <w:rPr>
          <w:rFonts w:ascii="Arial" w:cs="Arial" w:eastAsia="Arial" w:hAnsi="Arial"/>
          <w:sz w:val="27"/>
          <w:szCs w:val="27"/>
          <w:b w:val="1"/>
          <w:bCs w:val="1"/>
          <w:i w:val="1"/>
          <w:iCs w:val="1"/>
          <w:color w:val="auto"/>
        </w:rPr>
        <w:t>:</w:t>
      </w:r>
    </w:p>
    <w:p>
      <w:pPr>
        <w:spacing w:after="0" w:line="350" w:lineRule="exact"/>
        <w:rPr>
          <w:sz w:val="20"/>
          <w:szCs w:val="20"/>
          <w:color w:val="auto"/>
        </w:rPr>
      </w:pPr>
    </w:p>
    <w:p>
      <w:pPr>
        <w:ind w:left="680"/>
        <w:spacing w:after="0"/>
        <w:rPr>
          <w:sz w:val="20"/>
          <w:szCs w:val="20"/>
          <w:color w:val="auto"/>
        </w:rPr>
      </w:pPr>
      <w:r>
        <w:rPr>
          <w:rFonts w:ascii="Arial" w:cs="Arial" w:eastAsia="Arial" w:hAnsi="Arial"/>
          <w:sz w:val="27"/>
          <w:szCs w:val="27"/>
          <w:color w:val="auto"/>
        </w:rPr>
        <w:t xml:space="preserve">Достаточным считается сон не менее </w:t>
      </w:r>
      <w:r>
        <w:rPr>
          <w:rFonts w:ascii="Arial" w:cs="Arial" w:eastAsia="Arial" w:hAnsi="Arial"/>
          <w:sz w:val="27"/>
          <w:szCs w:val="27"/>
          <w:color w:val="auto"/>
        </w:rPr>
        <w:t>7</w:t>
      </w:r>
      <w:r>
        <w:rPr>
          <w:rFonts w:ascii="Arial" w:cs="Arial" w:eastAsia="Arial" w:hAnsi="Arial"/>
          <w:sz w:val="27"/>
          <w:szCs w:val="27"/>
          <w:color w:val="auto"/>
        </w:rPr>
        <w:t xml:space="preserve"> часов в сутки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-116840</wp:posOffset>
            </wp:positionV>
            <wp:extent cx="82550" cy="8255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4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60" w:lineRule="exact"/>
        <w:rPr>
          <w:sz w:val="20"/>
          <w:szCs w:val="20"/>
          <w:color w:val="auto"/>
        </w:rPr>
      </w:pPr>
    </w:p>
    <w:p>
      <w:pPr>
        <w:jc w:val="both"/>
        <w:ind w:left="680" w:right="220"/>
        <w:spacing w:after="0" w:line="267" w:lineRule="auto"/>
        <w:rPr>
          <w:sz w:val="20"/>
          <w:szCs w:val="20"/>
          <w:color w:val="auto"/>
        </w:rPr>
      </w:pPr>
      <w:r>
        <w:rPr>
          <w:rFonts w:ascii="Arial" w:cs="Arial" w:eastAsia="Arial" w:hAnsi="Arial"/>
          <w:sz w:val="27"/>
          <w:szCs w:val="27"/>
          <w:color w:val="auto"/>
        </w:rPr>
        <w:t xml:space="preserve">Масса тела должна приближаться к идеальной </w:t>
      </w:r>
      <w:r>
        <w:rPr>
          <w:rFonts w:ascii="Arial" w:cs="Arial" w:eastAsia="Arial" w:hAnsi="Arial"/>
          <w:sz w:val="27"/>
          <w:szCs w:val="27"/>
          <w:color w:val="auto"/>
        </w:rPr>
        <w:t>(</w:t>
      </w:r>
      <w:r>
        <w:rPr>
          <w:rFonts w:ascii="Arial" w:cs="Arial" w:eastAsia="Arial" w:hAnsi="Arial"/>
          <w:sz w:val="27"/>
          <w:szCs w:val="27"/>
          <w:color w:val="auto"/>
        </w:rPr>
        <w:t xml:space="preserve">ИМТ менее </w:t>
      </w:r>
      <w:r>
        <w:rPr>
          <w:rFonts w:ascii="Arial" w:cs="Arial" w:eastAsia="Arial" w:hAnsi="Arial"/>
          <w:sz w:val="27"/>
          <w:szCs w:val="27"/>
          <w:color w:val="auto"/>
        </w:rPr>
        <w:t>25</w:t>
      </w:r>
      <w:r>
        <w:rPr>
          <w:rFonts w:ascii="Arial" w:cs="Arial" w:eastAsia="Arial" w:hAnsi="Arial"/>
          <w:sz w:val="27"/>
          <w:szCs w:val="27"/>
          <w:color w:val="auto"/>
        </w:rPr>
        <w:t xml:space="preserve"> кг</w:t>
      </w:r>
      <w:r>
        <w:rPr>
          <w:rFonts w:ascii="Arial" w:cs="Arial" w:eastAsia="Arial" w:hAnsi="Arial"/>
          <w:sz w:val="27"/>
          <w:szCs w:val="27"/>
          <w:color w:val="auto"/>
        </w:rPr>
        <w:t>/</w:t>
      </w:r>
      <w:r>
        <w:rPr>
          <w:rFonts w:ascii="Arial" w:cs="Arial" w:eastAsia="Arial" w:hAnsi="Arial"/>
          <w:sz w:val="27"/>
          <w:szCs w:val="27"/>
          <w:color w:val="auto"/>
        </w:rPr>
        <w:t>м</w:t>
      </w:r>
      <w:r>
        <w:rPr>
          <w:rFonts w:ascii="Arial" w:cs="Arial" w:eastAsia="Arial" w:hAnsi="Arial"/>
          <w:sz w:val="54"/>
          <w:szCs w:val="54"/>
          <w:color w:val="auto"/>
          <w:vertAlign w:val="superscript"/>
        </w:rPr>
        <w:t>2</w:t>
      </w:r>
      <w:r>
        <w:rPr>
          <w:rFonts w:ascii="Arial" w:cs="Arial" w:eastAsia="Arial" w:hAnsi="Arial"/>
          <w:sz w:val="27"/>
          <w:szCs w:val="27"/>
          <w:color w:val="auto"/>
        </w:rPr>
        <w:t>).</w:t>
      </w:r>
      <w:r>
        <w:rPr>
          <w:rFonts w:ascii="Arial" w:cs="Arial" w:eastAsia="Arial" w:hAnsi="Arial"/>
          <w:sz w:val="27"/>
          <w:szCs w:val="27"/>
          <w:color w:val="auto"/>
        </w:rPr>
        <w:t xml:space="preserve"> Для этого суточная калорийность пищи в зависимости от массы тела и характера работы должна составлять от </w:t>
      </w:r>
      <w:r>
        <w:rPr>
          <w:rFonts w:ascii="Arial" w:cs="Arial" w:eastAsia="Arial" w:hAnsi="Arial"/>
          <w:sz w:val="27"/>
          <w:szCs w:val="27"/>
          <w:color w:val="auto"/>
        </w:rPr>
        <w:t>1500</w:t>
      </w:r>
      <w:r>
        <w:rPr>
          <w:rFonts w:ascii="Arial" w:cs="Arial" w:eastAsia="Arial" w:hAnsi="Arial"/>
          <w:sz w:val="27"/>
          <w:szCs w:val="27"/>
          <w:color w:val="auto"/>
        </w:rPr>
        <w:t xml:space="preserve"> до </w:t>
      </w:r>
      <w:r>
        <w:rPr>
          <w:rFonts w:ascii="Arial" w:cs="Arial" w:eastAsia="Arial" w:hAnsi="Arial"/>
          <w:sz w:val="27"/>
          <w:szCs w:val="27"/>
          <w:color w:val="auto"/>
        </w:rPr>
        <w:t xml:space="preserve">2000 </w:t>
      </w:r>
      <w:r>
        <w:rPr>
          <w:rFonts w:ascii="Arial" w:cs="Arial" w:eastAsia="Arial" w:hAnsi="Arial"/>
          <w:sz w:val="27"/>
          <w:szCs w:val="27"/>
          <w:color w:val="auto"/>
        </w:rPr>
        <w:t>ккал</w:t>
      </w:r>
      <w:r>
        <w:rPr>
          <w:rFonts w:ascii="Arial" w:cs="Arial" w:eastAsia="Arial" w:hAnsi="Arial"/>
          <w:sz w:val="27"/>
          <w:szCs w:val="27"/>
          <w:color w:val="auto"/>
        </w:rPr>
        <w:t xml:space="preserve">. </w:t>
      </w:r>
      <w:r>
        <w:rPr>
          <w:rFonts w:ascii="Arial" w:cs="Arial" w:eastAsia="Arial" w:hAnsi="Arial"/>
          <w:sz w:val="27"/>
          <w:szCs w:val="27"/>
          <w:color w:val="auto"/>
        </w:rPr>
        <w:t>Потребление белка</w:t>
      </w:r>
      <w:r>
        <w:rPr>
          <w:rFonts w:ascii="Arial" w:cs="Arial" w:eastAsia="Arial" w:hAnsi="Arial"/>
          <w:sz w:val="27"/>
          <w:szCs w:val="27"/>
          <w:color w:val="auto"/>
        </w:rPr>
        <w:t xml:space="preserve"> — 1 </w:t>
      </w:r>
      <w:r>
        <w:rPr>
          <w:rFonts w:ascii="Arial" w:cs="Arial" w:eastAsia="Arial" w:hAnsi="Arial"/>
          <w:sz w:val="27"/>
          <w:szCs w:val="27"/>
          <w:color w:val="auto"/>
        </w:rPr>
        <w:t>г</w:t>
      </w:r>
      <w:r>
        <w:rPr>
          <w:rFonts w:ascii="Arial" w:cs="Arial" w:eastAsia="Arial" w:hAnsi="Arial"/>
          <w:sz w:val="27"/>
          <w:szCs w:val="27"/>
          <w:color w:val="auto"/>
        </w:rPr>
        <w:t>/</w:t>
      </w:r>
      <w:r>
        <w:rPr>
          <w:rFonts w:ascii="Arial" w:cs="Arial" w:eastAsia="Arial" w:hAnsi="Arial"/>
          <w:sz w:val="27"/>
          <w:szCs w:val="27"/>
          <w:color w:val="auto"/>
        </w:rPr>
        <w:t>кг массы тела в сутки</w:t>
      </w:r>
      <w:r>
        <w:rPr>
          <w:rFonts w:ascii="Arial" w:cs="Arial" w:eastAsia="Arial" w:hAnsi="Arial"/>
          <w:sz w:val="27"/>
          <w:szCs w:val="27"/>
          <w:color w:val="auto"/>
        </w:rPr>
        <w:t xml:space="preserve">, </w:t>
      </w:r>
      <w:r>
        <w:rPr>
          <w:rFonts w:ascii="Arial" w:cs="Arial" w:eastAsia="Arial" w:hAnsi="Arial"/>
          <w:sz w:val="27"/>
          <w:szCs w:val="27"/>
          <w:color w:val="auto"/>
        </w:rPr>
        <w:t xml:space="preserve">углеводов </w:t>
      </w:r>
      <w:r>
        <w:rPr>
          <w:rFonts w:ascii="Arial" w:cs="Arial" w:eastAsia="Arial" w:hAnsi="Arial"/>
          <w:sz w:val="27"/>
          <w:szCs w:val="27"/>
          <w:color w:val="auto"/>
        </w:rPr>
        <w:t>—</w:t>
      </w:r>
      <w:r>
        <w:rPr>
          <w:rFonts w:ascii="Arial" w:cs="Arial" w:eastAsia="Arial" w:hAnsi="Arial"/>
          <w:sz w:val="27"/>
          <w:szCs w:val="27"/>
          <w:color w:val="auto"/>
        </w:rPr>
        <w:t xml:space="preserve"> до </w:t>
      </w:r>
      <w:r>
        <w:rPr>
          <w:rFonts w:ascii="Arial" w:cs="Arial" w:eastAsia="Arial" w:hAnsi="Arial"/>
          <w:sz w:val="27"/>
          <w:szCs w:val="27"/>
          <w:color w:val="auto"/>
        </w:rPr>
        <w:t>50</w:t>
      </w:r>
      <w:r>
        <w:rPr>
          <w:rFonts w:ascii="Arial" w:cs="Arial" w:eastAsia="Arial" w:hAnsi="Arial"/>
          <w:sz w:val="27"/>
          <w:szCs w:val="27"/>
          <w:color w:val="auto"/>
        </w:rPr>
        <w:t>г</w:t>
      </w:r>
      <w:r>
        <w:rPr>
          <w:rFonts w:ascii="Arial" w:cs="Arial" w:eastAsia="Arial" w:hAnsi="Arial"/>
          <w:sz w:val="27"/>
          <w:szCs w:val="27"/>
          <w:color w:val="auto"/>
        </w:rPr>
        <w:t>/</w:t>
      </w:r>
      <w:r>
        <w:rPr>
          <w:rFonts w:ascii="Arial" w:cs="Arial" w:eastAsia="Arial" w:hAnsi="Arial"/>
          <w:sz w:val="27"/>
          <w:szCs w:val="27"/>
          <w:color w:val="auto"/>
        </w:rPr>
        <w:t>сут</w:t>
      </w:r>
      <w:r>
        <w:rPr>
          <w:rFonts w:ascii="Arial" w:cs="Arial" w:eastAsia="Arial" w:hAnsi="Arial"/>
          <w:sz w:val="27"/>
          <w:szCs w:val="27"/>
          <w:color w:val="auto"/>
        </w:rPr>
        <w:t>,</w:t>
      </w:r>
      <w:r>
        <w:rPr>
          <w:rFonts w:ascii="Arial" w:cs="Arial" w:eastAsia="Arial" w:hAnsi="Arial"/>
          <w:sz w:val="27"/>
          <w:szCs w:val="27"/>
          <w:color w:val="auto"/>
        </w:rPr>
        <w:t xml:space="preserve"> жиров </w:t>
      </w:r>
      <w:r>
        <w:rPr>
          <w:rFonts w:ascii="Arial" w:cs="Arial" w:eastAsia="Arial" w:hAnsi="Arial"/>
          <w:sz w:val="27"/>
          <w:szCs w:val="27"/>
          <w:color w:val="auto"/>
        </w:rPr>
        <w:t>—</w:t>
      </w:r>
      <w:r>
        <w:rPr>
          <w:rFonts w:ascii="Arial" w:cs="Arial" w:eastAsia="Arial" w:hAnsi="Arial"/>
          <w:sz w:val="27"/>
          <w:szCs w:val="27"/>
          <w:color w:val="auto"/>
        </w:rPr>
        <w:t xml:space="preserve"> до </w:t>
      </w:r>
      <w:r>
        <w:rPr>
          <w:rFonts w:ascii="Arial" w:cs="Arial" w:eastAsia="Arial" w:hAnsi="Arial"/>
          <w:sz w:val="27"/>
          <w:szCs w:val="27"/>
          <w:color w:val="auto"/>
        </w:rPr>
        <w:t>80</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сут</w:t>
      </w:r>
      <w:r>
        <w:rPr>
          <w:rFonts w:ascii="Arial" w:cs="Arial" w:eastAsia="Arial" w:hAnsi="Arial"/>
          <w:sz w:val="27"/>
          <w:szCs w:val="27"/>
          <w:color w:val="auto"/>
        </w:rPr>
        <w:t>.</w:t>
      </w:r>
      <w:r>
        <w:rPr>
          <w:rFonts w:ascii="Arial" w:cs="Arial" w:eastAsia="Arial" w:hAnsi="Arial"/>
          <w:sz w:val="27"/>
          <w:szCs w:val="27"/>
          <w:color w:val="auto"/>
        </w:rPr>
        <w:t xml:space="preserve"> Желательно вести дневник питания</w:t>
      </w:r>
      <w:r>
        <w:rPr>
          <w:rFonts w:ascii="Arial" w:cs="Arial" w:eastAsia="Arial" w:hAnsi="Arial"/>
          <w:sz w:val="27"/>
          <w:szCs w:val="27"/>
          <w:color w:val="auto"/>
        </w:rPr>
        <w:t>.</w:t>
      </w:r>
      <w:r>
        <w:rPr>
          <w:rFonts w:ascii="Arial" w:cs="Arial" w:eastAsia="Arial" w:hAnsi="Arial"/>
          <w:sz w:val="27"/>
          <w:szCs w:val="27"/>
          <w:color w:val="auto"/>
        </w:rPr>
        <w:t xml:space="preserve"> Пациенту настоятельно рекомендуется избегать жирных</w:t>
      </w:r>
      <w:r>
        <w:rPr>
          <w:rFonts w:ascii="Arial" w:cs="Arial" w:eastAsia="Arial" w:hAnsi="Arial"/>
          <w:sz w:val="27"/>
          <w:szCs w:val="27"/>
          <w:color w:val="auto"/>
        </w:rPr>
        <w:t>,</w:t>
      </w:r>
      <w:r>
        <w:rPr>
          <w:rFonts w:ascii="Arial" w:cs="Arial" w:eastAsia="Arial" w:hAnsi="Arial"/>
          <w:sz w:val="27"/>
          <w:szCs w:val="27"/>
          <w:color w:val="auto"/>
        </w:rPr>
        <w:t xml:space="preserve"> сладких блюд</w:t>
      </w:r>
      <w:r>
        <w:rPr>
          <w:rFonts w:ascii="Arial" w:cs="Arial" w:eastAsia="Arial" w:hAnsi="Arial"/>
          <w:sz w:val="27"/>
          <w:szCs w:val="27"/>
          <w:color w:val="auto"/>
        </w:rPr>
        <w:t>,</w:t>
      </w:r>
      <w:r>
        <w:rPr>
          <w:rFonts w:ascii="Arial" w:cs="Arial" w:eastAsia="Arial" w:hAnsi="Arial"/>
          <w:sz w:val="27"/>
          <w:szCs w:val="27"/>
          <w:color w:val="auto"/>
        </w:rPr>
        <w:t xml:space="preserve"> отдавать предпочтение овощам</w:t>
      </w:r>
      <w:r>
        <w:rPr>
          <w:rFonts w:ascii="Arial" w:cs="Arial" w:eastAsia="Arial" w:hAnsi="Arial"/>
          <w:sz w:val="27"/>
          <w:szCs w:val="27"/>
          <w:color w:val="auto"/>
        </w:rPr>
        <w:t>,</w:t>
      </w:r>
      <w:r>
        <w:rPr>
          <w:rFonts w:ascii="Arial" w:cs="Arial" w:eastAsia="Arial" w:hAnsi="Arial"/>
          <w:sz w:val="27"/>
          <w:szCs w:val="27"/>
          <w:color w:val="auto"/>
        </w:rPr>
        <w:t xml:space="preserve"> фруктам</w:t>
      </w:r>
      <w:r>
        <w:rPr>
          <w:rFonts w:ascii="Arial" w:cs="Arial" w:eastAsia="Arial" w:hAnsi="Arial"/>
          <w:sz w:val="27"/>
          <w:szCs w:val="27"/>
          <w:color w:val="auto"/>
        </w:rPr>
        <w:t>,</w:t>
      </w:r>
      <w:r>
        <w:rPr>
          <w:rFonts w:ascii="Arial" w:cs="Arial" w:eastAsia="Arial" w:hAnsi="Arial"/>
          <w:sz w:val="27"/>
          <w:szCs w:val="27"/>
          <w:color w:val="auto"/>
        </w:rPr>
        <w:t xml:space="preserve"> злаковым и хлебу грубого помола</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-1893570</wp:posOffset>
            </wp:positionV>
            <wp:extent cx="82550" cy="82550"/>
            <wp:wrapNone/>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48">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 xml:space="preserve">Потребление соли надо ограничить до </w:t>
      </w:r>
      <w:r>
        <w:rPr>
          <w:rFonts w:ascii="Arial" w:cs="Arial" w:eastAsia="Arial" w:hAnsi="Arial"/>
          <w:sz w:val="27"/>
          <w:szCs w:val="27"/>
          <w:color w:val="auto"/>
        </w:rPr>
        <w:t>5</w:t>
      </w:r>
      <w:r>
        <w:rPr>
          <w:rFonts w:ascii="Arial" w:cs="Arial" w:eastAsia="Arial" w:hAnsi="Arial"/>
          <w:sz w:val="27"/>
          <w:szCs w:val="27"/>
          <w:color w:val="auto"/>
        </w:rPr>
        <w:t xml:space="preserve"> г</w:t>
      </w:r>
      <w:r>
        <w:rPr>
          <w:rFonts w:ascii="Arial" w:cs="Arial" w:eastAsia="Arial" w:hAnsi="Arial"/>
          <w:sz w:val="27"/>
          <w:szCs w:val="27"/>
          <w:color w:val="auto"/>
        </w:rPr>
        <w:t>/</w:t>
      </w:r>
      <w:r>
        <w:rPr>
          <w:rFonts w:ascii="Arial" w:cs="Arial" w:eastAsia="Arial" w:hAnsi="Arial"/>
          <w:sz w:val="27"/>
          <w:szCs w:val="27"/>
          <w:color w:val="auto"/>
        </w:rPr>
        <w:t>сут</w:t>
      </w:r>
      <w:r>
        <w:rPr>
          <w:rFonts w:ascii="Arial" w:cs="Arial" w:eastAsia="Arial" w:hAnsi="Arial"/>
          <w:sz w:val="27"/>
          <w:szCs w:val="27"/>
          <w:color w:val="auto"/>
        </w:rPr>
        <w:t>.</w:t>
      </w:r>
      <w:r>
        <w:rPr>
          <w:rFonts w:ascii="Arial" w:cs="Arial" w:eastAsia="Arial" w:hAnsi="Arial"/>
          <w:sz w:val="27"/>
          <w:szCs w:val="27"/>
          <w:color w:val="auto"/>
        </w:rPr>
        <w:t xml:space="preserve"> Рекомендовано не подсаливать пищу</w:t>
      </w:r>
      <w:r>
        <w:rPr>
          <w:rFonts w:ascii="Arial" w:cs="Arial" w:eastAsia="Arial" w:hAnsi="Arial"/>
          <w:sz w:val="27"/>
          <w:szCs w:val="27"/>
          <w:color w:val="auto"/>
        </w:rPr>
        <w:t>,</w:t>
      </w:r>
      <w:r>
        <w:rPr>
          <w:rFonts w:ascii="Arial" w:cs="Arial" w:eastAsia="Arial" w:hAnsi="Arial"/>
          <w:sz w:val="27"/>
          <w:szCs w:val="27"/>
          <w:color w:val="auto"/>
        </w:rPr>
        <w:t xml:space="preserve"> заменять соль другими веществами</w:t>
      </w:r>
      <w:r>
        <w:rPr>
          <w:rFonts w:ascii="Arial" w:cs="Arial" w:eastAsia="Arial" w:hAnsi="Arial"/>
          <w:sz w:val="27"/>
          <w:szCs w:val="27"/>
          <w:color w:val="auto"/>
        </w:rPr>
        <w:t>,</w:t>
      </w:r>
      <w:r>
        <w:rPr>
          <w:rFonts w:ascii="Arial" w:cs="Arial" w:eastAsia="Arial" w:hAnsi="Arial"/>
          <w:sz w:val="27"/>
          <w:szCs w:val="27"/>
          <w:color w:val="auto"/>
        </w:rPr>
        <w:t xml:space="preserve"> улучшающими вкус пищи </w:t>
      </w:r>
      <w:r>
        <w:rPr>
          <w:rFonts w:ascii="Arial" w:cs="Arial" w:eastAsia="Arial" w:hAnsi="Arial"/>
          <w:sz w:val="27"/>
          <w:szCs w:val="27"/>
          <w:color w:val="auto"/>
        </w:rPr>
        <w:t>(</w:t>
      </w:r>
      <w:r>
        <w:rPr>
          <w:rFonts w:ascii="Arial" w:cs="Arial" w:eastAsia="Arial" w:hAnsi="Arial"/>
          <w:sz w:val="27"/>
          <w:szCs w:val="27"/>
          <w:color w:val="auto"/>
        </w:rPr>
        <w:t>соусы</w:t>
      </w:r>
      <w:r>
        <w:rPr>
          <w:rFonts w:ascii="Arial" w:cs="Arial" w:eastAsia="Arial" w:hAnsi="Arial"/>
          <w:sz w:val="27"/>
          <w:szCs w:val="27"/>
          <w:color w:val="auto"/>
        </w:rPr>
        <w:t>,</w:t>
      </w:r>
      <w:r>
        <w:rPr>
          <w:rFonts w:ascii="Arial" w:cs="Arial" w:eastAsia="Arial" w:hAnsi="Arial"/>
          <w:sz w:val="27"/>
          <w:szCs w:val="27"/>
          <w:color w:val="auto"/>
        </w:rPr>
        <w:t xml:space="preserve"> небольшие количества перца</w:t>
      </w:r>
      <w:r>
        <w:rPr>
          <w:rFonts w:ascii="Arial" w:cs="Arial" w:eastAsia="Arial" w:hAnsi="Arial"/>
          <w:sz w:val="27"/>
          <w:szCs w:val="27"/>
          <w:color w:val="auto"/>
        </w:rPr>
        <w:t>,</w:t>
      </w:r>
      <w:r>
        <w:rPr>
          <w:rFonts w:ascii="Arial" w:cs="Arial" w:eastAsia="Arial" w:hAnsi="Arial"/>
          <w:sz w:val="27"/>
          <w:szCs w:val="27"/>
          <w:color w:val="auto"/>
        </w:rPr>
        <w:t xml:space="preserve"> уксуса и др</w:t>
      </w:r>
      <w:r>
        <w:rPr>
          <w:rFonts w:ascii="Arial" w:cs="Arial" w:eastAsia="Arial" w:hAnsi="Arial"/>
          <w:sz w:val="27"/>
          <w:szCs w:val="27"/>
          <w:color w:val="auto"/>
        </w:rPr>
        <w:t>.)</w:t>
      </w:r>
      <w:r>
        <w:rPr>
          <w:rFonts w:ascii="Arial" w:cs="Arial" w:eastAsia="Arial" w:hAnsi="Arial"/>
          <w:sz w:val="27"/>
          <w:szCs w:val="27"/>
          <w:color w:val="auto"/>
        </w:rPr>
        <w:t xml:space="preserve"> В соли содержится натрий</w:t>
      </w:r>
      <w:r>
        <w:rPr>
          <w:rFonts w:ascii="Arial" w:cs="Arial" w:eastAsia="Arial" w:hAnsi="Arial"/>
          <w:sz w:val="27"/>
          <w:szCs w:val="27"/>
          <w:color w:val="auto"/>
        </w:rPr>
        <w:t>,</w:t>
      </w:r>
      <w:r>
        <w:rPr>
          <w:rFonts w:ascii="Arial" w:cs="Arial" w:eastAsia="Arial" w:hAnsi="Arial"/>
          <w:sz w:val="27"/>
          <w:szCs w:val="27"/>
          <w:color w:val="auto"/>
        </w:rPr>
        <w:t xml:space="preserve"> который приводит к задержке воды в организме</w:t>
      </w:r>
      <w:r>
        <w:rPr>
          <w:rFonts w:ascii="Arial" w:cs="Arial" w:eastAsia="Arial" w:hAnsi="Arial"/>
          <w:sz w:val="27"/>
          <w:szCs w:val="27"/>
          <w:color w:val="auto"/>
        </w:rPr>
        <w:t>,</w:t>
      </w:r>
      <w:r>
        <w:rPr>
          <w:rFonts w:ascii="Arial" w:cs="Arial" w:eastAsia="Arial" w:hAnsi="Arial"/>
          <w:sz w:val="27"/>
          <w:szCs w:val="27"/>
          <w:color w:val="auto"/>
        </w:rPr>
        <w:t xml:space="preserve"> и как следствие</w:t>
      </w:r>
      <w:r>
        <w:rPr>
          <w:rFonts w:ascii="Arial" w:cs="Arial" w:eastAsia="Arial" w:hAnsi="Arial"/>
          <w:sz w:val="27"/>
          <w:szCs w:val="27"/>
          <w:color w:val="auto"/>
        </w:rPr>
        <w:t>,</w:t>
      </w:r>
      <w:r>
        <w:rPr>
          <w:rFonts w:ascii="Arial" w:cs="Arial" w:eastAsia="Arial" w:hAnsi="Arial"/>
          <w:sz w:val="27"/>
          <w:szCs w:val="27"/>
          <w:color w:val="auto"/>
        </w:rPr>
        <w:t xml:space="preserve"> повышению артериального давления</w:t>
      </w:r>
      <w:r>
        <w:rPr>
          <w:rFonts w:ascii="Arial" w:cs="Arial" w:eastAsia="Arial" w:hAnsi="Arial"/>
          <w:sz w:val="27"/>
          <w:szCs w:val="27"/>
          <w:color w:val="auto"/>
        </w:rPr>
        <w:t>.</w:t>
      </w:r>
      <w:r>
        <w:rPr>
          <w:rFonts w:ascii="Arial" w:cs="Arial" w:eastAsia="Arial" w:hAnsi="Arial"/>
          <w:sz w:val="27"/>
          <w:szCs w:val="27"/>
          <w:color w:val="auto"/>
        </w:rPr>
        <w:t xml:space="preserve"> Так же влияет большое содержание натрия в колбасах</w:t>
      </w:r>
      <w:r>
        <w:rPr>
          <w:rFonts w:ascii="Arial" w:cs="Arial" w:eastAsia="Arial" w:hAnsi="Arial"/>
          <w:sz w:val="27"/>
          <w:szCs w:val="27"/>
          <w:color w:val="auto"/>
        </w:rPr>
        <w:t>,</w:t>
      </w:r>
      <w:r>
        <w:rPr>
          <w:rFonts w:ascii="Arial" w:cs="Arial" w:eastAsia="Arial" w:hAnsi="Arial"/>
          <w:sz w:val="27"/>
          <w:szCs w:val="27"/>
          <w:color w:val="auto"/>
        </w:rPr>
        <w:t xml:space="preserve"> консервах</w:t>
      </w:r>
      <w:r>
        <w:rPr>
          <w:rFonts w:ascii="Arial" w:cs="Arial" w:eastAsia="Arial" w:hAnsi="Arial"/>
          <w:sz w:val="27"/>
          <w:szCs w:val="27"/>
          <w:color w:val="auto"/>
        </w:rPr>
        <w:t>,</w:t>
      </w:r>
      <w:r>
        <w:rPr>
          <w:rFonts w:ascii="Arial" w:cs="Arial" w:eastAsia="Arial" w:hAnsi="Arial"/>
          <w:sz w:val="27"/>
          <w:szCs w:val="27"/>
          <w:color w:val="auto"/>
        </w:rPr>
        <w:t xml:space="preserve"> солениях и копченых мясных продуктах</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-1898015</wp:posOffset>
            </wp:positionV>
            <wp:extent cx="82550" cy="82550"/>
            <wp:wrapNone/>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49">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235" w:lineRule="auto"/>
        <w:rPr>
          <w:sz w:val="20"/>
          <w:szCs w:val="20"/>
          <w:color w:val="auto"/>
        </w:rPr>
      </w:pPr>
      <w:r>
        <w:rPr>
          <w:rFonts w:ascii="Arial" w:cs="Arial" w:eastAsia="Arial" w:hAnsi="Arial"/>
          <w:sz w:val="27"/>
          <w:szCs w:val="27"/>
          <w:color w:val="auto"/>
        </w:rPr>
        <w:t xml:space="preserve">Следует увеличить потребление калия </w:t>
      </w:r>
      <w:r>
        <w:rPr>
          <w:rFonts w:ascii="Arial" w:cs="Arial" w:eastAsia="Arial" w:hAnsi="Arial"/>
          <w:sz w:val="27"/>
          <w:szCs w:val="27"/>
          <w:color w:val="auto"/>
        </w:rPr>
        <w:t>(</w:t>
      </w:r>
      <w:r>
        <w:rPr>
          <w:rFonts w:ascii="Arial" w:cs="Arial" w:eastAsia="Arial" w:hAnsi="Arial"/>
          <w:sz w:val="27"/>
          <w:szCs w:val="27"/>
          <w:color w:val="auto"/>
        </w:rPr>
        <w:t>его много в свежих фруктах</w:t>
      </w:r>
      <w:r>
        <w:rPr>
          <w:rFonts w:ascii="Arial" w:cs="Arial" w:eastAsia="Arial" w:hAnsi="Arial"/>
          <w:sz w:val="27"/>
          <w:szCs w:val="27"/>
          <w:color w:val="auto"/>
        </w:rPr>
        <w:t>,</w:t>
      </w:r>
      <w:r>
        <w:rPr>
          <w:rFonts w:ascii="Arial" w:cs="Arial" w:eastAsia="Arial" w:hAnsi="Arial"/>
          <w:sz w:val="27"/>
          <w:szCs w:val="27"/>
          <w:color w:val="auto"/>
        </w:rPr>
        <w:t xml:space="preserve"> овощах</w:t>
      </w:r>
      <w:r>
        <w:rPr>
          <w:rFonts w:ascii="Arial" w:cs="Arial" w:eastAsia="Arial" w:hAnsi="Arial"/>
          <w:sz w:val="27"/>
          <w:szCs w:val="27"/>
          <w:color w:val="auto"/>
        </w:rPr>
        <w:t>,</w:t>
      </w:r>
      <w:r>
        <w:rPr>
          <w:rFonts w:ascii="Arial" w:cs="Arial" w:eastAsia="Arial" w:hAnsi="Arial"/>
          <w:sz w:val="27"/>
          <w:szCs w:val="27"/>
          <w:color w:val="auto"/>
        </w:rPr>
        <w:t xml:space="preserve"> кураге</w:t>
      </w:r>
      <w:r>
        <w:rPr>
          <w:rFonts w:ascii="Arial" w:cs="Arial" w:eastAsia="Arial" w:hAnsi="Arial"/>
          <w:sz w:val="27"/>
          <w:szCs w:val="27"/>
          <w:color w:val="auto"/>
        </w:rPr>
        <w:t>,</w:t>
      </w:r>
      <w:r>
        <w:rPr>
          <w:rFonts w:ascii="Arial" w:cs="Arial" w:eastAsia="Arial" w:hAnsi="Arial"/>
          <w:sz w:val="27"/>
          <w:szCs w:val="27"/>
          <w:color w:val="auto"/>
        </w:rPr>
        <w:t xml:space="preserve"> печеном картофеле</w:t>
      </w:r>
      <w:r>
        <w:rPr>
          <w:rFonts w:ascii="Arial" w:cs="Arial" w:eastAsia="Arial" w:hAnsi="Arial"/>
          <w:sz w:val="27"/>
          <w:szCs w:val="27"/>
          <w:color w:val="auto"/>
        </w:rPr>
        <w:t>).</w:t>
      </w:r>
      <w:r>
        <w:rPr>
          <w:rFonts w:ascii="Arial" w:cs="Arial" w:eastAsia="Arial" w:hAnsi="Arial"/>
          <w:sz w:val="27"/>
          <w:szCs w:val="27"/>
          <w:color w:val="auto"/>
        </w:rPr>
        <w:t xml:space="preserve"> Соотношение К</w:t>
      </w:r>
      <w:r>
        <w:rPr>
          <w:rFonts w:ascii="Arial" w:cs="Arial" w:eastAsia="Arial" w:hAnsi="Arial"/>
          <w:sz w:val="54"/>
          <w:szCs w:val="54"/>
          <w:color w:val="auto"/>
          <w:vertAlign w:val="superscript"/>
        </w:rPr>
        <w:t>+</w:t>
      </w:r>
      <w:r>
        <w:rPr>
          <w:rFonts w:ascii="Arial" w:cs="Arial" w:eastAsia="Arial" w:hAnsi="Arial"/>
          <w:sz w:val="27"/>
          <w:szCs w:val="27"/>
          <w:color w:val="auto"/>
        </w:rPr>
        <w:t>/N</w:t>
      </w:r>
      <w:r>
        <w:rPr>
          <w:rFonts w:ascii="Arial" w:cs="Arial" w:eastAsia="Arial" w:hAnsi="Arial"/>
          <w:sz w:val="27"/>
          <w:szCs w:val="27"/>
          <w:color w:val="auto"/>
        </w:rPr>
        <w:t>а</w:t>
      </w:r>
      <w:r>
        <w:rPr>
          <w:rFonts w:ascii="Arial" w:cs="Arial" w:eastAsia="Arial" w:hAnsi="Arial"/>
          <w:sz w:val="54"/>
          <w:szCs w:val="54"/>
          <w:color w:val="auto"/>
          <w:vertAlign w:val="superscript"/>
        </w:rPr>
        <w:t>+</w:t>
      </w:r>
      <w:r>
        <w:rPr>
          <w:rFonts w:ascii="Arial" w:cs="Arial" w:eastAsia="Arial" w:hAnsi="Arial"/>
          <w:sz w:val="27"/>
          <w:szCs w:val="27"/>
          <w:color w:val="auto"/>
        </w:rPr>
        <w:t>сдвигается в сторону К</w:t>
      </w:r>
      <w:r>
        <w:rPr>
          <w:rFonts w:ascii="Arial" w:cs="Arial" w:eastAsia="Arial" w:hAnsi="Arial"/>
          <w:sz w:val="27"/>
          <w:szCs w:val="27"/>
          <w:color w:val="auto"/>
        </w:rPr>
        <w:t>+</w:t>
      </w:r>
      <w:r>
        <w:rPr>
          <w:rFonts w:ascii="Arial" w:cs="Arial" w:eastAsia="Arial" w:hAnsi="Arial"/>
          <w:sz w:val="27"/>
          <w:szCs w:val="27"/>
          <w:color w:val="auto"/>
        </w:rPr>
        <w:t xml:space="preserve"> при преимущественно вегетарианской диете</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-884555</wp:posOffset>
            </wp:positionV>
            <wp:extent cx="82550" cy="82550"/>
            <wp:wrapNone/>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50">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21" w:lineRule="exact"/>
        <w:rPr>
          <w:sz w:val="20"/>
          <w:szCs w:val="20"/>
          <w:color w:val="auto"/>
        </w:rPr>
      </w:pPr>
    </w:p>
    <w:p>
      <w:pPr>
        <w:ind w:left="680" w:right="220"/>
        <w:spacing w:after="0" w:line="301" w:lineRule="auto"/>
        <w:rPr>
          <w:sz w:val="20"/>
          <w:szCs w:val="20"/>
          <w:color w:val="auto"/>
        </w:rPr>
      </w:pPr>
      <w:r>
        <w:rPr>
          <w:rFonts w:ascii="Arial" w:cs="Arial" w:eastAsia="Arial" w:hAnsi="Arial"/>
          <w:sz w:val="27"/>
          <w:szCs w:val="27"/>
          <w:color w:val="auto"/>
        </w:rPr>
        <w:t>Необходимо прекратить или ограничить курение</w:t>
      </w:r>
      <w:r>
        <w:rPr>
          <w:rFonts w:ascii="Arial" w:cs="Arial" w:eastAsia="Arial" w:hAnsi="Arial"/>
          <w:sz w:val="27"/>
          <w:szCs w:val="27"/>
          <w:color w:val="auto"/>
        </w:rPr>
        <w:t>.</w:t>
      </w:r>
      <w:r>
        <w:rPr>
          <w:rFonts w:ascii="Arial" w:cs="Arial" w:eastAsia="Arial" w:hAnsi="Arial"/>
          <w:sz w:val="27"/>
          <w:szCs w:val="27"/>
          <w:color w:val="auto"/>
        </w:rPr>
        <w:t xml:space="preserve"> Потребление алкоголя следует ограничить до </w:t>
      </w:r>
      <w:r>
        <w:rPr>
          <w:rFonts w:ascii="Arial" w:cs="Arial" w:eastAsia="Arial" w:hAnsi="Arial"/>
          <w:sz w:val="27"/>
          <w:szCs w:val="27"/>
          <w:color w:val="auto"/>
        </w:rPr>
        <w:t>30</w:t>
      </w:r>
      <w:r>
        <w:rPr>
          <w:rFonts w:ascii="Arial" w:cs="Arial" w:eastAsia="Arial" w:hAnsi="Arial"/>
          <w:sz w:val="27"/>
          <w:szCs w:val="27"/>
          <w:color w:val="auto"/>
        </w:rPr>
        <w:t xml:space="preserve"> мл</w:t>
      </w:r>
      <w:r>
        <w:rPr>
          <w:rFonts w:ascii="Arial" w:cs="Arial" w:eastAsia="Arial" w:hAnsi="Arial"/>
          <w:sz w:val="27"/>
          <w:szCs w:val="27"/>
          <w:color w:val="auto"/>
        </w:rPr>
        <w:t>/</w:t>
      </w:r>
      <w:r>
        <w:rPr>
          <w:rFonts w:ascii="Arial" w:cs="Arial" w:eastAsia="Arial" w:hAnsi="Arial"/>
          <w:sz w:val="27"/>
          <w:szCs w:val="27"/>
          <w:color w:val="auto"/>
        </w:rPr>
        <w:t>сут в пересчете на абсолютный этанол</w:t>
      </w:r>
      <w:r>
        <w:rPr>
          <w:rFonts w:ascii="Arial" w:cs="Arial" w:eastAsia="Arial" w:hAnsi="Arial"/>
          <w:sz w:val="27"/>
          <w:szCs w:val="27"/>
          <w:color w:val="auto"/>
        </w:rPr>
        <w:t>.</w:t>
      </w:r>
      <w:r>
        <w:rPr>
          <w:rFonts w:ascii="Arial" w:cs="Arial" w:eastAsia="Arial" w:hAnsi="Arial"/>
          <w:sz w:val="27"/>
          <w:szCs w:val="27"/>
          <w:color w:val="auto"/>
        </w:rPr>
        <w:t xml:space="preserve"> Крепкие спиртные напитки лучше заменить красными сухими винами</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51">
                      <a:extLst>
                        <a:ext uri="{28A0092B-C50C-407E-A947-70E740481C1C}"/>
                      </a:extLst>
                    </a:blip>
                    <a:srcRect/>
                    <a:stretch>
                      <a:fillRect/>
                    </a:stretch>
                  </pic:blipFill>
                  <pic:spPr bwMode="auto">
                    <a:xfrm>
                      <a:off x="0" y="0"/>
                      <a:ext cx="82550" cy="82550"/>
                    </a:xfrm>
                    <a:prstGeom prst="rect">
                      <a:avLst/>
                    </a:prstGeom>
                    <a:noFill/>
                  </pic:spPr>
                </pic:pic>
              </a:graphicData>
            </a:graphic>
          </wp:anchor>
        </w:drawing>
        <w:drawing>
          <wp:anchor simplePos="0" relativeHeight="251657728" behindDoc="1" locked="0" layoutInCell="0" allowOverlap="1">
            <wp:simplePos x="0" y="0"/>
            <wp:positionH relativeFrom="column">
              <wp:posOffset>235585</wp:posOffset>
            </wp:positionH>
            <wp:positionV relativeFrom="paragraph">
              <wp:posOffset>-661035</wp:posOffset>
            </wp:positionV>
            <wp:extent cx="82550" cy="8255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52">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8" w:lineRule="auto"/>
        <w:rPr>
          <w:sz w:val="20"/>
          <w:szCs w:val="20"/>
          <w:color w:val="auto"/>
        </w:rPr>
      </w:pPr>
      <w:r>
        <w:rPr>
          <w:rFonts w:ascii="Arial" w:cs="Arial" w:eastAsia="Arial" w:hAnsi="Arial"/>
          <w:sz w:val="27"/>
          <w:szCs w:val="27"/>
          <w:color w:val="auto"/>
        </w:rPr>
        <w:t xml:space="preserve">При гиподинамии </w:t>
      </w:r>
      <w:r>
        <w:rPr>
          <w:rFonts w:ascii="Arial" w:cs="Arial" w:eastAsia="Arial" w:hAnsi="Arial"/>
          <w:sz w:val="27"/>
          <w:szCs w:val="27"/>
          <w:color w:val="auto"/>
        </w:rPr>
        <w:t>(</w:t>
      </w:r>
      <w:r>
        <w:rPr>
          <w:rFonts w:ascii="Arial" w:cs="Arial" w:eastAsia="Arial" w:hAnsi="Arial"/>
          <w:sz w:val="27"/>
          <w:szCs w:val="27"/>
          <w:color w:val="auto"/>
        </w:rPr>
        <w:t xml:space="preserve">сидячая работа </w:t>
      </w:r>
      <w:r>
        <w:rPr>
          <w:rFonts w:ascii="Arial" w:cs="Arial" w:eastAsia="Arial" w:hAnsi="Arial"/>
          <w:sz w:val="27"/>
          <w:szCs w:val="27"/>
          <w:color w:val="auto"/>
        </w:rPr>
        <w:t>&gt; 5</w:t>
      </w:r>
      <w:r>
        <w:rPr>
          <w:rFonts w:ascii="Arial" w:cs="Arial" w:eastAsia="Arial" w:hAnsi="Arial"/>
          <w:sz w:val="27"/>
          <w:szCs w:val="27"/>
          <w:color w:val="auto"/>
        </w:rPr>
        <w:t xml:space="preserve"> ч</w:t>
      </w:r>
      <w:r>
        <w:rPr>
          <w:rFonts w:ascii="Arial" w:cs="Arial" w:eastAsia="Arial" w:hAnsi="Arial"/>
          <w:sz w:val="27"/>
          <w:szCs w:val="27"/>
          <w:color w:val="auto"/>
        </w:rPr>
        <w:t>/</w:t>
      </w:r>
      <w:r>
        <w:rPr>
          <w:rFonts w:ascii="Arial" w:cs="Arial" w:eastAsia="Arial" w:hAnsi="Arial"/>
          <w:sz w:val="27"/>
          <w:szCs w:val="27"/>
          <w:color w:val="auto"/>
        </w:rPr>
        <w:t>сут</w:t>
      </w:r>
      <w:r>
        <w:rPr>
          <w:rFonts w:ascii="Arial" w:cs="Arial" w:eastAsia="Arial" w:hAnsi="Arial"/>
          <w:sz w:val="27"/>
          <w:szCs w:val="27"/>
          <w:color w:val="auto"/>
        </w:rPr>
        <w:t>,</w:t>
      </w:r>
      <w:r>
        <w:rPr>
          <w:rFonts w:ascii="Arial" w:cs="Arial" w:eastAsia="Arial" w:hAnsi="Arial"/>
          <w:sz w:val="27"/>
          <w:szCs w:val="27"/>
          <w:color w:val="auto"/>
        </w:rPr>
        <w:t xml:space="preserve"> физическая активность </w:t>
      </w:r>
      <w:r>
        <w:rPr>
          <w:rFonts w:ascii="Arial" w:cs="Arial" w:eastAsia="Arial" w:hAnsi="Arial"/>
          <w:sz w:val="27"/>
          <w:szCs w:val="27"/>
          <w:color w:val="auto"/>
        </w:rPr>
        <w:t>&lt; 10</w:t>
      </w:r>
      <w:r>
        <w:rPr>
          <w:rFonts w:ascii="Arial" w:cs="Arial" w:eastAsia="Arial" w:hAnsi="Arial"/>
          <w:sz w:val="27"/>
          <w:szCs w:val="27"/>
          <w:color w:val="auto"/>
        </w:rPr>
        <w:t xml:space="preserve"> ч</w:t>
      </w:r>
      <w:r>
        <w:rPr>
          <w:rFonts w:ascii="Arial" w:cs="Arial" w:eastAsia="Arial" w:hAnsi="Arial"/>
          <w:sz w:val="27"/>
          <w:szCs w:val="27"/>
          <w:color w:val="auto"/>
        </w:rPr>
        <w:t>/</w:t>
      </w:r>
      <w:r>
        <w:rPr>
          <w:rFonts w:ascii="Arial" w:cs="Arial" w:eastAsia="Arial" w:hAnsi="Arial"/>
          <w:sz w:val="27"/>
          <w:szCs w:val="27"/>
          <w:color w:val="auto"/>
        </w:rPr>
        <w:t>нед</w:t>
      </w:r>
      <w:r>
        <w:rPr>
          <w:rFonts w:ascii="Arial" w:cs="Arial" w:eastAsia="Arial" w:hAnsi="Arial"/>
          <w:sz w:val="27"/>
          <w:szCs w:val="27"/>
          <w:color w:val="auto"/>
        </w:rPr>
        <w:t>) —</w:t>
      </w:r>
      <w:r>
        <w:rPr>
          <w:rFonts w:ascii="Arial" w:cs="Arial" w:eastAsia="Arial" w:hAnsi="Arial"/>
          <w:sz w:val="27"/>
          <w:szCs w:val="27"/>
          <w:color w:val="auto"/>
        </w:rPr>
        <w:t xml:space="preserve"> регулярные физические тренировки не менее </w:t>
      </w:r>
      <w:r>
        <w:rPr>
          <w:rFonts w:ascii="Arial" w:cs="Arial" w:eastAsia="Arial" w:hAnsi="Arial"/>
          <w:sz w:val="27"/>
          <w:szCs w:val="27"/>
          <w:color w:val="auto"/>
        </w:rPr>
        <w:t>4</w:t>
      </w:r>
      <w:r>
        <w:rPr>
          <w:rFonts w:ascii="Arial" w:cs="Arial" w:eastAsia="Arial" w:hAnsi="Arial"/>
          <w:sz w:val="27"/>
          <w:szCs w:val="27"/>
          <w:color w:val="auto"/>
        </w:rPr>
        <w:t xml:space="preserve"> раз в неделю продолжительностью </w:t>
      </w:r>
      <w:r>
        <w:rPr>
          <w:rFonts w:ascii="Arial" w:cs="Arial" w:eastAsia="Arial" w:hAnsi="Arial"/>
          <w:sz w:val="27"/>
          <w:szCs w:val="27"/>
          <w:color w:val="auto"/>
        </w:rPr>
        <w:t>30–45</w:t>
      </w:r>
      <w:r>
        <w:rPr>
          <w:rFonts w:ascii="Arial" w:cs="Arial" w:eastAsia="Arial" w:hAnsi="Arial"/>
          <w:sz w:val="27"/>
          <w:szCs w:val="27"/>
          <w:color w:val="auto"/>
        </w:rPr>
        <w:t xml:space="preserve"> минут</w:t>
      </w:r>
      <w:r>
        <w:rPr>
          <w:rFonts w:ascii="Arial" w:cs="Arial" w:eastAsia="Arial" w:hAnsi="Arial"/>
          <w:sz w:val="27"/>
          <w:szCs w:val="27"/>
          <w:color w:val="auto"/>
        </w:rPr>
        <w:t>.</w:t>
      </w:r>
      <w:r>
        <w:rPr>
          <w:rFonts w:ascii="Arial" w:cs="Arial" w:eastAsia="Arial" w:hAnsi="Arial"/>
          <w:sz w:val="27"/>
          <w:szCs w:val="27"/>
          <w:color w:val="auto"/>
        </w:rPr>
        <w:t xml:space="preserve"> Предпочтительны индивидуально приемлемые для пациента нагрузки</w:t>
      </w:r>
      <w:r>
        <w:rPr>
          <w:rFonts w:ascii="Arial" w:cs="Arial" w:eastAsia="Arial" w:hAnsi="Arial"/>
          <w:sz w:val="27"/>
          <w:szCs w:val="27"/>
          <w:color w:val="auto"/>
        </w:rPr>
        <w:t>:</w:t>
      </w:r>
      <w:r>
        <w:rPr>
          <w:rFonts w:ascii="Arial" w:cs="Arial" w:eastAsia="Arial" w:hAnsi="Arial"/>
          <w:sz w:val="27"/>
          <w:szCs w:val="27"/>
          <w:color w:val="auto"/>
        </w:rPr>
        <w:t xml:space="preserve"> пешие прогулки</w:t>
      </w:r>
      <w:r>
        <w:rPr>
          <w:rFonts w:ascii="Arial" w:cs="Arial" w:eastAsia="Arial" w:hAnsi="Arial"/>
          <w:sz w:val="27"/>
          <w:szCs w:val="27"/>
          <w:color w:val="auto"/>
        </w:rPr>
        <w:t>,</w:t>
      </w:r>
      <w:r>
        <w:rPr>
          <w:rFonts w:ascii="Arial" w:cs="Arial" w:eastAsia="Arial" w:hAnsi="Arial"/>
          <w:sz w:val="27"/>
          <w:szCs w:val="27"/>
          <w:color w:val="auto"/>
        </w:rPr>
        <w:t xml:space="preserve"> теннис</w:t>
      </w:r>
      <w:r>
        <w:rPr>
          <w:rFonts w:ascii="Arial" w:cs="Arial" w:eastAsia="Arial" w:hAnsi="Arial"/>
          <w:sz w:val="27"/>
          <w:szCs w:val="27"/>
          <w:color w:val="auto"/>
        </w:rPr>
        <w:t>,</w:t>
      </w:r>
      <w:r>
        <w:rPr>
          <w:rFonts w:ascii="Arial" w:cs="Arial" w:eastAsia="Arial" w:hAnsi="Arial"/>
          <w:sz w:val="27"/>
          <w:szCs w:val="27"/>
          <w:color w:val="auto"/>
        </w:rPr>
        <w:t xml:space="preserve"> езда на велосипеде</w:t>
      </w:r>
      <w:r>
        <w:rPr>
          <w:rFonts w:ascii="Arial" w:cs="Arial" w:eastAsia="Arial" w:hAnsi="Arial"/>
          <w:sz w:val="27"/>
          <w:szCs w:val="27"/>
          <w:color w:val="auto"/>
        </w:rPr>
        <w:t>,</w:t>
      </w:r>
      <w:r>
        <w:rPr>
          <w:rFonts w:ascii="Arial" w:cs="Arial" w:eastAsia="Arial" w:hAnsi="Arial"/>
          <w:sz w:val="27"/>
          <w:szCs w:val="27"/>
          <w:color w:val="auto"/>
        </w:rPr>
        <w:t xml:space="preserve"> ходьба на лыжах</w:t>
      </w:r>
      <w:r>
        <w:rPr>
          <w:rFonts w:ascii="Arial" w:cs="Arial" w:eastAsia="Arial" w:hAnsi="Arial"/>
          <w:sz w:val="27"/>
          <w:szCs w:val="27"/>
          <w:color w:val="auto"/>
        </w:rPr>
        <w:t>,</w:t>
      </w:r>
      <w:r>
        <w:rPr>
          <w:rFonts w:ascii="Arial" w:cs="Arial" w:eastAsia="Arial" w:hAnsi="Arial"/>
          <w:sz w:val="27"/>
          <w:szCs w:val="27"/>
          <w:color w:val="auto"/>
        </w:rPr>
        <w:t xml:space="preserve"> работа в саду</w:t>
      </w:r>
      <w:r>
        <w:rPr>
          <w:rFonts w:ascii="Arial" w:cs="Arial" w:eastAsia="Arial" w:hAnsi="Arial"/>
          <w:sz w:val="27"/>
          <w:szCs w:val="27"/>
          <w:color w:val="auto"/>
        </w:rPr>
        <w:t>,</w:t>
      </w:r>
      <w:r>
        <w:rPr>
          <w:rFonts w:ascii="Arial" w:cs="Arial" w:eastAsia="Arial" w:hAnsi="Arial"/>
          <w:sz w:val="27"/>
          <w:szCs w:val="27"/>
          <w:color w:val="auto"/>
        </w:rPr>
        <w:t xml:space="preserve"> плавание</w:t>
      </w:r>
      <w:r>
        <w:rPr>
          <w:rFonts w:ascii="Arial" w:cs="Arial" w:eastAsia="Arial" w:hAnsi="Arial"/>
          <w:sz w:val="27"/>
          <w:szCs w:val="27"/>
          <w:color w:val="auto"/>
        </w:rPr>
        <w:t>.</w:t>
      </w:r>
      <w:r>
        <w:rPr>
          <w:rFonts w:ascii="Arial" w:cs="Arial" w:eastAsia="Arial" w:hAnsi="Arial"/>
          <w:sz w:val="27"/>
          <w:szCs w:val="27"/>
          <w:color w:val="auto"/>
        </w:rPr>
        <w:t xml:space="preserve"> При физической нагрузке</w:t>
      </w:r>
    </w:p>
    <w:p>
      <w:pPr>
        <w:sectPr>
          <w:pgSz w:w="11900" w:h="16840" w:orient="portrait"/>
          <w:cols w:equalWidth="0" w:num="1">
            <w:col w:w="9020"/>
          </w:cols>
          <w:pgMar w:left="1440" w:top="19" w:right="1440" w:bottom="0" w:gutter="0" w:footer="0" w:header="0"/>
        </w:sectPr>
      </w:pPr>
    </w:p>
    <w:bookmarkStart w:id="130" w:name="page131"/>
    <w:bookmarkEnd w:id="130"/>
    <w:p>
      <w:pPr>
        <w:jc w:val="both"/>
        <w:ind w:left="680" w:right="220"/>
        <w:spacing w:after="0" w:line="301" w:lineRule="auto"/>
        <w:rPr>
          <w:sz w:val="20"/>
          <w:szCs w:val="20"/>
          <w:color w:val="auto"/>
        </w:rPr>
      </w:pPr>
      <w:r>
        <w:rPr>
          <w:rFonts w:ascii="Arial" w:cs="Arial" w:eastAsia="Arial" w:hAnsi="Arial"/>
          <w:sz w:val="27"/>
          <w:szCs w:val="27"/>
          <w:color w:val="auto"/>
        </w:rPr>
        <w:t xml:space="preserve">число сердечных сокращений должно увеличиваться не более чем на </w:t>
      </w:r>
      <w:r>
        <w:rPr>
          <w:rFonts w:ascii="Arial" w:cs="Arial" w:eastAsia="Arial" w:hAnsi="Arial"/>
          <w:sz w:val="27"/>
          <w:szCs w:val="27"/>
          <w:color w:val="auto"/>
        </w:rPr>
        <w:t>20–30</w:t>
      </w:r>
      <w:r>
        <w:rPr>
          <w:rFonts w:ascii="Arial" w:cs="Arial" w:eastAsia="Arial" w:hAnsi="Arial"/>
          <w:sz w:val="27"/>
          <w:szCs w:val="27"/>
          <w:color w:val="auto"/>
        </w:rPr>
        <w:t xml:space="preserve"> в </w:t>
      </w:r>
      <w:r>
        <w:rPr>
          <w:rFonts w:ascii="Arial" w:cs="Arial" w:eastAsia="Arial" w:hAnsi="Arial"/>
          <w:sz w:val="27"/>
          <w:szCs w:val="27"/>
          <w:color w:val="auto"/>
        </w:rPr>
        <w:t>1</w:t>
      </w:r>
      <w:r>
        <w:rPr>
          <w:rFonts w:ascii="Arial" w:cs="Arial" w:eastAsia="Arial" w:hAnsi="Arial"/>
          <w:sz w:val="27"/>
          <w:szCs w:val="27"/>
          <w:color w:val="auto"/>
        </w:rPr>
        <w:t xml:space="preserve"> мин</w:t>
      </w:r>
      <w:r>
        <w:rPr>
          <w:rFonts w:ascii="Arial" w:cs="Arial" w:eastAsia="Arial" w:hAnsi="Arial"/>
          <w:sz w:val="27"/>
          <w:szCs w:val="27"/>
          <w:color w:val="auto"/>
        </w:rPr>
        <w:t>.</w:t>
      </w:r>
    </w:p>
    <w:p>
      <w:pPr>
        <w:spacing w:after="0" w:line="2" w:lineRule="exact"/>
        <w:rPr>
          <w:sz w:val="20"/>
          <w:szCs w:val="20"/>
          <w:color w:val="auto"/>
        </w:rPr>
      </w:pPr>
    </w:p>
    <w:p>
      <w:pPr>
        <w:jc w:val="both"/>
        <w:ind w:left="680" w:right="220"/>
        <w:spacing w:after="0" w:line="301" w:lineRule="auto"/>
        <w:rPr>
          <w:sz w:val="20"/>
          <w:szCs w:val="20"/>
          <w:color w:val="auto"/>
        </w:rPr>
      </w:pPr>
      <w:r>
        <w:rPr>
          <w:rFonts w:ascii="Arial" w:cs="Arial" w:eastAsia="Arial" w:hAnsi="Arial"/>
          <w:sz w:val="27"/>
          <w:szCs w:val="27"/>
          <w:color w:val="auto"/>
        </w:rPr>
        <w:t>Психоэмоциональный стресс на производстве и в быту контролируется правильным образом жизни</w:t>
      </w:r>
      <w:r>
        <w:rPr>
          <w:rFonts w:ascii="Arial" w:cs="Arial" w:eastAsia="Arial" w:hAnsi="Arial"/>
          <w:sz w:val="27"/>
          <w:szCs w:val="27"/>
          <w:color w:val="auto"/>
        </w:rPr>
        <w:t>.</w:t>
      </w:r>
      <w:r>
        <w:rPr>
          <w:rFonts w:ascii="Arial" w:cs="Arial" w:eastAsia="Arial" w:hAnsi="Arial"/>
          <w:sz w:val="27"/>
          <w:szCs w:val="27"/>
          <w:color w:val="auto"/>
        </w:rPr>
        <w:t xml:space="preserve"> Следует ограничить продолжительность рабочего дня и домашних нагрузок</w:t>
      </w:r>
      <w:r>
        <w:rPr>
          <w:rFonts w:ascii="Arial" w:cs="Arial" w:eastAsia="Arial" w:hAnsi="Arial"/>
          <w:sz w:val="27"/>
          <w:szCs w:val="27"/>
          <w:color w:val="auto"/>
        </w:rPr>
        <w:t>,</w:t>
      </w:r>
      <w:r>
        <w:rPr>
          <w:rFonts w:ascii="Arial" w:cs="Arial" w:eastAsia="Arial" w:hAnsi="Arial"/>
          <w:sz w:val="27"/>
          <w:szCs w:val="27"/>
          <w:color w:val="auto"/>
        </w:rPr>
        <w:t xml:space="preserve"> избегать ночных смен</w:t>
      </w:r>
      <w:r>
        <w:rPr>
          <w:rFonts w:ascii="Arial" w:cs="Arial" w:eastAsia="Arial" w:hAnsi="Arial"/>
          <w:sz w:val="27"/>
          <w:szCs w:val="27"/>
          <w:color w:val="auto"/>
        </w:rPr>
        <w:t>,</w:t>
      </w:r>
      <w:r>
        <w:rPr>
          <w:rFonts w:ascii="Arial" w:cs="Arial" w:eastAsia="Arial" w:hAnsi="Arial"/>
          <w:sz w:val="27"/>
          <w:szCs w:val="27"/>
          <w:color w:val="auto"/>
        </w:rPr>
        <w:t xml:space="preserve"> командировок</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-908685</wp:posOffset>
            </wp:positionV>
            <wp:extent cx="82550" cy="82550"/>
            <wp:wrapNone/>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53">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01" w:lineRule="auto"/>
        <w:rPr>
          <w:sz w:val="20"/>
          <w:szCs w:val="20"/>
          <w:color w:val="auto"/>
        </w:rPr>
      </w:pPr>
      <w:r>
        <w:rPr>
          <w:rFonts w:ascii="Arial" w:cs="Arial" w:eastAsia="Arial" w:hAnsi="Arial"/>
          <w:sz w:val="27"/>
          <w:szCs w:val="27"/>
          <w:color w:val="auto"/>
        </w:rPr>
        <w:t>Женщинам</w:t>
      </w:r>
      <w:r>
        <w:rPr>
          <w:rFonts w:ascii="Arial" w:cs="Arial" w:eastAsia="Arial" w:hAnsi="Arial"/>
          <w:sz w:val="27"/>
          <w:szCs w:val="27"/>
          <w:color w:val="auto"/>
        </w:rPr>
        <w:t>,</w:t>
      </w:r>
      <w:r>
        <w:rPr>
          <w:rFonts w:ascii="Arial" w:cs="Arial" w:eastAsia="Arial" w:hAnsi="Arial"/>
          <w:sz w:val="27"/>
          <w:szCs w:val="27"/>
          <w:color w:val="auto"/>
        </w:rPr>
        <w:t xml:space="preserve"> больным гипертонической болезнью</w:t>
      </w:r>
      <w:r>
        <w:rPr>
          <w:rFonts w:ascii="Arial" w:cs="Arial" w:eastAsia="Arial" w:hAnsi="Arial"/>
          <w:sz w:val="27"/>
          <w:szCs w:val="27"/>
          <w:color w:val="auto"/>
        </w:rPr>
        <w:t>,</w:t>
      </w:r>
      <w:r>
        <w:rPr>
          <w:rFonts w:ascii="Arial" w:cs="Arial" w:eastAsia="Arial" w:hAnsi="Arial"/>
          <w:sz w:val="27"/>
          <w:szCs w:val="27"/>
          <w:color w:val="auto"/>
        </w:rPr>
        <w:t xml:space="preserve"> надо отказаться от приема пероральных контрацептивов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-414020</wp:posOffset>
            </wp:positionV>
            <wp:extent cx="82550" cy="82550"/>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54">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jc w:val="both"/>
        <w:ind w:left="680" w:right="220"/>
        <w:spacing w:after="0" w:line="317" w:lineRule="auto"/>
        <w:rPr>
          <w:sz w:val="20"/>
          <w:szCs w:val="20"/>
          <w:color w:val="auto"/>
        </w:rPr>
      </w:pPr>
      <w:r>
        <w:rPr>
          <w:rFonts w:ascii="Arial" w:cs="Arial" w:eastAsia="Arial" w:hAnsi="Arial"/>
          <w:sz w:val="27"/>
          <w:szCs w:val="27"/>
          <w:color w:val="auto"/>
        </w:rPr>
        <w:t>Юношам</w:t>
      </w:r>
      <w:r>
        <w:rPr>
          <w:rFonts w:ascii="Arial" w:cs="Arial" w:eastAsia="Arial" w:hAnsi="Arial"/>
          <w:sz w:val="27"/>
          <w:szCs w:val="27"/>
          <w:color w:val="auto"/>
        </w:rPr>
        <w:t>,</w:t>
      </w:r>
      <w:r>
        <w:rPr>
          <w:rFonts w:ascii="Arial" w:cs="Arial" w:eastAsia="Arial" w:hAnsi="Arial"/>
          <w:sz w:val="27"/>
          <w:szCs w:val="27"/>
          <w:color w:val="auto"/>
        </w:rPr>
        <w:t xml:space="preserve"> занимающимся спортом</w:t>
      </w:r>
      <w:r>
        <w:rPr>
          <w:rFonts w:ascii="Arial" w:cs="Arial" w:eastAsia="Arial" w:hAnsi="Arial"/>
          <w:sz w:val="27"/>
          <w:szCs w:val="27"/>
          <w:color w:val="auto"/>
        </w:rPr>
        <w:t>,</w:t>
      </w:r>
      <w:r>
        <w:rPr>
          <w:rFonts w:ascii="Arial" w:cs="Arial" w:eastAsia="Arial" w:hAnsi="Arial"/>
          <w:sz w:val="27"/>
          <w:szCs w:val="27"/>
          <w:color w:val="auto"/>
        </w:rPr>
        <w:t xml:space="preserve"> нельзя злоупотреблять пищевыми добавками для наращивания мышечной массы и исключить прием анаболических стероидов</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5">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ectPr>
          <w:pgSz w:w="11900" w:h="16840" w:orient="portrait"/>
          <w:cols w:equalWidth="0" w:num="1">
            <w:col w:w="9020"/>
          </w:cols>
          <w:pgMar w:left="1440" w:top="19" w:right="1440" w:bottom="1440" w:gutter="0" w:footer="0" w:header="0"/>
        </w:sectPr>
      </w:pPr>
    </w:p>
    <w:bookmarkStart w:id="131" w:name="page132"/>
    <w:bookmarkEnd w:id="131"/>
    <w:p>
      <w:pPr>
        <w:ind w:left="360"/>
        <w:spacing w:after="0"/>
        <w:rPr>
          <w:sz w:val="20"/>
          <w:szCs w:val="20"/>
          <w:color w:val="auto"/>
        </w:rPr>
      </w:pPr>
      <w:r>
        <w:rPr>
          <w:rFonts w:ascii="Arial" w:cs="Arial" w:eastAsia="Arial" w:hAnsi="Arial"/>
          <w:sz w:val="48"/>
          <w:szCs w:val="48"/>
          <w:b w:val="1"/>
          <w:bCs w:val="1"/>
          <w:color w:val="auto"/>
        </w:rPr>
        <w:t>Приложение Г</w:t>
      </w:r>
      <w:r>
        <w:rPr>
          <w:rFonts w:ascii="Arial" w:cs="Arial" w:eastAsia="Arial" w:hAnsi="Arial"/>
          <w:sz w:val="48"/>
          <w:szCs w:val="48"/>
          <w:b w:val="1"/>
          <w:bCs w:val="1"/>
          <w:color w:val="auto"/>
        </w:rPr>
        <w:t>.</w:t>
      </w:r>
    </w:p>
    <w:p>
      <w:pPr>
        <w:spacing w:after="0" w:line="200" w:lineRule="exact"/>
        <w:rPr>
          <w:sz w:val="20"/>
          <w:szCs w:val="20"/>
          <w:color w:val="auto"/>
        </w:rPr>
      </w:pPr>
    </w:p>
    <w:p>
      <w:pPr>
        <w:spacing w:after="0" w:line="277"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1.</w:t>
      </w:r>
      <w:r>
        <w:rPr>
          <w:rFonts w:ascii="Arial" w:cs="Arial" w:eastAsia="Arial" w:hAnsi="Arial"/>
          <w:sz w:val="27"/>
          <w:szCs w:val="27"/>
          <w:color w:val="auto"/>
        </w:rPr>
        <w:t xml:space="preserve"> Правила измерения АД</w:t>
      </w:r>
      <w:r>
        <w:rPr>
          <w:rFonts w:ascii="Arial" w:cs="Arial" w:eastAsia="Arial" w:hAnsi="Arial"/>
          <w:sz w:val="27"/>
          <w:szCs w:val="27"/>
          <w:color w:val="auto"/>
        </w:rPr>
        <w:t>,</w:t>
      </w:r>
      <w:r>
        <w:rPr>
          <w:rFonts w:ascii="Arial" w:cs="Arial" w:eastAsia="Arial" w:hAnsi="Arial"/>
          <w:sz w:val="27"/>
          <w:szCs w:val="27"/>
          <w:color w:val="auto"/>
        </w:rPr>
        <w:t xml:space="preserve"> классификация уровней АД и основная информация</w:t>
      </w:r>
      <w:r>
        <w:rPr>
          <w:rFonts w:ascii="Arial" w:cs="Arial" w:eastAsia="Arial" w:hAnsi="Arial"/>
          <w:sz w:val="27"/>
          <w:szCs w:val="27"/>
          <w:color w:val="auto"/>
        </w:rPr>
        <w:t>,</w:t>
      </w:r>
      <w:r>
        <w:rPr>
          <w:rFonts w:ascii="Arial" w:cs="Arial" w:eastAsia="Arial" w:hAnsi="Arial"/>
          <w:sz w:val="27"/>
          <w:szCs w:val="27"/>
          <w:color w:val="auto"/>
        </w:rPr>
        <w:t xml:space="preserve"> которая должна быть получена при сборе анамнеза</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71"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w:t>
      </w:r>
      <w:r>
        <w:rPr>
          <w:rFonts w:ascii="Arial" w:cs="Arial" w:eastAsia="Arial" w:hAnsi="Arial"/>
          <w:sz w:val="27"/>
          <w:szCs w:val="27"/>
          <w:b w:val="1"/>
          <w:bCs w:val="1"/>
          <w:color w:val="auto"/>
        </w:rPr>
        <w:t>Г</w:t>
      </w:r>
      <w:r>
        <w:rPr>
          <w:rFonts w:ascii="Arial" w:cs="Arial" w:eastAsia="Arial" w:hAnsi="Arial"/>
          <w:sz w:val="27"/>
          <w:szCs w:val="27"/>
          <w:b w:val="1"/>
          <w:bCs w:val="1"/>
          <w:color w:val="auto"/>
        </w:rPr>
        <w:t>1.</w:t>
      </w:r>
      <w:r>
        <w:rPr>
          <w:rFonts w:ascii="Arial" w:cs="Arial" w:eastAsia="Arial" w:hAnsi="Arial"/>
          <w:sz w:val="27"/>
          <w:szCs w:val="27"/>
          <w:b w:val="1"/>
          <w:bCs w:val="1"/>
          <w:color w:val="auto"/>
        </w:rPr>
        <w:t xml:space="preserve"> Правила измерения АД</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Измерение артериального давления в кабинете врача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629285</wp:posOffset>
            </wp:positionV>
            <wp:extent cx="5365115" cy="6165215"/>
            <wp:wrapNone/>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6">
                      <a:extLst>
                        <a:ext uri="{28A0092B-C50C-407E-A947-70E740481C1C}"/>
                      </a:extLst>
                    </a:blip>
                    <a:srcRect/>
                    <a:stretch>
                      <a:fillRect/>
                    </a:stretch>
                  </pic:blipFill>
                  <pic:spPr bwMode="auto">
                    <a:xfrm>
                      <a:off x="0" y="0"/>
                      <a:ext cx="5365115" cy="616521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9" w:lineRule="exact"/>
        <w:rPr>
          <w:sz w:val="20"/>
          <w:szCs w:val="20"/>
          <w:color w:val="auto"/>
        </w:rPr>
      </w:pPr>
    </w:p>
    <w:p>
      <w:pPr>
        <w:jc w:val="both"/>
        <w:ind w:left="840" w:right="380"/>
        <w:spacing w:after="0" w:line="468" w:lineRule="auto"/>
        <w:rPr>
          <w:sz w:val="20"/>
          <w:szCs w:val="20"/>
          <w:color w:val="auto"/>
        </w:rPr>
      </w:pPr>
      <w:r>
        <w:rPr>
          <w:rFonts w:ascii="Verdana" w:cs="Verdana" w:eastAsia="Verdana" w:hAnsi="Verdana"/>
          <w:sz w:val="17"/>
          <w:szCs w:val="17"/>
          <w:color w:val="auto"/>
        </w:rPr>
        <w:t xml:space="preserve">Пациент должен находиться в положении сидя в спокойной комфортной обстановке в течение </w:t>
      </w:r>
      <w:r>
        <w:rPr>
          <w:rFonts w:ascii="Verdana" w:cs="Verdana" w:eastAsia="Verdana" w:hAnsi="Verdana"/>
          <w:sz w:val="17"/>
          <w:szCs w:val="17"/>
          <w:color w:val="auto"/>
        </w:rPr>
        <w:t>5</w:t>
      </w:r>
      <w:r>
        <w:rPr>
          <w:rFonts w:ascii="Verdana" w:cs="Verdana" w:eastAsia="Verdana" w:hAnsi="Verdana"/>
          <w:sz w:val="17"/>
          <w:szCs w:val="17"/>
          <w:color w:val="auto"/>
        </w:rPr>
        <w:t xml:space="preserve"> минут до начала измерения АД</w:t>
      </w:r>
    </w:p>
    <w:p>
      <w:pPr>
        <w:spacing w:after="0" w:line="290" w:lineRule="exact"/>
        <w:rPr>
          <w:sz w:val="20"/>
          <w:szCs w:val="20"/>
          <w:color w:val="auto"/>
        </w:rPr>
      </w:pPr>
    </w:p>
    <w:p>
      <w:pPr>
        <w:jc w:val="both"/>
        <w:ind w:left="840" w:right="380"/>
        <w:spacing w:after="0" w:line="458" w:lineRule="auto"/>
        <w:rPr>
          <w:sz w:val="20"/>
          <w:szCs w:val="20"/>
          <w:color w:val="auto"/>
        </w:rPr>
      </w:pPr>
      <w:r>
        <w:rPr>
          <w:rFonts w:ascii="Verdana" w:cs="Verdana" w:eastAsia="Verdana" w:hAnsi="Verdana"/>
          <w:sz w:val="17"/>
          <w:szCs w:val="17"/>
          <w:color w:val="auto"/>
        </w:rPr>
        <w:t xml:space="preserve">Следует произвести три измерения АД с интервалами в </w:t>
      </w:r>
      <w:r>
        <w:rPr>
          <w:rFonts w:ascii="Verdana" w:cs="Verdana" w:eastAsia="Verdana" w:hAnsi="Verdana"/>
          <w:sz w:val="17"/>
          <w:szCs w:val="17"/>
          <w:color w:val="auto"/>
        </w:rPr>
        <w:t>1–2</w:t>
      </w:r>
      <w:r>
        <w:rPr>
          <w:rFonts w:ascii="Verdana" w:cs="Verdana" w:eastAsia="Verdana" w:hAnsi="Verdana"/>
          <w:sz w:val="17"/>
          <w:szCs w:val="17"/>
          <w:color w:val="auto"/>
        </w:rPr>
        <w:t xml:space="preserve"> минуты</w:t>
      </w:r>
      <w:r>
        <w:rPr>
          <w:rFonts w:ascii="Verdana" w:cs="Verdana" w:eastAsia="Verdana" w:hAnsi="Verdana"/>
          <w:sz w:val="17"/>
          <w:szCs w:val="17"/>
          <w:color w:val="auto"/>
        </w:rPr>
        <w:t>,</w:t>
      </w:r>
      <w:r>
        <w:rPr>
          <w:rFonts w:ascii="Verdana" w:cs="Verdana" w:eastAsia="Verdana" w:hAnsi="Verdana"/>
          <w:sz w:val="17"/>
          <w:szCs w:val="17"/>
          <w:color w:val="auto"/>
        </w:rPr>
        <w:t xml:space="preserve"> дополнительное измерение необходимо только в том случае</w:t>
      </w:r>
      <w:r>
        <w:rPr>
          <w:rFonts w:ascii="Verdana" w:cs="Verdana" w:eastAsia="Verdana" w:hAnsi="Verdana"/>
          <w:sz w:val="17"/>
          <w:szCs w:val="17"/>
          <w:color w:val="auto"/>
        </w:rPr>
        <w:t>,</w:t>
      </w:r>
      <w:r>
        <w:rPr>
          <w:rFonts w:ascii="Verdana" w:cs="Verdana" w:eastAsia="Verdana" w:hAnsi="Verdana"/>
          <w:sz w:val="17"/>
          <w:szCs w:val="17"/>
          <w:color w:val="auto"/>
        </w:rPr>
        <w:t xml:space="preserve"> если первые два результата отличаются друг от друга на </w:t>
      </w:r>
      <w:r>
        <w:rPr>
          <w:rFonts w:ascii="Verdana" w:cs="Verdana" w:eastAsia="Verdana" w:hAnsi="Verdana"/>
          <w:sz w:val="17"/>
          <w:szCs w:val="17"/>
          <w:color w:val="auto"/>
        </w:rPr>
        <w:t>&gt;10</w:t>
      </w:r>
      <w:r>
        <w:rPr>
          <w:rFonts w:ascii="Verdana" w:cs="Verdana" w:eastAsia="Verdana" w:hAnsi="Verdana"/>
          <w:sz w:val="17"/>
          <w:szCs w:val="17"/>
          <w:color w:val="auto"/>
        </w:rPr>
        <w:t xml:space="preserve"> 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r>
        <w:rPr>
          <w:rFonts w:ascii="Verdana" w:cs="Verdana" w:eastAsia="Verdana" w:hAnsi="Verdana"/>
          <w:sz w:val="17"/>
          <w:szCs w:val="17"/>
          <w:color w:val="auto"/>
        </w:rPr>
        <w:t xml:space="preserve"> Регистрируется АД</w:t>
      </w:r>
      <w:r>
        <w:rPr>
          <w:rFonts w:ascii="Verdana" w:cs="Verdana" w:eastAsia="Verdana" w:hAnsi="Verdana"/>
          <w:sz w:val="17"/>
          <w:szCs w:val="17"/>
          <w:color w:val="auto"/>
        </w:rPr>
        <w:t>,</w:t>
      </w:r>
      <w:r>
        <w:rPr>
          <w:rFonts w:ascii="Verdana" w:cs="Verdana" w:eastAsia="Verdana" w:hAnsi="Verdana"/>
          <w:sz w:val="17"/>
          <w:szCs w:val="17"/>
          <w:color w:val="auto"/>
        </w:rPr>
        <w:t xml:space="preserve"> являющееся средним из двух последних измерений</w:t>
      </w:r>
    </w:p>
    <w:p>
      <w:pPr>
        <w:spacing w:after="0" w:line="299" w:lineRule="exact"/>
        <w:rPr>
          <w:sz w:val="20"/>
          <w:szCs w:val="20"/>
          <w:color w:val="auto"/>
        </w:rPr>
      </w:pPr>
    </w:p>
    <w:p>
      <w:pPr>
        <w:jc w:val="both"/>
        <w:ind w:left="840" w:right="380"/>
        <w:spacing w:after="0" w:line="457" w:lineRule="auto"/>
        <w:rPr>
          <w:sz w:val="20"/>
          <w:szCs w:val="20"/>
          <w:color w:val="auto"/>
        </w:rPr>
      </w:pPr>
      <w:r>
        <w:rPr>
          <w:rFonts w:ascii="Verdana" w:cs="Verdana" w:eastAsia="Verdana" w:hAnsi="Verdana"/>
          <w:sz w:val="17"/>
          <w:szCs w:val="17"/>
          <w:color w:val="auto"/>
        </w:rPr>
        <w:t>Дополнительные измерения АД могут потребоваться у пациентов с нестабильными показателями АД вследствие нарушений ритма</w:t>
      </w:r>
      <w:r>
        <w:rPr>
          <w:rFonts w:ascii="Verdana" w:cs="Verdana" w:eastAsia="Verdana" w:hAnsi="Verdana"/>
          <w:sz w:val="17"/>
          <w:szCs w:val="17"/>
          <w:color w:val="auto"/>
        </w:rPr>
        <w:t>,</w:t>
      </w:r>
      <w:r>
        <w:rPr>
          <w:rFonts w:ascii="Verdana" w:cs="Verdana" w:eastAsia="Verdana" w:hAnsi="Verdana"/>
          <w:sz w:val="17"/>
          <w:szCs w:val="17"/>
          <w:color w:val="auto"/>
        </w:rPr>
        <w:t xml:space="preserve"> 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при наличии ФП</w:t>
      </w:r>
      <w:r>
        <w:rPr>
          <w:rFonts w:ascii="Verdana" w:cs="Verdana" w:eastAsia="Verdana" w:hAnsi="Verdana"/>
          <w:sz w:val="17"/>
          <w:szCs w:val="17"/>
          <w:color w:val="auto"/>
        </w:rPr>
        <w:t>,</w:t>
      </w:r>
      <w:r>
        <w:rPr>
          <w:rFonts w:ascii="Verdana" w:cs="Verdana" w:eastAsia="Verdana" w:hAnsi="Verdana"/>
          <w:sz w:val="17"/>
          <w:szCs w:val="17"/>
          <w:color w:val="auto"/>
        </w:rPr>
        <w:t xml:space="preserve"> в этих случаях следует использовать ручной аускультативный метод измерения АД</w:t>
      </w:r>
      <w:r>
        <w:rPr>
          <w:rFonts w:ascii="Verdana" w:cs="Verdana" w:eastAsia="Verdana" w:hAnsi="Verdana"/>
          <w:sz w:val="17"/>
          <w:szCs w:val="17"/>
          <w:color w:val="auto"/>
        </w:rPr>
        <w:t>,</w:t>
      </w:r>
      <w:r>
        <w:rPr>
          <w:rFonts w:ascii="Verdana" w:cs="Verdana" w:eastAsia="Verdana" w:hAnsi="Verdana"/>
          <w:sz w:val="17"/>
          <w:szCs w:val="17"/>
          <w:color w:val="auto"/>
        </w:rPr>
        <w:t xml:space="preserve"> поскольку большинство автоматических устройств не валидированы для измерений АД у пациентов с ФП</w:t>
      </w:r>
    </w:p>
    <w:p>
      <w:pPr>
        <w:spacing w:after="0" w:line="299" w:lineRule="exact"/>
        <w:rPr>
          <w:sz w:val="20"/>
          <w:szCs w:val="20"/>
          <w:color w:val="auto"/>
        </w:rPr>
      </w:pPr>
    </w:p>
    <w:p>
      <w:pPr>
        <w:jc w:val="both"/>
        <w:ind w:left="840" w:right="380"/>
        <w:spacing w:after="0" w:line="460" w:lineRule="auto"/>
        <w:rPr>
          <w:sz w:val="20"/>
          <w:szCs w:val="20"/>
          <w:color w:val="auto"/>
        </w:rPr>
      </w:pPr>
      <w:r>
        <w:rPr>
          <w:rFonts w:ascii="Verdana" w:cs="Verdana" w:eastAsia="Verdana" w:hAnsi="Verdana"/>
          <w:sz w:val="17"/>
          <w:szCs w:val="17"/>
          <w:color w:val="auto"/>
        </w:rPr>
        <w:t xml:space="preserve">Следует использовать стандартную манжету </w:t>
      </w:r>
      <w:r>
        <w:rPr>
          <w:rFonts w:ascii="Verdana" w:cs="Verdana" w:eastAsia="Verdana" w:hAnsi="Verdana"/>
          <w:sz w:val="17"/>
          <w:szCs w:val="17"/>
          <w:color w:val="auto"/>
        </w:rPr>
        <w:t>(12–13</w:t>
      </w:r>
      <w:r>
        <w:rPr>
          <w:rFonts w:ascii="Verdana" w:cs="Verdana" w:eastAsia="Verdana" w:hAnsi="Verdana"/>
          <w:sz w:val="17"/>
          <w:szCs w:val="17"/>
          <w:color w:val="auto"/>
        </w:rPr>
        <w:t xml:space="preserve"> см шириной и </w:t>
      </w:r>
      <w:r>
        <w:rPr>
          <w:rFonts w:ascii="Verdana" w:cs="Verdana" w:eastAsia="Verdana" w:hAnsi="Verdana"/>
          <w:sz w:val="17"/>
          <w:szCs w:val="17"/>
          <w:color w:val="auto"/>
        </w:rPr>
        <w:t>35</w:t>
      </w:r>
      <w:r>
        <w:rPr>
          <w:rFonts w:ascii="Verdana" w:cs="Verdana" w:eastAsia="Verdana" w:hAnsi="Verdana"/>
          <w:sz w:val="17"/>
          <w:szCs w:val="17"/>
          <w:color w:val="auto"/>
        </w:rPr>
        <w:t xml:space="preserve"> см длиной</w:t>
      </w:r>
      <w:r>
        <w:rPr>
          <w:rFonts w:ascii="Verdana" w:cs="Verdana" w:eastAsia="Verdana" w:hAnsi="Verdana"/>
          <w:sz w:val="17"/>
          <w:szCs w:val="17"/>
          <w:color w:val="auto"/>
        </w:rPr>
        <w:t>)</w:t>
      </w:r>
      <w:r>
        <w:rPr>
          <w:rFonts w:ascii="Verdana" w:cs="Verdana" w:eastAsia="Verdana" w:hAnsi="Verdana"/>
          <w:sz w:val="17"/>
          <w:szCs w:val="17"/>
          <w:color w:val="auto"/>
        </w:rPr>
        <w:t xml:space="preserve"> для большинства пациентов</w:t>
      </w:r>
      <w:r>
        <w:rPr>
          <w:rFonts w:ascii="Verdana" w:cs="Verdana" w:eastAsia="Verdana" w:hAnsi="Verdana"/>
          <w:sz w:val="17"/>
          <w:szCs w:val="17"/>
          <w:color w:val="auto"/>
        </w:rPr>
        <w:t>,</w:t>
      </w:r>
      <w:r>
        <w:rPr>
          <w:rFonts w:ascii="Verdana" w:cs="Verdana" w:eastAsia="Verdana" w:hAnsi="Verdana"/>
          <w:sz w:val="17"/>
          <w:szCs w:val="17"/>
          <w:color w:val="auto"/>
        </w:rPr>
        <w:t xml:space="preserve"> однако необходимо иметь манжеты большего и меньшего размеров в зависимости от окружности плеча </w:t>
      </w:r>
      <w:r>
        <w:rPr>
          <w:rFonts w:ascii="Verdana" w:cs="Verdana" w:eastAsia="Verdana" w:hAnsi="Verdana"/>
          <w:sz w:val="17"/>
          <w:szCs w:val="17"/>
          <w:color w:val="auto"/>
        </w:rPr>
        <w:t>(</w:t>
      </w:r>
      <w:r>
        <w:rPr>
          <w:rFonts w:ascii="Verdana" w:cs="Verdana" w:eastAsia="Verdana" w:hAnsi="Verdana"/>
          <w:sz w:val="17"/>
          <w:szCs w:val="17"/>
          <w:color w:val="auto"/>
        </w:rPr>
        <w:t xml:space="preserve">большая </w:t>
      </w:r>
      <w:r>
        <w:rPr>
          <w:rFonts w:ascii="Verdana" w:cs="Verdana" w:eastAsia="Verdana" w:hAnsi="Verdana"/>
          <w:sz w:val="17"/>
          <w:szCs w:val="17"/>
          <w:color w:val="auto"/>
        </w:rPr>
        <w:t>( &gt;32</w:t>
      </w:r>
      <w:r>
        <w:rPr>
          <w:rFonts w:ascii="Verdana" w:cs="Verdana" w:eastAsia="Verdana" w:hAnsi="Verdana"/>
          <w:sz w:val="17"/>
          <w:szCs w:val="17"/>
          <w:color w:val="auto"/>
        </w:rPr>
        <w:t xml:space="preserve"> см</w:t>
      </w:r>
      <w:r>
        <w:rPr>
          <w:rFonts w:ascii="Verdana" w:cs="Verdana" w:eastAsia="Verdana" w:hAnsi="Verdana"/>
          <w:sz w:val="17"/>
          <w:szCs w:val="17"/>
          <w:color w:val="auto"/>
        </w:rPr>
        <w:t>)</w:t>
      </w:r>
      <w:r>
        <w:rPr>
          <w:rFonts w:ascii="Verdana" w:cs="Verdana" w:eastAsia="Verdana" w:hAnsi="Verdana"/>
          <w:sz w:val="17"/>
          <w:szCs w:val="17"/>
          <w:color w:val="auto"/>
        </w:rPr>
        <w:t xml:space="preserve"> и небольшая</w:t>
      </w:r>
      <w:r>
        <w:rPr>
          <w:rFonts w:ascii="Verdana" w:cs="Verdana" w:eastAsia="Verdana" w:hAnsi="Verdana"/>
          <w:sz w:val="17"/>
          <w:szCs w:val="17"/>
          <w:color w:val="auto"/>
        </w:rPr>
        <w:t>)</w:t>
      </w:r>
    </w:p>
    <w:p>
      <w:pPr>
        <w:spacing w:after="0" w:line="298" w:lineRule="exact"/>
        <w:rPr>
          <w:sz w:val="20"/>
          <w:szCs w:val="20"/>
          <w:color w:val="auto"/>
        </w:rPr>
      </w:pPr>
    </w:p>
    <w:p>
      <w:pPr>
        <w:jc w:val="both"/>
        <w:ind w:left="840" w:right="380"/>
        <w:spacing w:after="0" w:line="460" w:lineRule="auto"/>
        <w:rPr>
          <w:sz w:val="20"/>
          <w:szCs w:val="20"/>
          <w:color w:val="auto"/>
        </w:rPr>
      </w:pPr>
      <w:r>
        <w:rPr>
          <w:rFonts w:ascii="Verdana" w:cs="Verdana" w:eastAsia="Verdana" w:hAnsi="Verdana"/>
          <w:sz w:val="17"/>
          <w:szCs w:val="17"/>
          <w:color w:val="auto"/>
        </w:rPr>
        <w:t>Манжета должна располагаться на уровне сердца</w:t>
      </w:r>
      <w:r>
        <w:rPr>
          <w:rFonts w:ascii="Verdana" w:cs="Verdana" w:eastAsia="Verdana" w:hAnsi="Verdana"/>
          <w:sz w:val="17"/>
          <w:szCs w:val="17"/>
          <w:color w:val="auto"/>
        </w:rPr>
        <w:t>,</w:t>
      </w:r>
      <w:r>
        <w:rPr>
          <w:rFonts w:ascii="Verdana" w:cs="Verdana" w:eastAsia="Verdana" w:hAnsi="Verdana"/>
          <w:sz w:val="17"/>
          <w:szCs w:val="17"/>
          <w:color w:val="auto"/>
        </w:rPr>
        <w:t xml:space="preserve"> при этом необходимо обеспечить поддержку спины и руки пациента для избегания мышечного напряжения и изометрической физической нагрузки</w:t>
      </w:r>
      <w:r>
        <w:rPr>
          <w:rFonts w:ascii="Verdana" w:cs="Verdana" w:eastAsia="Verdana" w:hAnsi="Verdana"/>
          <w:sz w:val="17"/>
          <w:szCs w:val="17"/>
          <w:color w:val="auto"/>
        </w:rPr>
        <w:t>,</w:t>
      </w:r>
      <w:r>
        <w:rPr>
          <w:rFonts w:ascii="Verdana" w:cs="Verdana" w:eastAsia="Verdana" w:hAnsi="Verdana"/>
          <w:sz w:val="17"/>
          <w:szCs w:val="17"/>
          <w:color w:val="auto"/>
        </w:rPr>
        <w:t xml:space="preserve"> приводящей к повышению АД</w:t>
      </w:r>
    </w:p>
    <w:p>
      <w:pPr>
        <w:spacing w:after="0" w:line="298" w:lineRule="exact"/>
        <w:rPr>
          <w:sz w:val="20"/>
          <w:szCs w:val="20"/>
          <w:color w:val="auto"/>
        </w:rPr>
      </w:pPr>
    </w:p>
    <w:p>
      <w:pPr>
        <w:jc w:val="both"/>
        <w:ind w:left="840" w:right="380"/>
        <w:spacing w:after="0" w:line="460" w:lineRule="auto"/>
        <w:rPr>
          <w:sz w:val="20"/>
          <w:szCs w:val="20"/>
          <w:color w:val="auto"/>
        </w:rPr>
      </w:pPr>
      <w:r>
        <w:rPr>
          <w:rFonts w:ascii="Verdana" w:cs="Verdana" w:eastAsia="Verdana" w:hAnsi="Verdana"/>
          <w:sz w:val="17"/>
          <w:szCs w:val="17"/>
          <w:color w:val="auto"/>
        </w:rPr>
        <w:t xml:space="preserve">При использовании аускультативного метода следует использовать фазы </w:t>
      </w:r>
      <w:r>
        <w:rPr>
          <w:rFonts w:ascii="Verdana" w:cs="Verdana" w:eastAsia="Verdana" w:hAnsi="Verdana"/>
          <w:sz w:val="17"/>
          <w:szCs w:val="17"/>
          <w:color w:val="auto"/>
        </w:rPr>
        <w:t>I</w:t>
      </w:r>
      <w:r>
        <w:rPr>
          <w:rFonts w:ascii="Verdana" w:cs="Verdana" w:eastAsia="Verdana" w:hAnsi="Verdana"/>
          <w:sz w:val="17"/>
          <w:szCs w:val="17"/>
          <w:color w:val="auto"/>
        </w:rPr>
        <w:t xml:space="preserve"> и </w:t>
      </w:r>
      <w:r>
        <w:rPr>
          <w:rFonts w:ascii="Verdana" w:cs="Verdana" w:eastAsia="Verdana" w:hAnsi="Verdana"/>
          <w:sz w:val="17"/>
          <w:szCs w:val="17"/>
          <w:color w:val="auto"/>
        </w:rPr>
        <w:t>V</w:t>
      </w:r>
      <w:r>
        <w:rPr>
          <w:rFonts w:ascii="Verdana" w:cs="Verdana" w:eastAsia="Verdana" w:hAnsi="Verdana"/>
          <w:sz w:val="17"/>
          <w:szCs w:val="17"/>
          <w:color w:val="auto"/>
        </w:rPr>
        <w:t xml:space="preserve"> </w:t>
      </w:r>
      <w:r>
        <w:rPr>
          <w:rFonts w:ascii="Verdana" w:cs="Verdana" w:eastAsia="Verdana" w:hAnsi="Verdana"/>
          <w:sz w:val="17"/>
          <w:szCs w:val="17"/>
          <w:color w:val="auto"/>
        </w:rPr>
        <w:t>(</w:t>
      </w:r>
      <w:r>
        <w:rPr>
          <w:rFonts w:ascii="Verdana" w:cs="Verdana" w:eastAsia="Verdana" w:hAnsi="Verdana"/>
          <w:sz w:val="17"/>
          <w:szCs w:val="17"/>
          <w:color w:val="auto"/>
        </w:rPr>
        <w:t>внезапное уменьшение</w:t>
      </w:r>
      <w:r>
        <w:rPr>
          <w:rFonts w:ascii="Verdana" w:cs="Verdana" w:eastAsia="Verdana" w:hAnsi="Verdana"/>
          <w:sz w:val="17"/>
          <w:szCs w:val="17"/>
          <w:color w:val="auto"/>
        </w:rPr>
        <w:t>/</w:t>
      </w:r>
      <w:r>
        <w:rPr>
          <w:rFonts w:ascii="Verdana" w:cs="Verdana" w:eastAsia="Verdana" w:hAnsi="Verdana"/>
          <w:sz w:val="17"/>
          <w:szCs w:val="17"/>
          <w:color w:val="auto"/>
        </w:rPr>
        <w:t>исчезновение</w:t>
      </w:r>
      <w:r>
        <w:rPr>
          <w:rFonts w:ascii="Verdana" w:cs="Verdana" w:eastAsia="Verdana" w:hAnsi="Verdana"/>
          <w:sz w:val="17"/>
          <w:szCs w:val="17"/>
          <w:color w:val="auto"/>
        </w:rPr>
        <w:t xml:space="preserve">) </w:t>
      </w:r>
      <w:r>
        <w:rPr>
          <w:rFonts w:ascii="Verdana" w:cs="Verdana" w:eastAsia="Verdana" w:hAnsi="Verdana"/>
          <w:sz w:val="17"/>
          <w:szCs w:val="17"/>
          <w:color w:val="auto"/>
        </w:rPr>
        <w:t>тонов Короткова для определения САД и ДАД</w:t>
      </w:r>
      <w:r>
        <w:rPr>
          <w:rFonts w:ascii="Verdana" w:cs="Verdana" w:eastAsia="Verdana" w:hAnsi="Verdana"/>
          <w:sz w:val="17"/>
          <w:szCs w:val="17"/>
          <w:color w:val="auto"/>
        </w:rPr>
        <w:t xml:space="preserve"> </w:t>
      </w:r>
      <w:r>
        <w:rPr>
          <w:rFonts w:ascii="Verdana" w:cs="Verdana" w:eastAsia="Verdana" w:hAnsi="Verdana"/>
          <w:sz w:val="17"/>
          <w:szCs w:val="17"/>
          <w:color w:val="auto"/>
        </w:rPr>
        <w:t>соответственно</w:t>
      </w:r>
    </w:p>
    <w:p>
      <w:pPr>
        <w:spacing w:after="0" w:line="20" w:lineRule="exact"/>
        <w:rPr>
          <w:sz w:val="20"/>
          <w:szCs w:val="20"/>
          <w:color w:val="auto"/>
        </w:rPr>
      </w:pPr>
    </w:p>
    <w:p>
      <w:pPr>
        <w:sectPr>
          <w:pgSz w:w="11900" w:h="16840" w:orient="portrait"/>
          <w:cols w:equalWidth="0" w:num="1">
            <w:col w:w="9020"/>
          </w:cols>
          <w:pgMar w:left="1440" w:top="671" w:right="1440" w:bottom="208" w:gutter="0" w:footer="0" w:header="0"/>
        </w:sectPr>
      </w:pPr>
    </w:p>
    <w:bookmarkStart w:id="132" w:name="page133"/>
    <w:bookmarkEnd w:id="132"/>
    <w:p>
      <w:pPr>
        <w:jc w:val="both"/>
        <w:ind w:left="840" w:right="380"/>
        <w:spacing w:after="0" w:line="460" w:lineRule="auto"/>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3335020"/>
            <wp:wrapNone/>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7">
                      <a:extLst>
                        <a:ext uri="{28A0092B-C50C-407E-A947-70E740481C1C}"/>
                      </a:extLst>
                    </a:blip>
                    <a:srcRect/>
                    <a:stretch>
                      <a:fillRect/>
                    </a:stretch>
                  </pic:blipFill>
                  <pic:spPr bwMode="auto">
                    <a:xfrm>
                      <a:off x="0" y="0"/>
                      <a:ext cx="5365115" cy="3335020"/>
                    </a:xfrm>
                    <a:prstGeom prst="rect">
                      <a:avLst/>
                    </a:prstGeom>
                    <a:noFill/>
                  </pic:spPr>
                </pic:pic>
              </a:graphicData>
            </a:graphic>
          </wp:anchor>
        </w:drawing>
        <w:t>При первом посещении необходимо измерять АД на обеих руках для выявления разницы</w:t>
      </w:r>
      <w:r>
        <w:rPr>
          <w:rFonts w:ascii="Verdana" w:cs="Verdana" w:eastAsia="Verdana" w:hAnsi="Verdana"/>
          <w:sz w:val="17"/>
          <w:szCs w:val="17"/>
          <w:color w:val="auto"/>
        </w:rPr>
        <w:t>.</w:t>
      </w:r>
      <w:r>
        <w:rPr>
          <w:rFonts w:ascii="Verdana" w:cs="Verdana" w:eastAsia="Verdana" w:hAnsi="Verdana"/>
          <w:sz w:val="17"/>
          <w:szCs w:val="17"/>
          <w:color w:val="auto"/>
        </w:rPr>
        <w:t xml:space="preserve"> В дальнейшем следует измерять АД на той руке</w:t>
      </w:r>
      <w:r>
        <w:rPr>
          <w:rFonts w:ascii="Verdana" w:cs="Verdana" w:eastAsia="Verdana" w:hAnsi="Verdana"/>
          <w:sz w:val="17"/>
          <w:szCs w:val="17"/>
          <w:color w:val="auto"/>
        </w:rPr>
        <w:t>,</w:t>
      </w:r>
      <w:r>
        <w:rPr>
          <w:rFonts w:ascii="Verdana" w:cs="Verdana" w:eastAsia="Verdana" w:hAnsi="Verdana"/>
          <w:sz w:val="17"/>
          <w:szCs w:val="17"/>
          <w:color w:val="auto"/>
        </w:rPr>
        <w:t xml:space="preserve"> на которой определяются более высокие значения</w:t>
      </w:r>
    </w:p>
    <w:p>
      <w:pPr>
        <w:spacing w:after="0" w:line="298" w:lineRule="exact"/>
        <w:rPr>
          <w:sz w:val="20"/>
          <w:szCs w:val="20"/>
          <w:color w:val="auto"/>
        </w:rPr>
      </w:pPr>
    </w:p>
    <w:p>
      <w:pPr>
        <w:jc w:val="both"/>
        <w:ind w:left="840" w:right="380"/>
        <w:spacing w:after="0" w:line="513" w:lineRule="auto"/>
        <w:rPr>
          <w:sz w:val="20"/>
          <w:szCs w:val="20"/>
          <w:color w:val="auto"/>
        </w:rPr>
      </w:pPr>
      <w:r>
        <w:rPr>
          <w:rFonts w:ascii="Verdana" w:cs="Verdana" w:eastAsia="Verdana" w:hAnsi="Verdana"/>
          <w:sz w:val="15"/>
          <w:szCs w:val="15"/>
          <w:color w:val="auto"/>
        </w:rPr>
        <w:t xml:space="preserve">Необходимо измерять АД на </w:t>
      </w:r>
      <w:r>
        <w:rPr>
          <w:rFonts w:ascii="Verdana" w:cs="Verdana" w:eastAsia="Verdana" w:hAnsi="Verdana"/>
          <w:sz w:val="15"/>
          <w:szCs w:val="15"/>
          <w:color w:val="auto"/>
        </w:rPr>
        <w:t>1-</w:t>
      </w:r>
      <w:r>
        <w:rPr>
          <w:rFonts w:ascii="Verdana" w:cs="Verdana" w:eastAsia="Verdana" w:hAnsi="Verdana"/>
          <w:sz w:val="15"/>
          <w:szCs w:val="15"/>
          <w:color w:val="auto"/>
        </w:rPr>
        <w:t xml:space="preserve">й и </w:t>
      </w:r>
      <w:r>
        <w:rPr>
          <w:rFonts w:ascii="Verdana" w:cs="Verdana" w:eastAsia="Verdana" w:hAnsi="Verdana"/>
          <w:sz w:val="15"/>
          <w:szCs w:val="15"/>
          <w:color w:val="auto"/>
        </w:rPr>
        <w:t>3-</w:t>
      </w:r>
      <w:r>
        <w:rPr>
          <w:rFonts w:ascii="Verdana" w:cs="Verdana" w:eastAsia="Verdana" w:hAnsi="Verdana"/>
          <w:sz w:val="15"/>
          <w:szCs w:val="15"/>
          <w:color w:val="auto"/>
        </w:rPr>
        <w:t>й минуте после перехода в вертикальное положение из положения сидя всем пациентам при первом посещении для исключения ортостатической гипотензии</w:t>
      </w:r>
      <w:r>
        <w:rPr>
          <w:rFonts w:ascii="Verdana" w:cs="Verdana" w:eastAsia="Verdana" w:hAnsi="Verdana"/>
          <w:sz w:val="15"/>
          <w:szCs w:val="15"/>
          <w:color w:val="auto"/>
        </w:rPr>
        <w:t>.</w:t>
      </w:r>
      <w:r>
        <w:rPr>
          <w:rFonts w:ascii="Verdana" w:cs="Verdana" w:eastAsia="Verdana" w:hAnsi="Verdana"/>
          <w:sz w:val="15"/>
          <w:szCs w:val="15"/>
          <w:color w:val="auto"/>
        </w:rPr>
        <w:t xml:space="preserve"> Во время последующих посещений врача может быть целесообразным измерение АД в положениях лежа и стоя пожилым больным</w:t>
      </w:r>
      <w:r>
        <w:rPr>
          <w:rFonts w:ascii="Verdana" w:cs="Verdana" w:eastAsia="Verdana" w:hAnsi="Verdana"/>
          <w:sz w:val="15"/>
          <w:szCs w:val="15"/>
          <w:color w:val="auto"/>
        </w:rPr>
        <w:t>,</w:t>
      </w:r>
      <w:r>
        <w:rPr>
          <w:rFonts w:ascii="Verdana" w:cs="Verdana" w:eastAsia="Verdana" w:hAnsi="Verdana"/>
          <w:sz w:val="15"/>
          <w:szCs w:val="15"/>
          <w:color w:val="auto"/>
        </w:rPr>
        <w:t xml:space="preserve"> пациентам</w:t>
      </w:r>
    </w:p>
    <w:p>
      <w:pPr>
        <w:spacing w:after="0" w:line="2" w:lineRule="exact"/>
        <w:rPr>
          <w:sz w:val="20"/>
          <w:szCs w:val="20"/>
          <w:color w:val="auto"/>
        </w:rPr>
      </w:pPr>
    </w:p>
    <w:p>
      <w:pPr>
        <w:ind w:left="840" w:right="380" w:firstLine="1"/>
        <w:spacing w:after="0" w:line="468" w:lineRule="auto"/>
        <w:tabs>
          <w:tab w:leader="none" w:pos="1055" w:val="left"/>
        </w:tabs>
        <w:numPr>
          <w:ilvl w:val="0"/>
          <w:numId w:val="101"/>
        </w:numPr>
        <w:rPr>
          <w:rFonts w:ascii="Verdana" w:cs="Verdana" w:eastAsia="Verdana" w:hAnsi="Verdana"/>
          <w:sz w:val="17"/>
          <w:szCs w:val="17"/>
          <w:color w:val="auto"/>
        </w:rPr>
      </w:pPr>
      <w:r>
        <w:rPr>
          <w:rFonts w:ascii="Verdana" w:cs="Verdana" w:eastAsia="Verdana" w:hAnsi="Verdana"/>
          <w:sz w:val="17"/>
          <w:szCs w:val="17"/>
          <w:color w:val="auto"/>
        </w:rPr>
        <w:t>диабетом и пациентам</w:t>
      </w:r>
      <w:r>
        <w:rPr>
          <w:rFonts w:ascii="Verdana" w:cs="Verdana" w:eastAsia="Verdana" w:hAnsi="Verdana"/>
          <w:sz w:val="17"/>
          <w:szCs w:val="17"/>
          <w:color w:val="auto"/>
        </w:rPr>
        <w:t>,</w:t>
      </w:r>
      <w:r>
        <w:rPr>
          <w:rFonts w:ascii="Verdana" w:cs="Verdana" w:eastAsia="Verdana" w:hAnsi="Verdana"/>
          <w:sz w:val="17"/>
          <w:szCs w:val="17"/>
          <w:color w:val="auto"/>
        </w:rPr>
        <w:t xml:space="preserve"> имеющим другие причины для развития ортостатической гипотензии</w:t>
      </w:r>
    </w:p>
    <w:p>
      <w:pPr>
        <w:spacing w:after="0" w:line="290" w:lineRule="exact"/>
        <w:rPr>
          <w:sz w:val="20"/>
          <w:szCs w:val="20"/>
          <w:color w:val="auto"/>
        </w:rPr>
      </w:pPr>
    </w:p>
    <w:p>
      <w:pPr>
        <w:ind w:left="840" w:right="380"/>
        <w:spacing w:after="0" w:line="468" w:lineRule="auto"/>
        <w:rPr>
          <w:sz w:val="20"/>
          <w:szCs w:val="20"/>
          <w:color w:val="auto"/>
        </w:rPr>
      </w:pPr>
      <w:r>
        <w:rPr>
          <w:rFonts w:ascii="Verdana" w:cs="Verdana" w:eastAsia="Verdana" w:hAnsi="Verdana"/>
          <w:sz w:val="17"/>
          <w:szCs w:val="17"/>
          <w:color w:val="auto"/>
        </w:rPr>
        <w:t>Необходимо зарегистрировать частоту сердечных сокращений и оценить пульс с целью исключения нарушений ритма</w:t>
      </w:r>
    </w:p>
    <w:p>
      <w:pPr>
        <w:spacing w:after="0" w:line="76" w:lineRule="exact"/>
        <w:rPr>
          <w:sz w:val="20"/>
          <w:szCs w:val="20"/>
          <w:color w:val="auto"/>
        </w:rPr>
      </w:pPr>
    </w:p>
    <w:p>
      <w:pPr>
        <w:jc w:val="both"/>
        <w:ind w:left="360" w:right="220"/>
        <w:spacing w:after="0" w:line="356" w:lineRule="auto"/>
        <w:rPr>
          <w:sz w:val="20"/>
          <w:szCs w:val="20"/>
          <w:color w:val="auto"/>
        </w:rPr>
      </w:pPr>
      <w:r>
        <w:rPr>
          <w:rFonts w:ascii="Arial" w:cs="Arial" w:eastAsia="Arial" w:hAnsi="Arial"/>
          <w:sz w:val="26"/>
          <w:szCs w:val="26"/>
          <w:color w:val="auto"/>
        </w:rPr>
        <w:t xml:space="preserve">АД </w:t>
      </w:r>
      <w:r>
        <w:rPr>
          <w:rFonts w:ascii="Arial" w:cs="Arial" w:eastAsia="Arial" w:hAnsi="Arial"/>
          <w:sz w:val="26"/>
          <w:szCs w:val="26"/>
          <w:color w:val="auto"/>
        </w:rPr>
        <w:t>—</w:t>
      </w:r>
      <w:r>
        <w:rPr>
          <w:rFonts w:ascii="Arial" w:cs="Arial" w:eastAsia="Arial" w:hAnsi="Arial"/>
          <w:sz w:val="26"/>
          <w:szCs w:val="26"/>
          <w:color w:val="auto"/>
        </w:rPr>
        <w:t xml:space="preserve"> артериальное давление</w:t>
      </w:r>
      <w:r>
        <w:rPr>
          <w:rFonts w:ascii="Arial" w:cs="Arial" w:eastAsia="Arial" w:hAnsi="Arial"/>
          <w:sz w:val="26"/>
          <w:szCs w:val="26"/>
          <w:color w:val="auto"/>
        </w:rPr>
        <w:t>,</w:t>
      </w:r>
      <w:r>
        <w:rPr>
          <w:rFonts w:ascii="Arial" w:cs="Arial" w:eastAsia="Arial" w:hAnsi="Arial"/>
          <w:sz w:val="26"/>
          <w:szCs w:val="26"/>
          <w:color w:val="auto"/>
        </w:rPr>
        <w:t xml:space="preserve"> САД </w:t>
      </w:r>
      <w:r>
        <w:rPr>
          <w:rFonts w:ascii="Arial" w:cs="Arial" w:eastAsia="Arial" w:hAnsi="Arial"/>
          <w:sz w:val="26"/>
          <w:szCs w:val="26"/>
          <w:color w:val="auto"/>
        </w:rPr>
        <w:t>—</w:t>
      </w:r>
      <w:r>
        <w:rPr>
          <w:rFonts w:ascii="Arial" w:cs="Arial" w:eastAsia="Arial" w:hAnsi="Arial"/>
          <w:sz w:val="26"/>
          <w:szCs w:val="26"/>
          <w:color w:val="auto"/>
        </w:rPr>
        <w:t xml:space="preserve"> систолическое артериальное давление</w:t>
      </w:r>
      <w:r>
        <w:rPr>
          <w:rFonts w:ascii="Arial" w:cs="Arial" w:eastAsia="Arial" w:hAnsi="Arial"/>
          <w:sz w:val="26"/>
          <w:szCs w:val="26"/>
          <w:color w:val="auto"/>
        </w:rPr>
        <w:t>;</w:t>
      </w:r>
      <w:r>
        <w:rPr>
          <w:rFonts w:ascii="Arial" w:cs="Arial" w:eastAsia="Arial" w:hAnsi="Arial"/>
          <w:sz w:val="26"/>
          <w:szCs w:val="26"/>
          <w:color w:val="auto"/>
        </w:rPr>
        <w:t xml:space="preserve"> ДАД </w:t>
      </w:r>
      <w:r>
        <w:rPr>
          <w:rFonts w:ascii="Arial" w:cs="Arial" w:eastAsia="Arial" w:hAnsi="Arial"/>
          <w:sz w:val="26"/>
          <w:szCs w:val="26"/>
          <w:color w:val="auto"/>
        </w:rPr>
        <w:t>—</w:t>
      </w:r>
      <w:r>
        <w:rPr>
          <w:rFonts w:ascii="Arial" w:cs="Arial" w:eastAsia="Arial" w:hAnsi="Arial"/>
          <w:sz w:val="26"/>
          <w:szCs w:val="26"/>
          <w:color w:val="auto"/>
        </w:rPr>
        <w:t xml:space="preserve"> диастолическое артериальное давление</w:t>
      </w:r>
      <w:r>
        <w:rPr>
          <w:rFonts w:ascii="Arial" w:cs="Arial" w:eastAsia="Arial" w:hAnsi="Arial"/>
          <w:sz w:val="26"/>
          <w:szCs w:val="26"/>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24"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u w:val="single" w:color="auto"/>
          <w:color w:val="auto"/>
        </w:rPr>
        <w:t>Таблица П</w:t>
      </w:r>
      <w:r>
        <w:rPr>
          <w:rFonts w:ascii="Arial" w:cs="Arial" w:eastAsia="Arial" w:hAnsi="Arial"/>
          <w:sz w:val="27"/>
          <w:szCs w:val="27"/>
          <w:b w:val="1"/>
          <w:bCs w:val="1"/>
          <w:u w:val="single" w:color="auto"/>
          <w:color w:val="auto"/>
        </w:rPr>
        <w:t>2/</w:t>
      </w:r>
      <w:r>
        <w:rPr>
          <w:rFonts w:ascii="Arial" w:cs="Arial" w:eastAsia="Arial" w:hAnsi="Arial"/>
          <w:sz w:val="27"/>
          <w:szCs w:val="27"/>
          <w:b w:val="1"/>
          <w:bCs w:val="1"/>
          <w:u w:val="single" w:color="auto"/>
          <w:color w:val="auto"/>
        </w:rPr>
        <w:t>Г</w:t>
      </w:r>
      <w:r>
        <w:rPr>
          <w:rFonts w:ascii="Arial" w:cs="Arial" w:eastAsia="Arial" w:hAnsi="Arial"/>
          <w:sz w:val="27"/>
          <w:szCs w:val="27"/>
          <w:b w:val="1"/>
          <w:bCs w:val="1"/>
          <w:u w:val="single" w:color="auto"/>
          <w:color w:val="auto"/>
        </w:rPr>
        <w:t>1.</w:t>
      </w:r>
      <w:r>
        <w:rPr>
          <w:rFonts w:ascii="Arial" w:cs="Arial" w:eastAsia="Arial" w:hAnsi="Arial"/>
          <w:sz w:val="27"/>
          <w:szCs w:val="27"/>
          <w:b w:val="1"/>
          <w:bCs w:val="1"/>
          <w:u w:val="single" w:color="auto"/>
          <w:color w:val="auto"/>
        </w:rPr>
        <w:t xml:space="preserve"> Классификация АД</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измеренного в медицинском учреждении</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и определение степеней гипертензии</w:t>
      </w:r>
    </w:p>
    <w:p>
      <w:pPr>
        <w:spacing w:after="0" w:line="163"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172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color w:val="auto"/>
              </w:rPr>
              <w:t>Категория</w:t>
            </w:r>
          </w:p>
        </w:tc>
        <w:tc>
          <w:tcPr>
            <w:tcW w:w="1640" w:type="dxa"/>
            <w:vAlign w:val="bottom"/>
            <w:tcBorders>
              <w:top w:val="single" w:sz="8" w:color="auto"/>
              <w:right w:val="single" w:sz="8" w:color="auto"/>
            </w:tcBorders>
          </w:tcPr>
          <w:p>
            <w:pPr>
              <w:spacing w:after="0"/>
              <w:rPr>
                <w:sz w:val="24"/>
                <w:szCs w:val="24"/>
                <w:color w:val="auto"/>
              </w:rPr>
            </w:pPr>
          </w:p>
        </w:tc>
        <w:tc>
          <w:tcPr>
            <w:tcW w:w="2000" w:type="dxa"/>
            <w:vAlign w:val="bottom"/>
            <w:tcBorders>
              <w:top w:val="single" w:sz="8" w:color="auto"/>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 xml:space="preserve">САД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tc>
        <w:tc>
          <w:tcPr>
            <w:tcW w:w="1240" w:type="dxa"/>
            <w:vAlign w:val="bottom"/>
            <w:tcBorders>
              <w:top w:val="single" w:sz="8" w:color="auto"/>
              <w:right w:val="single" w:sz="8" w:color="auto"/>
            </w:tcBorders>
          </w:tcPr>
          <w:p>
            <w:pPr>
              <w:spacing w:after="0"/>
              <w:rPr>
                <w:sz w:val="24"/>
                <w:szCs w:val="24"/>
                <w:color w:val="auto"/>
              </w:rPr>
            </w:pPr>
          </w:p>
        </w:tc>
        <w:tc>
          <w:tcPr>
            <w:tcW w:w="140" w:type="dxa"/>
            <w:vAlign w:val="bottom"/>
            <w:tcBorders>
              <w:top w:val="single" w:sz="8" w:color="auto"/>
            </w:tcBorders>
          </w:tcPr>
          <w:p>
            <w:pPr>
              <w:spacing w:after="0"/>
              <w:rPr>
                <w:sz w:val="24"/>
                <w:szCs w:val="24"/>
                <w:color w:val="auto"/>
              </w:rPr>
            </w:pPr>
          </w:p>
        </w:tc>
        <w:tc>
          <w:tcPr>
            <w:tcW w:w="1720" w:type="dxa"/>
            <w:vAlign w:val="bottom"/>
            <w:tcBorders>
              <w:top w:val="single" w:sz="8" w:color="auto"/>
              <w:right w:val="single" w:sz="8" w:color="auto"/>
            </w:tcBorders>
            <w:gridSpan w:val="2"/>
          </w:tcPr>
          <w:p>
            <w:pPr>
              <w:spacing w:after="0"/>
              <w:rPr>
                <w:sz w:val="20"/>
                <w:szCs w:val="20"/>
                <w:color w:val="auto"/>
              </w:rPr>
            </w:pPr>
            <w:r>
              <w:rPr>
                <w:rFonts w:ascii="Verdana" w:cs="Verdana" w:eastAsia="Verdana" w:hAnsi="Verdana"/>
                <w:sz w:val="17"/>
                <w:szCs w:val="17"/>
                <w:color w:val="auto"/>
              </w:rPr>
              <w:t xml:space="preserve">ДАД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tc>
      </w:tr>
      <w:tr>
        <w:trPr>
          <w:trHeight w:val="117"/>
        </w:trPr>
        <w:tc>
          <w:tcPr>
            <w:tcW w:w="1720" w:type="dxa"/>
            <w:vAlign w:val="bottom"/>
            <w:tcBorders>
              <w:left w:val="single" w:sz="8" w:color="auto"/>
              <w:bottom w:val="single" w:sz="8" w:color="auto"/>
            </w:tcBorders>
          </w:tcPr>
          <w:p>
            <w:pPr>
              <w:spacing w:after="0"/>
              <w:rPr>
                <w:sz w:val="10"/>
                <w:szCs w:val="10"/>
                <w:color w:val="auto"/>
              </w:rPr>
            </w:pPr>
          </w:p>
        </w:tc>
        <w:tc>
          <w:tcPr>
            <w:tcW w:w="16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43"/>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Оптимальное</w:t>
            </w:r>
          </w:p>
        </w:tc>
        <w:tc>
          <w:tcPr>
            <w:tcW w:w="1640" w:type="dxa"/>
            <w:vAlign w:val="bottom"/>
            <w:tcBorders>
              <w:right w:val="single" w:sz="8" w:color="auto"/>
            </w:tcBorders>
          </w:tcPr>
          <w:p>
            <w:pPr>
              <w:spacing w:after="0"/>
              <w:rPr>
                <w:sz w:val="24"/>
                <w:szCs w:val="24"/>
                <w:color w:val="auto"/>
              </w:rPr>
            </w:pP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&lt;120</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p>
        </w:tc>
        <w:tc>
          <w:tcPr>
            <w:tcW w:w="186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&lt;80</w:t>
            </w:r>
          </w:p>
        </w:tc>
      </w:tr>
      <w:tr>
        <w:trPr>
          <w:trHeight w:val="117"/>
        </w:trPr>
        <w:tc>
          <w:tcPr>
            <w:tcW w:w="1720" w:type="dxa"/>
            <w:vAlign w:val="bottom"/>
            <w:tcBorders>
              <w:left w:val="single" w:sz="8" w:color="auto"/>
              <w:bottom w:val="single" w:sz="8" w:color="auto"/>
            </w:tcBorders>
          </w:tcPr>
          <w:p>
            <w:pPr>
              <w:spacing w:after="0"/>
              <w:rPr>
                <w:sz w:val="10"/>
                <w:szCs w:val="10"/>
                <w:color w:val="auto"/>
              </w:rPr>
            </w:pPr>
          </w:p>
        </w:tc>
        <w:tc>
          <w:tcPr>
            <w:tcW w:w="16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43"/>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Нормальное</w:t>
            </w:r>
          </w:p>
        </w:tc>
        <w:tc>
          <w:tcPr>
            <w:tcW w:w="1640" w:type="dxa"/>
            <w:vAlign w:val="bottom"/>
            <w:tcBorders>
              <w:right w:val="single" w:sz="8" w:color="auto"/>
            </w:tcBorders>
          </w:tcPr>
          <w:p>
            <w:pPr>
              <w:spacing w:after="0"/>
              <w:rPr>
                <w:sz w:val="24"/>
                <w:szCs w:val="24"/>
                <w:color w:val="auto"/>
              </w:rPr>
            </w:pP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120–129</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40" w:type="dxa"/>
            <w:vAlign w:val="bottom"/>
          </w:tcPr>
          <w:p>
            <w:pPr>
              <w:spacing w:after="0"/>
              <w:rPr>
                <w:sz w:val="24"/>
                <w:szCs w:val="24"/>
                <w:color w:val="auto"/>
              </w:rPr>
            </w:pPr>
          </w:p>
        </w:tc>
        <w:tc>
          <w:tcPr>
            <w:tcW w:w="1720" w:type="dxa"/>
            <w:vAlign w:val="bottom"/>
            <w:tcBorders>
              <w:right w:val="single" w:sz="8" w:color="auto"/>
            </w:tcBorders>
            <w:gridSpan w:val="2"/>
          </w:tcPr>
          <w:p>
            <w:pPr>
              <w:spacing w:after="0"/>
              <w:rPr>
                <w:sz w:val="20"/>
                <w:szCs w:val="20"/>
                <w:color w:val="auto"/>
              </w:rPr>
            </w:pPr>
            <w:r>
              <w:rPr>
                <w:rFonts w:ascii="Verdana" w:cs="Verdana" w:eastAsia="Verdana" w:hAnsi="Verdana"/>
                <w:sz w:val="17"/>
                <w:szCs w:val="17"/>
                <w:color w:val="auto"/>
              </w:rPr>
              <w:t>80–84</w:t>
            </w:r>
          </w:p>
        </w:tc>
      </w:tr>
      <w:tr>
        <w:trPr>
          <w:trHeight w:val="117"/>
        </w:trPr>
        <w:tc>
          <w:tcPr>
            <w:tcW w:w="3360" w:type="dxa"/>
            <w:vAlign w:val="bottom"/>
            <w:tcBorders>
              <w:left w:val="single" w:sz="8" w:color="auto"/>
              <w:bottom w:val="single" w:sz="8" w:color="auto"/>
              <w:right w:val="single" w:sz="8" w:color="auto"/>
            </w:tcBorders>
            <w:gridSpan w:val="2"/>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43"/>
        </w:trPr>
        <w:tc>
          <w:tcPr>
            <w:tcW w:w="336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Высокое нормальное</w:t>
            </w: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130–139</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40" w:type="dxa"/>
            <w:vAlign w:val="bottom"/>
          </w:tcPr>
          <w:p>
            <w:pPr>
              <w:spacing w:after="0"/>
              <w:rPr>
                <w:sz w:val="24"/>
                <w:szCs w:val="24"/>
                <w:color w:val="auto"/>
              </w:rPr>
            </w:pPr>
          </w:p>
        </w:tc>
        <w:tc>
          <w:tcPr>
            <w:tcW w:w="1720" w:type="dxa"/>
            <w:vAlign w:val="bottom"/>
            <w:tcBorders>
              <w:right w:val="single" w:sz="8" w:color="auto"/>
            </w:tcBorders>
            <w:gridSpan w:val="2"/>
          </w:tcPr>
          <w:p>
            <w:pPr>
              <w:spacing w:after="0"/>
              <w:rPr>
                <w:sz w:val="20"/>
                <w:szCs w:val="20"/>
                <w:color w:val="auto"/>
              </w:rPr>
            </w:pPr>
            <w:r>
              <w:rPr>
                <w:rFonts w:ascii="Verdana" w:cs="Verdana" w:eastAsia="Verdana" w:hAnsi="Verdana"/>
                <w:sz w:val="17"/>
                <w:szCs w:val="17"/>
                <w:color w:val="auto"/>
              </w:rPr>
              <w:t>85–89</w:t>
            </w:r>
          </w:p>
        </w:tc>
      </w:tr>
      <w:tr>
        <w:trPr>
          <w:trHeight w:val="117"/>
        </w:trPr>
        <w:tc>
          <w:tcPr>
            <w:tcW w:w="1720" w:type="dxa"/>
            <w:vAlign w:val="bottom"/>
            <w:tcBorders>
              <w:left w:val="single" w:sz="8" w:color="auto"/>
              <w:bottom w:val="single" w:sz="8" w:color="auto"/>
            </w:tcBorders>
          </w:tcPr>
          <w:p>
            <w:pPr>
              <w:spacing w:after="0"/>
              <w:rPr>
                <w:sz w:val="10"/>
                <w:szCs w:val="10"/>
                <w:color w:val="auto"/>
              </w:rPr>
            </w:pPr>
          </w:p>
        </w:tc>
        <w:tc>
          <w:tcPr>
            <w:tcW w:w="16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43"/>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 xml:space="preserve">АГ </w:t>
            </w:r>
            <w:r>
              <w:rPr>
                <w:rFonts w:ascii="Verdana" w:cs="Verdana" w:eastAsia="Verdana" w:hAnsi="Verdana"/>
                <w:sz w:val="17"/>
                <w:szCs w:val="17"/>
                <w:color w:val="auto"/>
              </w:rPr>
              <w:t>1-</w:t>
            </w:r>
            <w:r>
              <w:rPr>
                <w:rFonts w:ascii="Verdana" w:cs="Verdana" w:eastAsia="Verdana" w:hAnsi="Verdana"/>
                <w:sz w:val="17"/>
                <w:szCs w:val="17"/>
                <w:color w:val="auto"/>
              </w:rPr>
              <w:t>й степени</w:t>
            </w:r>
          </w:p>
        </w:tc>
        <w:tc>
          <w:tcPr>
            <w:tcW w:w="1640" w:type="dxa"/>
            <w:vAlign w:val="bottom"/>
            <w:tcBorders>
              <w:right w:val="single" w:sz="8" w:color="auto"/>
            </w:tcBorders>
          </w:tcPr>
          <w:p>
            <w:pPr>
              <w:spacing w:after="0"/>
              <w:rPr>
                <w:sz w:val="24"/>
                <w:szCs w:val="24"/>
                <w:color w:val="auto"/>
              </w:rPr>
            </w:pP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140–159</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40" w:type="dxa"/>
            <w:vAlign w:val="bottom"/>
          </w:tcPr>
          <w:p>
            <w:pPr>
              <w:spacing w:after="0"/>
              <w:rPr>
                <w:sz w:val="24"/>
                <w:szCs w:val="24"/>
                <w:color w:val="auto"/>
              </w:rPr>
            </w:pPr>
          </w:p>
        </w:tc>
        <w:tc>
          <w:tcPr>
            <w:tcW w:w="1720" w:type="dxa"/>
            <w:vAlign w:val="bottom"/>
            <w:tcBorders>
              <w:right w:val="single" w:sz="8" w:color="auto"/>
            </w:tcBorders>
            <w:gridSpan w:val="2"/>
          </w:tcPr>
          <w:p>
            <w:pPr>
              <w:spacing w:after="0"/>
              <w:rPr>
                <w:sz w:val="20"/>
                <w:szCs w:val="20"/>
                <w:color w:val="auto"/>
              </w:rPr>
            </w:pPr>
            <w:r>
              <w:rPr>
                <w:rFonts w:ascii="Verdana" w:cs="Verdana" w:eastAsia="Verdana" w:hAnsi="Verdana"/>
                <w:sz w:val="17"/>
                <w:szCs w:val="17"/>
                <w:color w:val="auto"/>
              </w:rPr>
              <w:t>90–99</w:t>
            </w:r>
          </w:p>
        </w:tc>
      </w:tr>
      <w:tr>
        <w:trPr>
          <w:trHeight w:val="117"/>
        </w:trPr>
        <w:tc>
          <w:tcPr>
            <w:tcW w:w="1720" w:type="dxa"/>
            <w:vAlign w:val="bottom"/>
            <w:tcBorders>
              <w:left w:val="single" w:sz="8" w:color="auto"/>
              <w:bottom w:val="single" w:sz="8" w:color="auto"/>
            </w:tcBorders>
          </w:tcPr>
          <w:p>
            <w:pPr>
              <w:spacing w:after="0"/>
              <w:rPr>
                <w:sz w:val="10"/>
                <w:szCs w:val="10"/>
                <w:color w:val="auto"/>
              </w:rPr>
            </w:pPr>
          </w:p>
        </w:tc>
        <w:tc>
          <w:tcPr>
            <w:tcW w:w="16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43"/>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 xml:space="preserve">АГ </w:t>
            </w:r>
            <w:r>
              <w:rPr>
                <w:rFonts w:ascii="Verdana" w:cs="Verdana" w:eastAsia="Verdana" w:hAnsi="Verdana"/>
                <w:sz w:val="17"/>
                <w:szCs w:val="17"/>
                <w:color w:val="auto"/>
              </w:rPr>
              <w:t>2-</w:t>
            </w:r>
            <w:r>
              <w:rPr>
                <w:rFonts w:ascii="Verdana" w:cs="Verdana" w:eastAsia="Verdana" w:hAnsi="Verdana"/>
                <w:sz w:val="17"/>
                <w:szCs w:val="17"/>
                <w:color w:val="auto"/>
              </w:rPr>
              <w:t>й степени</w:t>
            </w:r>
          </w:p>
        </w:tc>
        <w:tc>
          <w:tcPr>
            <w:tcW w:w="1640" w:type="dxa"/>
            <w:vAlign w:val="bottom"/>
            <w:tcBorders>
              <w:right w:val="single" w:sz="8" w:color="auto"/>
            </w:tcBorders>
          </w:tcPr>
          <w:p>
            <w:pPr>
              <w:spacing w:after="0"/>
              <w:rPr>
                <w:sz w:val="24"/>
                <w:szCs w:val="24"/>
                <w:color w:val="auto"/>
              </w:rPr>
            </w:pP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160–179</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40" w:type="dxa"/>
            <w:vAlign w:val="bottom"/>
          </w:tcPr>
          <w:p>
            <w:pPr>
              <w:spacing w:after="0"/>
              <w:rPr>
                <w:sz w:val="24"/>
                <w:szCs w:val="24"/>
                <w:color w:val="auto"/>
              </w:rPr>
            </w:pPr>
          </w:p>
        </w:tc>
        <w:tc>
          <w:tcPr>
            <w:tcW w:w="1720" w:type="dxa"/>
            <w:vAlign w:val="bottom"/>
            <w:tcBorders>
              <w:right w:val="single" w:sz="8" w:color="auto"/>
            </w:tcBorders>
            <w:gridSpan w:val="2"/>
          </w:tcPr>
          <w:p>
            <w:pPr>
              <w:spacing w:after="0"/>
              <w:rPr>
                <w:sz w:val="20"/>
                <w:szCs w:val="20"/>
                <w:color w:val="auto"/>
              </w:rPr>
            </w:pPr>
            <w:r>
              <w:rPr>
                <w:rFonts w:ascii="Verdana" w:cs="Verdana" w:eastAsia="Verdana" w:hAnsi="Verdana"/>
                <w:sz w:val="17"/>
                <w:szCs w:val="17"/>
                <w:color w:val="auto"/>
              </w:rPr>
              <w:t>100–109</w:t>
            </w:r>
          </w:p>
        </w:tc>
      </w:tr>
      <w:tr>
        <w:trPr>
          <w:trHeight w:val="117"/>
        </w:trPr>
        <w:tc>
          <w:tcPr>
            <w:tcW w:w="1720" w:type="dxa"/>
            <w:vAlign w:val="bottom"/>
            <w:tcBorders>
              <w:left w:val="single" w:sz="8" w:color="auto"/>
              <w:bottom w:val="single" w:sz="8" w:color="auto"/>
            </w:tcBorders>
          </w:tcPr>
          <w:p>
            <w:pPr>
              <w:spacing w:after="0"/>
              <w:rPr>
                <w:sz w:val="10"/>
                <w:szCs w:val="10"/>
                <w:color w:val="auto"/>
              </w:rPr>
            </w:pPr>
          </w:p>
        </w:tc>
        <w:tc>
          <w:tcPr>
            <w:tcW w:w="16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720" w:type="dxa"/>
            <w:vAlign w:val="bottom"/>
            <w:tcBorders>
              <w:bottom w:val="single" w:sz="8" w:color="auto"/>
              <w:right w:val="single" w:sz="8" w:color="auto"/>
            </w:tcBorders>
          </w:tcPr>
          <w:p>
            <w:pPr>
              <w:spacing w:after="0"/>
              <w:rPr>
                <w:sz w:val="10"/>
                <w:szCs w:val="10"/>
                <w:color w:val="auto"/>
              </w:rPr>
            </w:pPr>
          </w:p>
        </w:tc>
        <w:tc>
          <w:tcPr>
            <w:tcW w:w="1240" w:type="dxa"/>
            <w:vAlign w:val="bottom"/>
            <w:tcBorders>
              <w:bottom w:val="single" w:sz="8" w:color="auto"/>
              <w:right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40" w:type="dxa"/>
            <w:vAlign w:val="bottom"/>
            <w:tcBorders>
              <w:bottom w:val="single" w:sz="8" w:color="auto"/>
            </w:tcBorders>
          </w:tcPr>
          <w:p>
            <w:pPr>
              <w:spacing w:after="0"/>
              <w:rPr>
                <w:sz w:val="10"/>
                <w:szCs w:val="10"/>
                <w:color w:val="auto"/>
              </w:rPr>
            </w:pPr>
          </w:p>
        </w:tc>
        <w:tc>
          <w:tcPr>
            <w:tcW w:w="1580" w:type="dxa"/>
            <w:vAlign w:val="bottom"/>
            <w:tcBorders>
              <w:bottom w:val="single" w:sz="8" w:color="auto"/>
              <w:right w:val="single" w:sz="8" w:color="auto"/>
            </w:tcBorders>
          </w:tcPr>
          <w:p>
            <w:pPr>
              <w:spacing w:after="0"/>
              <w:rPr>
                <w:sz w:val="10"/>
                <w:szCs w:val="10"/>
                <w:color w:val="auto"/>
              </w:rPr>
            </w:pPr>
          </w:p>
        </w:tc>
      </w:tr>
      <w:tr>
        <w:trPr>
          <w:trHeight w:val="310"/>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 xml:space="preserve">АГ </w:t>
            </w:r>
            <w:r>
              <w:rPr>
                <w:rFonts w:ascii="Verdana" w:cs="Verdana" w:eastAsia="Verdana" w:hAnsi="Verdana"/>
                <w:sz w:val="17"/>
                <w:szCs w:val="17"/>
                <w:color w:val="auto"/>
              </w:rPr>
              <w:t>3-</w:t>
            </w:r>
            <w:r>
              <w:rPr>
                <w:rFonts w:ascii="Verdana" w:cs="Verdana" w:eastAsia="Verdana" w:hAnsi="Verdana"/>
                <w:sz w:val="17"/>
                <w:szCs w:val="17"/>
                <w:color w:val="auto"/>
              </w:rPr>
              <w:t>й степени</w:t>
            </w:r>
          </w:p>
        </w:tc>
        <w:tc>
          <w:tcPr>
            <w:tcW w:w="1640" w:type="dxa"/>
            <w:vAlign w:val="bottom"/>
            <w:tcBorders>
              <w:right w:val="single" w:sz="8" w:color="auto"/>
            </w:tcBorders>
          </w:tcPr>
          <w:p>
            <w:pPr>
              <w:spacing w:after="0"/>
              <w:rPr>
                <w:sz w:val="24"/>
                <w:szCs w:val="24"/>
                <w:color w:val="auto"/>
              </w:rPr>
            </w:pP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&gt;180</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&gt;110</w:t>
            </w:r>
          </w:p>
        </w:tc>
      </w:tr>
      <w:tr>
        <w:trPr>
          <w:trHeight w:val="130"/>
        </w:trPr>
        <w:tc>
          <w:tcPr>
            <w:tcW w:w="1720" w:type="dxa"/>
            <w:vAlign w:val="bottom"/>
            <w:tcBorders>
              <w:left w:val="single" w:sz="8" w:color="auto"/>
              <w:bottom w:val="single" w:sz="8" w:color="auto"/>
            </w:tcBorders>
          </w:tcPr>
          <w:p>
            <w:pPr>
              <w:spacing w:after="0"/>
              <w:rPr>
                <w:sz w:val="11"/>
                <w:szCs w:val="11"/>
                <w:color w:val="auto"/>
              </w:rPr>
            </w:pPr>
          </w:p>
        </w:tc>
        <w:tc>
          <w:tcPr>
            <w:tcW w:w="1640" w:type="dxa"/>
            <w:vAlign w:val="bottom"/>
            <w:tcBorders>
              <w:bottom w:val="single" w:sz="8" w:color="auto"/>
              <w:right w:val="single" w:sz="8" w:color="auto"/>
            </w:tcBorders>
          </w:tcPr>
          <w:p>
            <w:pPr>
              <w:spacing w:after="0"/>
              <w:rPr>
                <w:sz w:val="11"/>
                <w:szCs w:val="11"/>
                <w:color w:val="auto"/>
              </w:rPr>
            </w:pPr>
          </w:p>
        </w:tc>
        <w:tc>
          <w:tcPr>
            <w:tcW w:w="140" w:type="dxa"/>
            <w:vAlign w:val="bottom"/>
            <w:tcBorders>
              <w:bottom w:val="single" w:sz="8" w:color="auto"/>
            </w:tcBorders>
          </w:tcPr>
          <w:p>
            <w:pPr>
              <w:spacing w:after="0"/>
              <w:rPr>
                <w:sz w:val="11"/>
                <w:szCs w:val="11"/>
                <w:color w:val="auto"/>
              </w:rPr>
            </w:pPr>
          </w:p>
        </w:tc>
        <w:tc>
          <w:tcPr>
            <w:tcW w:w="140" w:type="dxa"/>
            <w:vAlign w:val="bottom"/>
            <w:tcBorders>
              <w:top w:val="single" w:sz="8" w:color="auto"/>
              <w:bottom w:val="single" w:sz="8" w:color="auto"/>
            </w:tcBorders>
          </w:tcPr>
          <w:p>
            <w:pPr>
              <w:spacing w:after="0"/>
              <w:rPr>
                <w:sz w:val="11"/>
                <w:szCs w:val="11"/>
                <w:color w:val="auto"/>
              </w:rPr>
            </w:pPr>
          </w:p>
        </w:tc>
        <w:tc>
          <w:tcPr>
            <w:tcW w:w="1720" w:type="dxa"/>
            <w:vAlign w:val="bottom"/>
            <w:tcBorders>
              <w:bottom w:val="single" w:sz="8" w:color="auto"/>
              <w:right w:val="single" w:sz="8" w:color="auto"/>
            </w:tcBorders>
          </w:tcPr>
          <w:p>
            <w:pPr>
              <w:spacing w:after="0"/>
              <w:rPr>
                <w:sz w:val="11"/>
                <w:szCs w:val="11"/>
                <w:color w:val="auto"/>
              </w:rPr>
            </w:pPr>
          </w:p>
        </w:tc>
        <w:tc>
          <w:tcPr>
            <w:tcW w:w="1240" w:type="dxa"/>
            <w:vAlign w:val="bottom"/>
            <w:tcBorders>
              <w:bottom w:val="single" w:sz="8" w:color="auto"/>
              <w:right w:val="single" w:sz="8" w:color="auto"/>
            </w:tcBorders>
          </w:tcPr>
          <w:p>
            <w:pPr>
              <w:spacing w:after="0"/>
              <w:rPr>
                <w:sz w:val="11"/>
                <w:szCs w:val="11"/>
                <w:color w:val="auto"/>
              </w:rPr>
            </w:pPr>
          </w:p>
        </w:tc>
        <w:tc>
          <w:tcPr>
            <w:tcW w:w="140" w:type="dxa"/>
            <w:vAlign w:val="bottom"/>
            <w:tcBorders>
              <w:bottom w:val="single" w:sz="8" w:color="auto"/>
            </w:tcBorders>
          </w:tcPr>
          <w:p>
            <w:pPr>
              <w:spacing w:after="0"/>
              <w:rPr>
                <w:sz w:val="11"/>
                <w:szCs w:val="11"/>
                <w:color w:val="auto"/>
              </w:rPr>
            </w:pPr>
          </w:p>
        </w:tc>
        <w:tc>
          <w:tcPr>
            <w:tcW w:w="140" w:type="dxa"/>
            <w:vAlign w:val="bottom"/>
            <w:tcBorders>
              <w:top w:val="single" w:sz="8" w:color="auto"/>
              <w:bottom w:val="single" w:sz="8" w:color="auto"/>
            </w:tcBorders>
          </w:tcPr>
          <w:p>
            <w:pPr>
              <w:spacing w:after="0"/>
              <w:rPr>
                <w:sz w:val="11"/>
                <w:szCs w:val="11"/>
                <w:color w:val="auto"/>
              </w:rPr>
            </w:pPr>
          </w:p>
        </w:tc>
        <w:tc>
          <w:tcPr>
            <w:tcW w:w="1580" w:type="dxa"/>
            <w:vAlign w:val="bottom"/>
            <w:tcBorders>
              <w:bottom w:val="single" w:sz="8" w:color="auto"/>
              <w:right w:val="single" w:sz="8" w:color="auto"/>
            </w:tcBorders>
          </w:tcPr>
          <w:p>
            <w:pPr>
              <w:spacing w:after="0"/>
              <w:rPr>
                <w:sz w:val="11"/>
                <w:szCs w:val="11"/>
                <w:color w:val="auto"/>
              </w:rPr>
            </w:pPr>
          </w:p>
        </w:tc>
      </w:tr>
      <w:tr>
        <w:trPr>
          <w:trHeight w:val="305"/>
        </w:trPr>
        <w:tc>
          <w:tcPr>
            <w:tcW w:w="17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Изолированная</w:t>
            </w:r>
          </w:p>
        </w:tc>
        <w:tc>
          <w:tcPr>
            <w:tcW w:w="1640" w:type="dxa"/>
            <w:vAlign w:val="bottom"/>
            <w:tcBorders>
              <w:right w:val="single" w:sz="8" w:color="auto"/>
            </w:tcBorders>
          </w:tcPr>
          <w:p>
            <w:pPr>
              <w:ind w:left="200"/>
              <w:spacing w:after="0"/>
              <w:rPr>
                <w:sz w:val="20"/>
                <w:szCs w:val="20"/>
                <w:color w:val="auto"/>
              </w:rPr>
            </w:pPr>
            <w:r>
              <w:rPr>
                <w:rFonts w:ascii="Verdana" w:cs="Verdana" w:eastAsia="Verdana" w:hAnsi="Verdana"/>
                <w:sz w:val="17"/>
                <w:szCs w:val="17"/>
                <w:color w:val="auto"/>
              </w:rPr>
              <w:t>систолическая</w:t>
            </w:r>
          </w:p>
        </w:tc>
        <w:tc>
          <w:tcPr>
            <w:tcW w:w="20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&gt;140</w:t>
            </w:r>
          </w:p>
        </w:tc>
        <w:tc>
          <w:tcPr>
            <w:tcW w:w="12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p>
        </w:tc>
        <w:tc>
          <w:tcPr>
            <w:tcW w:w="186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&lt;90</w:t>
            </w:r>
          </w:p>
        </w:tc>
      </w:tr>
      <w:tr>
        <w:trPr>
          <w:trHeight w:val="190"/>
        </w:trPr>
        <w:tc>
          <w:tcPr>
            <w:tcW w:w="1720" w:type="dxa"/>
            <w:vAlign w:val="bottom"/>
            <w:tcBorders>
              <w:left w:val="single" w:sz="8" w:color="auto"/>
            </w:tcBorders>
          </w:tcPr>
          <w:p>
            <w:pPr>
              <w:ind w:left="160"/>
              <w:spacing w:after="0" w:line="190" w:lineRule="exact"/>
              <w:rPr>
                <w:sz w:val="20"/>
                <w:szCs w:val="20"/>
                <w:color w:val="auto"/>
              </w:rPr>
            </w:pPr>
            <w:r>
              <w:rPr>
                <w:rFonts w:ascii="Verdana" w:cs="Verdana" w:eastAsia="Verdana" w:hAnsi="Verdana"/>
                <w:sz w:val="17"/>
                <w:szCs w:val="17"/>
                <w:color w:val="auto"/>
              </w:rPr>
              <w:t>гипертензия</w:t>
            </w:r>
          </w:p>
        </w:tc>
        <w:tc>
          <w:tcPr>
            <w:tcW w:w="1640" w:type="dxa"/>
            <w:vAlign w:val="bottom"/>
            <w:tcBorders>
              <w:right w:val="single" w:sz="8" w:color="auto"/>
            </w:tcBorders>
          </w:tcPr>
          <w:p>
            <w:pPr>
              <w:spacing w:after="0"/>
              <w:rPr>
                <w:sz w:val="16"/>
                <w:szCs w:val="16"/>
                <w:color w:val="auto"/>
              </w:rPr>
            </w:pPr>
          </w:p>
        </w:tc>
        <w:tc>
          <w:tcPr>
            <w:tcW w:w="140" w:type="dxa"/>
            <w:vAlign w:val="bottom"/>
          </w:tcPr>
          <w:p>
            <w:pPr>
              <w:spacing w:after="0"/>
              <w:rPr>
                <w:sz w:val="16"/>
                <w:szCs w:val="16"/>
                <w:color w:val="auto"/>
              </w:rPr>
            </w:pPr>
          </w:p>
        </w:tc>
        <w:tc>
          <w:tcPr>
            <w:tcW w:w="140" w:type="dxa"/>
            <w:vAlign w:val="bottom"/>
            <w:tcBorders>
              <w:top w:val="single" w:sz="8" w:color="auto"/>
            </w:tcBorders>
          </w:tcPr>
          <w:p>
            <w:pPr>
              <w:spacing w:after="0"/>
              <w:rPr>
                <w:sz w:val="16"/>
                <w:szCs w:val="16"/>
                <w:color w:val="auto"/>
              </w:rPr>
            </w:pPr>
          </w:p>
        </w:tc>
        <w:tc>
          <w:tcPr>
            <w:tcW w:w="1720" w:type="dxa"/>
            <w:vAlign w:val="bottom"/>
            <w:tcBorders>
              <w:right w:val="single" w:sz="8" w:color="auto"/>
            </w:tcBorders>
          </w:tcPr>
          <w:p>
            <w:pPr>
              <w:spacing w:after="0"/>
              <w:rPr>
                <w:sz w:val="16"/>
                <w:szCs w:val="16"/>
                <w:color w:val="auto"/>
              </w:rPr>
            </w:pPr>
          </w:p>
        </w:tc>
        <w:tc>
          <w:tcPr>
            <w:tcW w:w="1240" w:type="dxa"/>
            <w:vAlign w:val="bottom"/>
            <w:tcBorders>
              <w:right w:val="single" w:sz="8" w:color="auto"/>
            </w:tcBorders>
          </w:tcPr>
          <w:p>
            <w:pPr>
              <w:spacing w:after="0"/>
              <w:rPr>
                <w:sz w:val="16"/>
                <w:szCs w:val="16"/>
                <w:color w:val="auto"/>
              </w:rPr>
            </w:pPr>
          </w:p>
        </w:tc>
        <w:tc>
          <w:tcPr>
            <w:tcW w:w="140" w:type="dxa"/>
            <w:vAlign w:val="bottom"/>
          </w:tcPr>
          <w:p>
            <w:pPr>
              <w:spacing w:after="0"/>
              <w:rPr>
                <w:sz w:val="16"/>
                <w:szCs w:val="16"/>
                <w:color w:val="auto"/>
              </w:rPr>
            </w:pPr>
          </w:p>
        </w:tc>
        <w:tc>
          <w:tcPr>
            <w:tcW w:w="140" w:type="dxa"/>
            <w:vAlign w:val="bottom"/>
          </w:tcPr>
          <w:p>
            <w:pPr>
              <w:spacing w:after="0"/>
              <w:rPr>
                <w:sz w:val="16"/>
                <w:szCs w:val="16"/>
                <w:color w:val="auto"/>
              </w:rPr>
            </w:pPr>
          </w:p>
        </w:tc>
        <w:tc>
          <w:tcPr>
            <w:tcW w:w="1580" w:type="dxa"/>
            <w:vAlign w:val="bottom"/>
            <w:tcBorders>
              <w:right w:val="single" w:sz="8" w:color="auto"/>
            </w:tcBorders>
          </w:tcPr>
          <w:p>
            <w:pPr>
              <w:spacing w:after="0"/>
              <w:rPr>
                <w:sz w:val="16"/>
                <w:szCs w:val="16"/>
                <w:color w:val="auto"/>
              </w:rPr>
            </w:pPr>
          </w:p>
        </w:tc>
      </w:tr>
      <w:tr>
        <w:trPr>
          <w:trHeight w:val="110"/>
        </w:trPr>
        <w:tc>
          <w:tcPr>
            <w:tcW w:w="1720" w:type="dxa"/>
            <w:vAlign w:val="bottom"/>
            <w:tcBorders>
              <w:left w:val="single" w:sz="8" w:color="auto"/>
              <w:bottom w:val="single" w:sz="8" w:color="auto"/>
            </w:tcBorders>
          </w:tcPr>
          <w:p>
            <w:pPr>
              <w:spacing w:after="0"/>
              <w:rPr>
                <w:sz w:val="9"/>
                <w:szCs w:val="9"/>
                <w:color w:val="auto"/>
              </w:rPr>
            </w:pPr>
          </w:p>
        </w:tc>
        <w:tc>
          <w:tcPr>
            <w:tcW w:w="1640" w:type="dxa"/>
            <w:vAlign w:val="bottom"/>
            <w:tcBorders>
              <w:bottom w:val="single" w:sz="8" w:color="auto"/>
              <w:right w:val="single" w:sz="8" w:color="auto"/>
            </w:tcBorders>
          </w:tcPr>
          <w:p>
            <w:pPr>
              <w:spacing w:after="0"/>
              <w:rPr>
                <w:sz w:val="9"/>
                <w:szCs w:val="9"/>
                <w:color w:val="auto"/>
              </w:rPr>
            </w:pPr>
          </w:p>
        </w:tc>
        <w:tc>
          <w:tcPr>
            <w:tcW w:w="140" w:type="dxa"/>
            <w:vAlign w:val="bottom"/>
            <w:tcBorders>
              <w:bottom w:val="single" w:sz="8" w:color="auto"/>
            </w:tcBorders>
          </w:tcPr>
          <w:p>
            <w:pPr>
              <w:spacing w:after="0"/>
              <w:rPr>
                <w:sz w:val="9"/>
                <w:szCs w:val="9"/>
                <w:color w:val="auto"/>
              </w:rPr>
            </w:pPr>
          </w:p>
        </w:tc>
        <w:tc>
          <w:tcPr>
            <w:tcW w:w="140" w:type="dxa"/>
            <w:vAlign w:val="bottom"/>
            <w:tcBorders>
              <w:bottom w:val="single" w:sz="8" w:color="auto"/>
            </w:tcBorders>
          </w:tcPr>
          <w:p>
            <w:pPr>
              <w:spacing w:after="0"/>
              <w:rPr>
                <w:sz w:val="9"/>
                <w:szCs w:val="9"/>
                <w:color w:val="auto"/>
              </w:rPr>
            </w:pPr>
          </w:p>
        </w:tc>
        <w:tc>
          <w:tcPr>
            <w:tcW w:w="1720" w:type="dxa"/>
            <w:vAlign w:val="bottom"/>
            <w:tcBorders>
              <w:bottom w:val="single" w:sz="8" w:color="auto"/>
              <w:right w:val="single" w:sz="8" w:color="auto"/>
            </w:tcBorders>
          </w:tcPr>
          <w:p>
            <w:pPr>
              <w:spacing w:after="0"/>
              <w:rPr>
                <w:sz w:val="9"/>
                <w:szCs w:val="9"/>
                <w:color w:val="auto"/>
              </w:rPr>
            </w:pPr>
          </w:p>
        </w:tc>
        <w:tc>
          <w:tcPr>
            <w:tcW w:w="1240" w:type="dxa"/>
            <w:vAlign w:val="bottom"/>
            <w:tcBorders>
              <w:bottom w:val="single" w:sz="8" w:color="auto"/>
              <w:right w:val="single" w:sz="8" w:color="auto"/>
            </w:tcBorders>
          </w:tcPr>
          <w:p>
            <w:pPr>
              <w:spacing w:after="0"/>
              <w:rPr>
                <w:sz w:val="9"/>
                <w:szCs w:val="9"/>
                <w:color w:val="auto"/>
              </w:rPr>
            </w:pPr>
          </w:p>
        </w:tc>
        <w:tc>
          <w:tcPr>
            <w:tcW w:w="140" w:type="dxa"/>
            <w:vAlign w:val="bottom"/>
            <w:tcBorders>
              <w:bottom w:val="single" w:sz="8" w:color="auto"/>
            </w:tcBorders>
          </w:tcPr>
          <w:p>
            <w:pPr>
              <w:spacing w:after="0"/>
              <w:rPr>
                <w:sz w:val="9"/>
                <w:szCs w:val="9"/>
                <w:color w:val="auto"/>
              </w:rPr>
            </w:pPr>
          </w:p>
        </w:tc>
        <w:tc>
          <w:tcPr>
            <w:tcW w:w="140" w:type="dxa"/>
            <w:vAlign w:val="bottom"/>
            <w:tcBorders>
              <w:bottom w:val="single" w:sz="8" w:color="auto"/>
            </w:tcBorders>
          </w:tcPr>
          <w:p>
            <w:pPr>
              <w:spacing w:after="0"/>
              <w:rPr>
                <w:sz w:val="9"/>
                <w:szCs w:val="9"/>
                <w:color w:val="auto"/>
              </w:rPr>
            </w:pPr>
          </w:p>
        </w:tc>
        <w:tc>
          <w:tcPr>
            <w:tcW w:w="1580" w:type="dxa"/>
            <w:vAlign w:val="bottom"/>
            <w:tcBorders>
              <w:bottom w:val="single" w:sz="8" w:color="auto"/>
              <w:right w:val="single" w:sz="8" w:color="auto"/>
            </w:tcBorders>
          </w:tcPr>
          <w:p>
            <w:pPr>
              <w:spacing w:after="0"/>
              <w:rPr>
                <w:sz w:val="9"/>
                <w:szCs w:val="9"/>
                <w:color w:val="auto"/>
              </w:rPr>
            </w:pPr>
          </w:p>
        </w:tc>
      </w:tr>
    </w:tbl>
    <w:p>
      <w:pPr>
        <w:spacing w:after="0" w:line="19"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САД </w:t>
      </w:r>
      <w:r>
        <w:rPr>
          <w:rFonts w:ascii="Arial" w:cs="Arial" w:eastAsia="Arial" w:hAnsi="Arial"/>
          <w:sz w:val="27"/>
          <w:szCs w:val="27"/>
          <w:color w:val="auto"/>
        </w:rPr>
        <w:t>—</w:t>
      </w:r>
      <w:r>
        <w:rPr>
          <w:rFonts w:ascii="Arial" w:cs="Arial" w:eastAsia="Arial" w:hAnsi="Arial"/>
          <w:sz w:val="27"/>
          <w:szCs w:val="27"/>
          <w:color w:val="auto"/>
        </w:rPr>
        <w:t xml:space="preserve"> систолическое артериальное давление</w:t>
      </w:r>
      <w:r>
        <w:rPr>
          <w:rFonts w:ascii="Arial" w:cs="Arial" w:eastAsia="Arial" w:hAnsi="Arial"/>
          <w:sz w:val="27"/>
          <w:szCs w:val="27"/>
          <w:color w:val="auto"/>
        </w:rPr>
        <w:t>;</w:t>
      </w:r>
      <w:r>
        <w:rPr>
          <w:rFonts w:ascii="Arial" w:cs="Arial" w:eastAsia="Arial" w:hAnsi="Arial"/>
          <w:sz w:val="27"/>
          <w:szCs w:val="27"/>
          <w:color w:val="auto"/>
        </w:rPr>
        <w:t xml:space="preserve"> ДАД </w:t>
      </w:r>
      <w:r>
        <w:rPr>
          <w:rFonts w:ascii="Arial" w:cs="Arial" w:eastAsia="Arial" w:hAnsi="Arial"/>
          <w:sz w:val="27"/>
          <w:szCs w:val="27"/>
          <w:color w:val="auto"/>
        </w:rPr>
        <w:t>—</w:t>
      </w:r>
      <w:r>
        <w:rPr>
          <w:rFonts w:ascii="Arial" w:cs="Arial" w:eastAsia="Arial" w:hAnsi="Arial"/>
          <w:sz w:val="27"/>
          <w:szCs w:val="27"/>
          <w:color w:val="auto"/>
        </w:rPr>
        <w:t xml:space="preserve"> диастолическое артериальное давление</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47"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u w:val="single" w:color="auto"/>
          <w:color w:val="auto"/>
        </w:rPr>
        <w:t>Таблица П</w:t>
      </w:r>
      <w:r>
        <w:rPr>
          <w:rFonts w:ascii="Arial" w:cs="Arial" w:eastAsia="Arial" w:hAnsi="Arial"/>
          <w:sz w:val="27"/>
          <w:szCs w:val="27"/>
          <w:b w:val="1"/>
          <w:bCs w:val="1"/>
          <w:u w:val="single" w:color="auto"/>
          <w:color w:val="auto"/>
        </w:rPr>
        <w:t>3/</w:t>
      </w:r>
      <w:r>
        <w:rPr>
          <w:rFonts w:ascii="Arial" w:cs="Arial" w:eastAsia="Arial" w:hAnsi="Arial"/>
          <w:sz w:val="27"/>
          <w:szCs w:val="27"/>
          <w:b w:val="1"/>
          <w:bCs w:val="1"/>
          <w:u w:val="single" w:color="auto"/>
          <w:color w:val="auto"/>
        </w:rPr>
        <w:t>Г</w:t>
      </w:r>
      <w:r>
        <w:rPr>
          <w:rFonts w:ascii="Arial" w:cs="Arial" w:eastAsia="Arial" w:hAnsi="Arial"/>
          <w:sz w:val="27"/>
          <w:szCs w:val="27"/>
          <w:b w:val="1"/>
          <w:bCs w:val="1"/>
          <w:u w:val="single" w:color="auto"/>
          <w:color w:val="auto"/>
        </w:rPr>
        <w:t>1.</w:t>
      </w:r>
      <w:r>
        <w:rPr>
          <w:rFonts w:ascii="Arial" w:cs="Arial" w:eastAsia="Arial" w:hAnsi="Arial"/>
          <w:sz w:val="27"/>
          <w:szCs w:val="27"/>
          <w:b w:val="1"/>
          <w:bCs w:val="1"/>
          <w:u w:val="single" w:color="auto"/>
          <w:color w:val="auto"/>
        </w:rPr>
        <w:t xml:space="preserve"> Основная информация</w:t>
      </w:r>
      <w:r>
        <w:rPr>
          <w:rFonts w:ascii="Arial" w:cs="Arial" w:eastAsia="Arial" w:hAnsi="Arial"/>
          <w:sz w:val="27"/>
          <w:szCs w:val="27"/>
          <w:b w:val="1"/>
          <w:bCs w:val="1"/>
          <w:u w:val="single" w:color="auto"/>
          <w:color w:val="auto"/>
        </w:rPr>
        <w:t>,</w:t>
      </w:r>
      <w:r>
        <w:rPr>
          <w:rFonts w:ascii="Arial" w:cs="Arial" w:eastAsia="Arial" w:hAnsi="Arial"/>
          <w:sz w:val="27"/>
          <w:szCs w:val="27"/>
          <w:b w:val="1"/>
          <w:bCs w:val="1"/>
          <w:u w:val="single" w:color="auto"/>
          <w:color w:val="auto"/>
        </w:rPr>
        <w:t xml:space="preserve"> которая должна быть получена при сборе анамнеза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72390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8">
                      <a:extLst>
                        <a:ext uri="{28A0092B-C50C-407E-A947-70E740481C1C}"/>
                      </a:extLst>
                    </a:blip>
                    <a:srcRect/>
                    <a:stretch>
                      <a:fillRect/>
                    </a:stretch>
                  </pic:blipFill>
                  <pic:spPr bwMode="auto">
                    <a:xfrm>
                      <a:off x="0" y="0"/>
                      <a:ext cx="5365115" cy="723900"/>
                    </a:xfrm>
                    <a:prstGeom prst="rect">
                      <a:avLst/>
                    </a:prstGeom>
                    <a:noFill/>
                  </pic:spPr>
                </pic:pic>
              </a:graphicData>
            </a:graphic>
          </wp:anchor>
        </w:drawing>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Факторы риска</w:t>
      </w:r>
    </w:p>
    <w:p>
      <w:pPr>
        <w:spacing w:after="0" w:line="278"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Семейный и индивидуальный анамнез артериальной гипертензии</w:t>
      </w:r>
      <w:r>
        <w:rPr>
          <w:rFonts w:ascii="Verdana" w:cs="Verdana" w:eastAsia="Verdana" w:hAnsi="Verdana"/>
          <w:sz w:val="17"/>
          <w:szCs w:val="17"/>
          <w:color w:val="auto"/>
        </w:rPr>
        <w:t>,</w:t>
      </w:r>
      <w:r>
        <w:rPr>
          <w:rFonts w:ascii="Verdana" w:cs="Verdana" w:eastAsia="Verdana" w:hAnsi="Verdana"/>
          <w:sz w:val="17"/>
          <w:szCs w:val="17"/>
          <w:color w:val="auto"/>
        </w:rPr>
        <w:t xml:space="preserve"> ССЗ</w:t>
      </w:r>
      <w:r>
        <w:rPr>
          <w:rFonts w:ascii="Verdana" w:cs="Verdana" w:eastAsia="Verdana" w:hAnsi="Verdana"/>
          <w:sz w:val="17"/>
          <w:szCs w:val="17"/>
          <w:color w:val="auto"/>
        </w:rPr>
        <w:t>,</w:t>
      </w:r>
      <w:r>
        <w:rPr>
          <w:rFonts w:ascii="Verdana" w:cs="Verdana" w:eastAsia="Verdana" w:hAnsi="Verdana"/>
          <w:sz w:val="17"/>
          <w:szCs w:val="17"/>
          <w:color w:val="auto"/>
        </w:rPr>
        <w:t xml:space="preserve"> инсультов и заболеваний почек</w:t>
      </w:r>
    </w:p>
    <w:p>
      <w:pPr>
        <w:spacing w:after="0" w:line="20" w:lineRule="exact"/>
        <w:rPr>
          <w:sz w:val="20"/>
          <w:szCs w:val="20"/>
          <w:color w:val="auto"/>
        </w:rPr>
      </w:pPr>
    </w:p>
    <w:p>
      <w:pPr>
        <w:sectPr>
          <w:pgSz w:w="11900" w:h="16840" w:orient="portrait"/>
          <w:cols w:equalWidth="0" w:num="1">
            <w:col w:w="9020"/>
          </w:cols>
          <w:pgMar w:left="1440" w:top="248" w:right="1440" w:bottom="82" w:gutter="0" w:footer="0" w:header="0"/>
        </w:sectPr>
      </w:pPr>
    </w:p>
    <w:bookmarkStart w:id="133" w:name="page134"/>
    <w:bookmarkEnd w:id="133"/>
    <w:p>
      <w:pPr>
        <w:jc w:val="both"/>
        <w:ind w:left="520" w:right="380"/>
        <w:spacing w:after="0" w:line="223" w:lineRule="auto"/>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9300210"/>
            <wp:wrapNone/>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59">
                      <a:extLst>
                        <a:ext uri="{28A0092B-C50C-407E-A947-70E740481C1C}"/>
                      </a:extLst>
                    </a:blip>
                    <a:srcRect/>
                    <a:stretch>
                      <a:fillRect/>
                    </a:stretch>
                  </pic:blipFill>
                  <pic:spPr bwMode="auto">
                    <a:xfrm>
                      <a:off x="0" y="0"/>
                      <a:ext cx="5365115" cy="9300210"/>
                    </a:xfrm>
                    <a:prstGeom prst="rect">
                      <a:avLst/>
                    </a:prstGeom>
                    <a:noFill/>
                  </pic:spPr>
                </pic:pic>
              </a:graphicData>
            </a:graphic>
          </wp:anchor>
        </w:drawing>
        <w:t xml:space="preserve">Семейный и индивидуальный анамнез ассоциированных факторов риска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семейной гиперхолестеринемии</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Анамнез курения</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Диетические привычки и употребление поваренной соли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Употребление алкоголя</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Режим физической активности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Указание в анамнезе на эректильную дисфункцию</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Состояние сна</w:t>
      </w:r>
      <w:r>
        <w:rPr>
          <w:rFonts w:ascii="Verdana" w:cs="Verdana" w:eastAsia="Verdana" w:hAnsi="Verdana"/>
          <w:sz w:val="17"/>
          <w:szCs w:val="17"/>
          <w:color w:val="auto"/>
        </w:rPr>
        <w:t>,</w:t>
      </w:r>
      <w:r>
        <w:rPr>
          <w:rFonts w:ascii="Verdana" w:cs="Verdana" w:eastAsia="Verdana" w:hAnsi="Verdana"/>
          <w:sz w:val="17"/>
          <w:szCs w:val="17"/>
          <w:color w:val="auto"/>
        </w:rPr>
        <w:t xml:space="preserve"> наличие храпа</w:t>
      </w:r>
      <w:r>
        <w:rPr>
          <w:rFonts w:ascii="Verdana" w:cs="Verdana" w:eastAsia="Verdana" w:hAnsi="Verdana"/>
          <w:sz w:val="17"/>
          <w:szCs w:val="17"/>
          <w:color w:val="auto"/>
        </w:rPr>
        <w:t>,</w:t>
      </w:r>
      <w:r>
        <w:rPr>
          <w:rFonts w:ascii="Verdana" w:cs="Verdana" w:eastAsia="Verdana" w:hAnsi="Verdana"/>
          <w:sz w:val="17"/>
          <w:szCs w:val="17"/>
          <w:color w:val="auto"/>
        </w:rPr>
        <w:t xml:space="preserve"> эпизодов ночного апноэ </w:t>
      </w:r>
      <w:r>
        <w:rPr>
          <w:rFonts w:ascii="Verdana" w:cs="Verdana" w:eastAsia="Verdana" w:hAnsi="Verdana"/>
          <w:sz w:val="17"/>
          <w:szCs w:val="17"/>
          <w:color w:val="auto"/>
        </w:rPr>
        <w:t>(</w:t>
      </w:r>
      <w:r>
        <w:rPr>
          <w:rFonts w:ascii="Verdana" w:cs="Verdana" w:eastAsia="Verdana" w:hAnsi="Verdana"/>
          <w:sz w:val="17"/>
          <w:szCs w:val="17"/>
          <w:color w:val="auto"/>
        </w:rPr>
        <w:t>информация от членов семьи</w:t>
      </w:r>
      <w:r>
        <w:rPr>
          <w:rFonts w:ascii="Verdana" w:cs="Verdana" w:eastAsia="Verdana" w:hAnsi="Verdana"/>
          <w:sz w:val="17"/>
          <w:szCs w:val="17"/>
          <w:color w:val="auto"/>
        </w:rPr>
        <w:t>)</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Наличие АГ во время беременности</w:t>
      </w:r>
      <w:r>
        <w:rPr>
          <w:rFonts w:ascii="Verdana" w:cs="Verdana" w:eastAsia="Verdana" w:hAnsi="Verdana"/>
          <w:sz w:val="17"/>
          <w:szCs w:val="17"/>
          <w:color w:val="auto"/>
        </w:rPr>
        <w:t>/</w:t>
      </w:r>
      <w:r>
        <w:rPr>
          <w:rFonts w:ascii="Verdana" w:cs="Verdana" w:eastAsia="Verdana" w:hAnsi="Verdana"/>
          <w:sz w:val="17"/>
          <w:szCs w:val="17"/>
          <w:color w:val="auto"/>
        </w:rPr>
        <w:t>преэклампсия</w:t>
      </w:r>
    </w:p>
    <w:p>
      <w:pPr>
        <w:spacing w:after="0" w:line="270" w:lineRule="exact"/>
        <w:rPr>
          <w:sz w:val="20"/>
          <w:szCs w:val="20"/>
          <w:color w:val="auto"/>
        </w:rPr>
      </w:pPr>
    </w:p>
    <w:p>
      <w:pPr>
        <w:jc w:val="both"/>
        <w:ind w:left="520" w:right="380"/>
        <w:spacing w:after="0" w:line="225" w:lineRule="auto"/>
        <w:rPr>
          <w:sz w:val="20"/>
          <w:szCs w:val="20"/>
          <w:color w:val="auto"/>
        </w:rPr>
      </w:pPr>
      <w:r>
        <w:rPr>
          <w:rFonts w:ascii="Verdana" w:cs="Verdana" w:eastAsia="Verdana" w:hAnsi="Verdana"/>
          <w:sz w:val="17"/>
          <w:szCs w:val="17"/>
          <w:b w:val="1"/>
          <w:bCs w:val="1"/>
          <w:color w:val="auto"/>
        </w:rPr>
        <w:t>Наличие в анамнезе или признаки ПОМ</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 xml:space="preserve"> ССЗ</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 xml:space="preserve"> инсульта</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 xml:space="preserve"> ТИА</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 xml:space="preserve"> СД и заболеваний почек</w:t>
      </w:r>
    </w:p>
    <w:p>
      <w:pPr>
        <w:spacing w:after="0" w:line="262" w:lineRule="exact"/>
        <w:rPr>
          <w:sz w:val="20"/>
          <w:szCs w:val="20"/>
          <w:color w:val="auto"/>
        </w:rPr>
      </w:pPr>
    </w:p>
    <w:p>
      <w:pPr>
        <w:jc w:val="both"/>
        <w:ind w:left="520" w:right="380"/>
        <w:spacing w:after="0" w:line="212" w:lineRule="auto"/>
        <w:rPr>
          <w:sz w:val="20"/>
          <w:szCs w:val="20"/>
          <w:color w:val="auto"/>
        </w:rPr>
      </w:pPr>
      <w:r>
        <w:rPr>
          <w:rFonts w:ascii="Verdana" w:cs="Verdana" w:eastAsia="Verdana" w:hAnsi="Verdana"/>
          <w:sz w:val="17"/>
          <w:szCs w:val="17"/>
          <w:color w:val="auto"/>
        </w:rPr>
        <w:t>Головной мозг и органы зрения</w:t>
      </w:r>
      <w:r>
        <w:rPr>
          <w:rFonts w:ascii="Verdana" w:cs="Verdana" w:eastAsia="Verdana" w:hAnsi="Verdana"/>
          <w:sz w:val="17"/>
          <w:szCs w:val="17"/>
          <w:color w:val="auto"/>
        </w:rPr>
        <w:t>:</w:t>
      </w:r>
      <w:r>
        <w:rPr>
          <w:rFonts w:ascii="Verdana" w:cs="Verdana" w:eastAsia="Verdana" w:hAnsi="Verdana"/>
          <w:sz w:val="17"/>
          <w:szCs w:val="17"/>
          <w:color w:val="auto"/>
        </w:rPr>
        <w:t xml:space="preserve"> головные боли</w:t>
      </w:r>
      <w:r>
        <w:rPr>
          <w:rFonts w:ascii="Verdana" w:cs="Verdana" w:eastAsia="Verdana" w:hAnsi="Verdana"/>
          <w:sz w:val="17"/>
          <w:szCs w:val="17"/>
          <w:color w:val="auto"/>
        </w:rPr>
        <w:t>,</w:t>
      </w:r>
      <w:r>
        <w:rPr>
          <w:rFonts w:ascii="Verdana" w:cs="Verdana" w:eastAsia="Verdana" w:hAnsi="Verdana"/>
          <w:sz w:val="17"/>
          <w:szCs w:val="17"/>
          <w:color w:val="auto"/>
        </w:rPr>
        <w:t xml:space="preserve"> вертиго</w:t>
      </w:r>
      <w:r>
        <w:rPr>
          <w:rFonts w:ascii="Verdana" w:cs="Verdana" w:eastAsia="Verdana" w:hAnsi="Verdana"/>
          <w:sz w:val="17"/>
          <w:szCs w:val="17"/>
          <w:color w:val="auto"/>
        </w:rPr>
        <w:t>,</w:t>
      </w:r>
      <w:r>
        <w:rPr>
          <w:rFonts w:ascii="Verdana" w:cs="Verdana" w:eastAsia="Verdana" w:hAnsi="Verdana"/>
          <w:sz w:val="17"/>
          <w:szCs w:val="17"/>
          <w:color w:val="auto"/>
        </w:rPr>
        <w:t xml:space="preserve"> синкопе</w:t>
      </w:r>
      <w:r>
        <w:rPr>
          <w:rFonts w:ascii="Verdana" w:cs="Verdana" w:eastAsia="Verdana" w:hAnsi="Verdana"/>
          <w:sz w:val="17"/>
          <w:szCs w:val="17"/>
          <w:color w:val="auto"/>
        </w:rPr>
        <w:t>,</w:t>
      </w:r>
      <w:r>
        <w:rPr>
          <w:rFonts w:ascii="Verdana" w:cs="Verdana" w:eastAsia="Verdana" w:hAnsi="Verdana"/>
          <w:sz w:val="17"/>
          <w:szCs w:val="17"/>
          <w:color w:val="auto"/>
        </w:rPr>
        <w:t xml:space="preserve"> нарушения зрения</w:t>
      </w:r>
      <w:r>
        <w:rPr>
          <w:rFonts w:ascii="Verdana" w:cs="Verdana" w:eastAsia="Verdana" w:hAnsi="Verdana"/>
          <w:sz w:val="17"/>
          <w:szCs w:val="17"/>
          <w:color w:val="auto"/>
        </w:rPr>
        <w:t>,</w:t>
      </w:r>
      <w:r>
        <w:rPr>
          <w:rFonts w:ascii="Verdana" w:cs="Verdana" w:eastAsia="Verdana" w:hAnsi="Verdana"/>
          <w:sz w:val="17"/>
          <w:szCs w:val="17"/>
          <w:color w:val="auto"/>
        </w:rPr>
        <w:t xml:space="preserve"> ТИА</w:t>
      </w:r>
      <w:r>
        <w:rPr>
          <w:rFonts w:ascii="Verdana" w:cs="Verdana" w:eastAsia="Verdana" w:hAnsi="Verdana"/>
          <w:sz w:val="17"/>
          <w:szCs w:val="17"/>
          <w:color w:val="auto"/>
        </w:rPr>
        <w:t>,</w:t>
      </w:r>
      <w:r>
        <w:rPr>
          <w:rFonts w:ascii="Verdana" w:cs="Verdana" w:eastAsia="Verdana" w:hAnsi="Verdana"/>
          <w:sz w:val="17"/>
          <w:szCs w:val="17"/>
          <w:color w:val="auto"/>
        </w:rPr>
        <w:t xml:space="preserve"> нарушения моторных или сенсорных функций</w:t>
      </w:r>
      <w:r>
        <w:rPr>
          <w:rFonts w:ascii="Verdana" w:cs="Verdana" w:eastAsia="Verdana" w:hAnsi="Verdana"/>
          <w:sz w:val="17"/>
          <w:szCs w:val="17"/>
          <w:color w:val="auto"/>
        </w:rPr>
        <w:t>,</w:t>
      </w:r>
      <w:r>
        <w:rPr>
          <w:rFonts w:ascii="Verdana" w:cs="Verdana" w:eastAsia="Verdana" w:hAnsi="Verdana"/>
          <w:sz w:val="17"/>
          <w:szCs w:val="17"/>
          <w:color w:val="auto"/>
        </w:rPr>
        <w:t xml:space="preserve"> инсульт</w:t>
      </w:r>
      <w:r>
        <w:rPr>
          <w:rFonts w:ascii="Verdana" w:cs="Verdana" w:eastAsia="Verdana" w:hAnsi="Verdana"/>
          <w:sz w:val="17"/>
          <w:szCs w:val="17"/>
          <w:color w:val="auto"/>
        </w:rPr>
        <w:t>,</w:t>
      </w:r>
      <w:r>
        <w:rPr>
          <w:rFonts w:ascii="Verdana" w:cs="Verdana" w:eastAsia="Verdana" w:hAnsi="Verdana"/>
          <w:sz w:val="17"/>
          <w:szCs w:val="17"/>
          <w:color w:val="auto"/>
        </w:rPr>
        <w:t xml:space="preserve"> реваскуляризация сонных артерий</w:t>
      </w:r>
      <w:r>
        <w:rPr>
          <w:rFonts w:ascii="Verdana" w:cs="Verdana" w:eastAsia="Verdana" w:hAnsi="Verdana"/>
          <w:sz w:val="17"/>
          <w:szCs w:val="17"/>
          <w:color w:val="auto"/>
        </w:rPr>
        <w:t>,</w:t>
      </w:r>
      <w:r>
        <w:rPr>
          <w:rFonts w:ascii="Verdana" w:cs="Verdana" w:eastAsia="Verdana" w:hAnsi="Verdana"/>
          <w:sz w:val="17"/>
          <w:szCs w:val="17"/>
          <w:color w:val="auto"/>
        </w:rPr>
        <w:t xml:space="preserve"> когнитивные нарушения</w:t>
      </w:r>
      <w:r>
        <w:rPr>
          <w:rFonts w:ascii="Verdana" w:cs="Verdana" w:eastAsia="Verdana" w:hAnsi="Verdana"/>
          <w:sz w:val="17"/>
          <w:szCs w:val="17"/>
          <w:color w:val="auto"/>
        </w:rPr>
        <w:t>,</w:t>
      </w:r>
      <w:r>
        <w:rPr>
          <w:rFonts w:ascii="Verdana" w:cs="Verdana" w:eastAsia="Verdana" w:hAnsi="Verdana"/>
          <w:sz w:val="17"/>
          <w:szCs w:val="17"/>
          <w:color w:val="auto"/>
        </w:rPr>
        <w:t xml:space="preserve"> деменция </w:t>
      </w:r>
      <w:r>
        <w:rPr>
          <w:rFonts w:ascii="Verdana" w:cs="Verdana" w:eastAsia="Verdana" w:hAnsi="Verdana"/>
          <w:sz w:val="17"/>
          <w:szCs w:val="17"/>
          <w:color w:val="auto"/>
        </w:rPr>
        <w:t>(</w:t>
      </w:r>
      <w:r>
        <w:rPr>
          <w:rFonts w:ascii="Verdana" w:cs="Verdana" w:eastAsia="Verdana" w:hAnsi="Verdana"/>
          <w:sz w:val="17"/>
          <w:szCs w:val="17"/>
          <w:color w:val="auto"/>
        </w:rPr>
        <w:t>у пожилых</w:t>
      </w:r>
      <w:r>
        <w:rPr>
          <w:rFonts w:ascii="Verdana" w:cs="Verdana" w:eastAsia="Verdana" w:hAnsi="Verdana"/>
          <w:sz w:val="17"/>
          <w:szCs w:val="17"/>
          <w:color w:val="auto"/>
        </w:rPr>
        <w:t>)</w:t>
      </w:r>
    </w:p>
    <w:p>
      <w:pPr>
        <w:spacing w:after="0" w:line="263" w:lineRule="exact"/>
        <w:rPr>
          <w:sz w:val="20"/>
          <w:szCs w:val="20"/>
          <w:color w:val="auto"/>
        </w:rPr>
      </w:pPr>
    </w:p>
    <w:p>
      <w:pPr>
        <w:jc w:val="both"/>
        <w:ind w:left="520" w:right="380"/>
        <w:spacing w:after="0" w:line="212" w:lineRule="auto"/>
        <w:rPr>
          <w:sz w:val="20"/>
          <w:szCs w:val="20"/>
          <w:color w:val="auto"/>
        </w:rPr>
      </w:pPr>
      <w:r>
        <w:rPr>
          <w:rFonts w:ascii="Verdana" w:cs="Verdana" w:eastAsia="Verdana" w:hAnsi="Verdana"/>
          <w:sz w:val="17"/>
          <w:szCs w:val="17"/>
          <w:color w:val="auto"/>
        </w:rPr>
        <w:t>Сердце</w:t>
      </w:r>
      <w:r>
        <w:rPr>
          <w:rFonts w:ascii="Verdana" w:cs="Verdana" w:eastAsia="Verdana" w:hAnsi="Verdana"/>
          <w:sz w:val="17"/>
          <w:szCs w:val="17"/>
          <w:color w:val="auto"/>
        </w:rPr>
        <w:t>:</w:t>
      </w:r>
      <w:r>
        <w:rPr>
          <w:rFonts w:ascii="Verdana" w:cs="Verdana" w:eastAsia="Verdana" w:hAnsi="Verdana"/>
          <w:sz w:val="17"/>
          <w:szCs w:val="17"/>
          <w:color w:val="auto"/>
        </w:rPr>
        <w:t xml:space="preserve"> боль в грудной клетке</w:t>
      </w:r>
      <w:r>
        <w:rPr>
          <w:rFonts w:ascii="Verdana" w:cs="Verdana" w:eastAsia="Verdana" w:hAnsi="Verdana"/>
          <w:sz w:val="17"/>
          <w:szCs w:val="17"/>
          <w:color w:val="auto"/>
        </w:rPr>
        <w:t>,</w:t>
      </w:r>
      <w:r>
        <w:rPr>
          <w:rFonts w:ascii="Verdana" w:cs="Verdana" w:eastAsia="Verdana" w:hAnsi="Verdana"/>
          <w:sz w:val="17"/>
          <w:szCs w:val="17"/>
          <w:color w:val="auto"/>
        </w:rPr>
        <w:t xml:space="preserve"> одышка</w:t>
      </w:r>
      <w:r>
        <w:rPr>
          <w:rFonts w:ascii="Verdana" w:cs="Verdana" w:eastAsia="Verdana" w:hAnsi="Verdana"/>
          <w:sz w:val="17"/>
          <w:szCs w:val="17"/>
          <w:color w:val="auto"/>
        </w:rPr>
        <w:t>,</w:t>
      </w:r>
      <w:r>
        <w:rPr>
          <w:rFonts w:ascii="Verdana" w:cs="Verdana" w:eastAsia="Verdana" w:hAnsi="Verdana"/>
          <w:sz w:val="17"/>
          <w:szCs w:val="17"/>
          <w:color w:val="auto"/>
        </w:rPr>
        <w:t xml:space="preserve"> отеки</w:t>
      </w:r>
      <w:r>
        <w:rPr>
          <w:rFonts w:ascii="Verdana" w:cs="Verdana" w:eastAsia="Verdana" w:hAnsi="Verdana"/>
          <w:sz w:val="17"/>
          <w:szCs w:val="17"/>
          <w:color w:val="auto"/>
        </w:rPr>
        <w:t>,</w:t>
      </w:r>
      <w:r>
        <w:rPr>
          <w:rFonts w:ascii="Verdana" w:cs="Verdana" w:eastAsia="Verdana" w:hAnsi="Verdana"/>
          <w:sz w:val="17"/>
          <w:szCs w:val="17"/>
          <w:color w:val="auto"/>
        </w:rPr>
        <w:t xml:space="preserve"> инфаркт миокарда</w:t>
      </w:r>
      <w:r>
        <w:rPr>
          <w:rFonts w:ascii="Verdana" w:cs="Verdana" w:eastAsia="Verdana" w:hAnsi="Verdana"/>
          <w:sz w:val="17"/>
          <w:szCs w:val="17"/>
          <w:color w:val="auto"/>
        </w:rPr>
        <w:t>,</w:t>
      </w:r>
      <w:r>
        <w:rPr>
          <w:rFonts w:ascii="Verdana" w:cs="Verdana" w:eastAsia="Verdana" w:hAnsi="Verdana"/>
          <w:sz w:val="17"/>
          <w:szCs w:val="17"/>
          <w:color w:val="auto"/>
        </w:rPr>
        <w:t xml:space="preserve"> реваскуляризация коронарных артерий</w:t>
      </w:r>
      <w:r>
        <w:rPr>
          <w:rFonts w:ascii="Verdana" w:cs="Verdana" w:eastAsia="Verdana" w:hAnsi="Verdana"/>
          <w:sz w:val="17"/>
          <w:szCs w:val="17"/>
          <w:color w:val="auto"/>
        </w:rPr>
        <w:t>,</w:t>
      </w:r>
      <w:r>
        <w:rPr>
          <w:rFonts w:ascii="Verdana" w:cs="Verdana" w:eastAsia="Verdana" w:hAnsi="Verdana"/>
          <w:sz w:val="17"/>
          <w:szCs w:val="17"/>
          <w:color w:val="auto"/>
        </w:rPr>
        <w:t xml:space="preserve"> синкопе</w:t>
      </w:r>
      <w:r>
        <w:rPr>
          <w:rFonts w:ascii="Verdana" w:cs="Verdana" w:eastAsia="Verdana" w:hAnsi="Verdana"/>
          <w:sz w:val="17"/>
          <w:szCs w:val="17"/>
          <w:color w:val="auto"/>
        </w:rPr>
        <w:t>,</w:t>
      </w:r>
      <w:r>
        <w:rPr>
          <w:rFonts w:ascii="Verdana" w:cs="Verdana" w:eastAsia="Verdana" w:hAnsi="Verdana"/>
          <w:sz w:val="17"/>
          <w:szCs w:val="17"/>
          <w:color w:val="auto"/>
        </w:rPr>
        <w:t xml:space="preserve"> сердцебиения</w:t>
      </w:r>
      <w:r>
        <w:rPr>
          <w:rFonts w:ascii="Verdana" w:cs="Verdana" w:eastAsia="Verdana" w:hAnsi="Verdana"/>
          <w:sz w:val="17"/>
          <w:szCs w:val="17"/>
          <w:color w:val="auto"/>
        </w:rPr>
        <w:t>,</w:t>
      </w:r>
      <w:r>
        <w:rPr>
          <w:rFonts w:ascii="Verdana" w:cs="Verdana" w:eastAsia="Verdana" w:hAnsi="Verdana"/>
          <w:sz w:val="17"/>
          <w:szCs w:val="17"/>
          <w:color w:val="auto"/>
        </w:rPr>
        <w:t xml:space="preserve"> аритмии </w:t>
      </w:r>
      <w:r>
        <w:rPr>
          <w:rFonts w:ascii="Verdana" w:cs="Verdana" w:eastAsia="Verdana" w:hAnsi="Verdana"/>
          <w:sz w:val="17"/>
          <w:szCs w:val="17"/>
          <w:color w:val="auto"/>
        </w:rPr>
        <w:t>(</w:t>
      </w:r>
      <w:r>
        <w:rPr>
          <w:rFonts w:ascii="Verdana" w:cs="Verdana" w:eastAsia="Verdana" w:hAnsi="Verdana"/>
          <w:sz w:val="17"/>
          <w:szCs w:val="17"/>
          <w:color w:val="auto"/>
        </w:rPr>
        <w:t>особенно ФП</w:t>
      </w:r>
      <w:r>
        <w:rPr>
          <w:rFonts w:ascii="Verdana" w:cs="Verdana" w:eastAsia="Verdana" w:hAnsi="Verdana"/>
          <w:sz w:val="17"/>
          <w:szCs w:val="17"/>
          <w:color w:val="auto"/>
        </w:rPr>
        <w:t>),</w:t>
      </w:r>
      <w:r>
        <w:rPr>
          <w:rFonts w:ascii="Verdana" w:cs="Verdana" w:eastAsia="Verdana" w:hAnsi="Verdana"/>
          <w:sz w:val="17"/>
          <w:szCs w:val="17"/>
          <w:color w:val="auto"/>
        </w:rPr>
        <w:t xml:space="preserve"> сердечная недостаточность</w:t>
      </w:r>
    </w:p>
    <w:p>
      <w:pPr>
        <w:spacing w:after="0" w:line="263"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Почки</w:t>
      </w:r>
      <w:r>
        <w:rPr>
          <w:rFonts w:ascii="Verdana" w:cs="Verdana" w:eastAsia="Verdana" w:hAnsi="Verdana"/>
          <w:sz w:val="17"/>
          <w:szCs w:val="17"/>
          <w:color w:val="auto"/>
        </w:rPr>
        <w:t>:</w:t>
      </w:r>
      <w:r>
        <w:rPr>
          <w:rFonts w:ascii="Verdana" w:cs="Verdana" w:eastAsia="Verdana" w:hAnsi="Verdana"/>
          <w:sz w:val="17"/>
          <w:szCs w:val="17"/>
          <w:color w:val="auto"/>
        </w:rPr>
        <w:t xml:space="preserve"> жажда</w:t>
      </w:r>
      <w:r>
        <w:rPr>
          <w:rFonts w:ascii="Verdana" w:cs="Verdana" w:eastAsia="Verdana" w:hAnsi="Verdana"/>
          <w:sz w:val="17"/>
          <w:szCs w:val="17"/>
          <w:color w:val="auto"/>
        </w:rPr>
        <w:t>,</w:t>
      </w:r>
      <w:r>
        <w:rPr>
          <w:rFonts w:ascii="Verdana" w:cs="Verdana" w:eastAsia="Verdana" w:hAnsi="Verdana"/>
          <w:sz w:val="17"/>
          <w:szCs w:val="17"/>
          <w:color w:val="auto"/>
        </w:rPr>
        <w:t xml:space="preserve"> полиурия</w:t>
      </w:r>
      <w:r>
        <w:rPr>
          <w:rFonts w:ascii="Verdana" w:cs="Verdana" w:eastAsia="Verdana" w:hAnsi="Verdana"/>
          <w:sz w:val="17"/>
          <w:szCs w:val="17"/>
          <w:color w:val="auto"/>
        </w:rPr>
        <w:t>,</w:t>
      </w:r>
      <w:r>
        <w:rPr>
          <w:rFonts w:ascii="Verdana" w:cs="Verdana" w:eastAsia="Verdana" w:hAnsi="Verdana"/>
          <w:sz w:val="17"/>
          <w:szCs w:val="17"/>
          <w:color w:val="auto"/>
        </w:rPr>
        <w:t xml:space="preserve"> никтурия</w:t>
      </w:r>
      <w:r>
        <w:rPr>
          <w:rFonts w:ascii="Verdana" w:cs="Verdana" w:eastAsia="Verdana" w:hAnsi="Verdana"/>
          <w:sz w:val="17"/>
          <w:szCs w:val="17"/>
          <w:color w:val="auto"/>
        </w:rPr>
        <w:t>,</w:t>
      </w:r>
      <w:r>
        <w:rPr>
          <w:rFonts w:ascii="Verdana" w:cs="Verdana" w:eastAsia="Verdana" w:hAnsi="Verdana"/>
          <w:sz w:val="17"/>
          <w:szCs w:val="17"/>
          <w:color w:val="auto"/>
        </w:rPr>
        <w:t xml:space="preserve"> гематурия</w:t>
      </w:r>
      <w:r>
        <w:rPr>
          <w:rFonts w:ascii="Verdana" w:cs="Verdana" w:eastAsia="Verdana" w:hAnsi="Verdana"/>
          <w:sz w:val="17"/>
          <w:szCs w:val="17"/>
          <w:color w:val="auto"/>
        </w:rPr>
        <w:t>,</w:t>
      </w:r>
      <w:r>
        <w:rPr>
          <w:rFonts w:ascii="Verdana" w:cs="Verdana" w:eastAsia="Verdana" w:hAnsi="Verdana"/>
          <w:sz w:val="17"/>
          <w:szCs w:val="17"/>
          <w:color w:val="auto"/>
        </w:rPr>
        <w:t xml:space="preserve"> инфекции мочевыводящих путей</w:t>
      </w:r>
    </w:p>
    <w:p>
      <w:pPr>
        <w:spacing w:after="0" w:line="274"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Периферические артерии</w:t>
      </w:r>
      <w:r>
        <w:rPr>
          <w:rFonts w:ascii="Verdana" w:cs="Verdana" w:eastAsia="Verdana" w:hAnsi="Verdana"/>
          <w:sz w:val="17"/>
          <w:szCs w:val="17"/>
          <w:color w:val="auto"/>
        </w:rPr>
        <w:t>:</w:t>
      </w:r>
      <w:r>
        <w:rPr>
          <w:rFonts w:ascii="Verdana" w:cs="Verdana" w:eastAsia="Verdana" w:hAnsi="Verdana"/>
          <w:sz w:val="17"/>
          <w:szCs w:val="17"/>
          <w:color w:val="auto"/>
        </w:rPr>
        <w:t xml:space="preserve"> похолодание конечностей</w:t>
      </w:r>
      <w:r>
        <w:rPr>
          <w:rFonts w:ascii="Verdana" w:cs="Verdana" w:eastAsia="Verdana" w:hAnsi="Verdana"/>
          <w:sz w:val="17"/>
          <w:szCs w:val="17"/>
          <w:color w:val="auto"/>
        </w:rPr>
        <w:t>,</w:t>
      </w:r>
      <w:r>
        <w:rPr>
          <w:rFonts w:ascii="Verdana" w:cs="Verdana" w:eastAsia="Verdana" w:hAnsi="Verdana"/>
          <w:sz w:val="17"/>
          <w:szCs w:val="17"/>
          <w:color w:val="auto"/>
        </w:rPr>
        <w:t xml:space="preserve"> перемежающаяся хромота</w:t>
      </w:r>
      <w:r>
        <w:rPr>
          <w:rFonts w:ascii="Verdana" w:cs="Verdana" w:eastAsia="Verdana" w:hAnsi="Verdana"/>
          <w:sz w:val="17"/>
          <w:szCs w:val="17"/>
          <w:color w:val="auto"/>
        </w:rPr>
        <w:t>,</w:t>
      </w:r>
      <w:r>
        <w:rPr>
          <w:rFonts w:ascii="Verdana" w:cs="Verdana" w:eastAsia="Verdana" w:hAnsi="Verdana"/>
          <w:sz w:val="17"/>
          <w:szCs w:val="17"/>
          <w:color w:val="auto"/>
        </w:rPr>
        <w:t xml:space="preserve"> дистанция ходьбы</w:t>
      </w:r>
      <w:r>
        <w:rPr>
          <w:rFonts w:ascii="Verdana" w:cs="Verdana" w:eastAsia="Verdana" w:hAnsi="Verdana"/>
          <w:sz w:val="17"/>
          <w:szCs w:val="17"/>
          <w:color w:val="auto"/>
        </w:rPr>
        <w:t>,</w:t>
      </w:r>
      <w:r>
        <w:rPr>
          <w:rFonts w:ascii="Verdana" w:cs="Verdana" w:eastAsia="Verdana" w:hAnsi="Verdana"/>
          <w:sz w:val="17"/>
          <w:szCs w:val="17"/>
          <w:color w:val="auto"/>
        </w:rPr>
        <w:t xml:space="preserve"> боли в покое</w:t>
      </w:r>
      <w:r>
        <w:rPr>
          <w:rFonts w:ascii="Verdana" w:cs="Verdana" w:eastAsia="Verdana" w:hAnsi="Verdana"/>
          <w:sz w:val="17"/>
          <w:szCs w:val="17"/>
          <w:color w:val="auto"/>
        </w:rPr>
        <w:t>,</w:t>
      </w:r>
      <w:r>
        <w:rPr>
          <w:rFonts w:ascii="Verdana" w:cs="Verdana" w:eastAsia="Verdana" w:hAnsi="Verdana"/>
          <w:sz w:val="17"/>
          <w:szCs w:val="17"/>
          <w:color w:val="auto"/>
        </w:rPr>
        <w:t xml:space="preserve"> реваскуляризация периферических артерий</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Индивидуальный или семейный анамнез ХБП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поликистоз почек</w:t>
      </w:r>
      <w:r>
        <w:rPr>
          <w:rFonts w:ascii="Verdana" w:cs="Verdana" w:eastAsia="Verdana" w:hAnsi="Verdana"/>
          <w:sz w:val="17"/>
          <w:szCs w:val="17"/>
          <w:color w:val="auto"/>
        </w:rPr>
        <w:t>)</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Признаки возможной вторичной АГ</w:t>
      </w:r>
    </w:p>
    <w:p>
      <w:pPr>
        <w:spacing w:after="0" w:line="278"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 xml:space="preserve">Развитие АГ </w:t>
      </w:r>
      <w:r>
        <w:rPr>
          <w:rFonts w:ascii="Verdana" w:cs="Verdana" w:eastAsia="Verdana" w:hAnsi="Verdana"/>
          <w:sz w:val="17"/>
          <w:szCs w:val="17"/>
          <w:color w:val="auto"/>
        </w:rPr>
        <w:t>2-</w:t>
      </w:r>
      <w:r>
        <w:rPr>
          <w:rFonts w:ascii="Verdana" w:cs="Verdana" w:eastAsia="Verdana" w:hAnsi="Verdana"/>
          <w:sz w:val="17"/>
          <w:szCs w:val="17"/>
          <w:color w:val="auto"/>
        </w:rPr>
        <w:t xml:space="preserve">й или </w:t>
      </w:r>
      <w:r>
        <w:rPr>
          <w:rFonts w:ascii="Verdana" w:cs="Verdana" w:eastAsia="Verdana" w:hAnsi="Verdana"/>
          <w:sz w:val="17"/>
          <w:szCs w:val="17"/>
          <w:color w:val="auto"/>
        </w:rPr>
        <w:t>3-</w:t>
      </w:r>
      <w:r>
        <w:rPr>
          <w:rFonts w:ascii="Verdana" w:cs="Verdana" w:eastAsia="Verdana" w:hAnsi="Verdana"/>
          <w:sz w:val="17"/>
          <w:szCs w:val="17"/>
          <w:color w:val="auto"/>
        </w:rPr>
        <w:t xml:space="preserve">й степени в молодом возрасте </w:t>
      </w:r>
      <w:r>
        <w:rPr>
          <w:rFonts w:ascii="Verdana" w:cs="Verdana" w:eastAsia="Verdana" w:hAnsi="Verdana"/>
          <w:sz w:val="17"/>
          <w:szCs w:val="17"/>
          <w:color w:val="auto"/>
        </w:rPr>
        <w:t>(&lt;40</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r>
        <w:rPr>
          <w:rFonts w:ascii="Verdana" w:cs="Verdana" w:eastAsia="Verdana" w:hAnsi="Verdana"/>
          <w:sz w:val="17"/>
          <w:szCs w:val="17"/>
          <w:color w:val="auto"/>
        </w:rPr>
        <w:t xml:space="preserve"> или внезапное развитие АГ</w:t>
      </w:r>
      <w:r>
        <w:rPr>
          <w:rFonts w:ascii="Verdana" w:cs="Verdana" w:eastAsia="Verdana" w:hAnsi="Verdana"/>
          <w:sz w:val="17"/>
          <w:szCs w:val="17"/>
          <w:color w:val="auto"/>
        </w:rPr>
        <w:t>,</w:t>
      </w:r>
      <w:r>
        <w:rPr>
          <w:rFonts w:ascii="Verdana" w:cs="Verdana" w:eastAsia="Verdana" w:hAnsi="Verdana"/>
          <w:sz w:val="17"/>
          <w:szCs w:val="17"/>
          <w:color w:val="auto"/>
        </w:rPr>
        <w:t xml:space="preserve"> или быстрое ухудшение течения АГ у пожилых</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Указания в анамнезе на заболевания почек</w:t>
      </w:r>
      <w:r>
        <w:rPr>
          <w:rFonts w:ascii="Verdana" w:cs="Verdana" w:eastAsia="Verdana" w:hAnsi="Verdana"/>
          <w:sz w:val="17"/>
          <w:szCs w:val="17"/>
          <w:color w:val="auto"/>
        </w:rPr>
        <w:t>/</w:t>
      </w:r>
      <w:r>
        <w:rPr>
          <w:rFonts w:ascii="Verdana" w:cs="Verdana" w:eastAsia="Verdana" w:hAnsi="Verdana"/>
          <w:sz w:val="17"/>
          <w:szCs w:val="17"/>
          <w:color w:val="auto"/>
        </w:rPr>
        <w:t>мочевыводящихпутей</w:t>
      </w:r>
    </w:p>
    <w:p>
      <w:pPr>
        <w:spacing w:after="0" w:line="274" w:lineRule="exact"/>
        <w:rPr>
          <w:sz w:val="20"/>
          <w:szCs w:val="20"/>
          <w:color w:val="auto"/>
        </w:rPr>
      </w:pPr>
    </w:p>
    <w:p>
      <w:pPr>
        <w:jc w:val="both"/>
        <w:ind w:left="520" w:right="380"/>
        <w:spacing w:after="0" w:line="212" w:lineRule="auto"/>
        <w:rPr>
          <w:sz w:val="20"/>
          <w:szCs w:val="20"/>
          <w:color w:val="auto"/>
        </w:rPr>
      </w:pPr>
      <w:r>
        <w:rPr>
          <w:rFonts w:ascii="Verdana" w:cs="Verdana" w:eastAsia="Verdana" w:hAnsi="Verdana"/>
          <w:sz w:val="17"/>
          <w:szCs w:val="17"/>
          <w:color w:val="auto"/>
        </w:rPr>
        <w:t>Употребление наркотических препаратов</w:t>
      </w:r>
      <w:r>
        <w:rPr>
          <w:rFonts w:ascii="Verdana" w:cs="Verdana" w:eastAsia="Verdana" w:hAnsi="Verdana"/>
          <w:sz w:val="17"/>
          <w:szCs w:val="17"/>
          <w:color w:val="auto"/>
        </w:rPr>
        <w:t>/</w:t>
      </w:r>
      <w:r>
        <w:rPr>
          <w:rFonts w:ascii="Verdana" w:cs="Verdana" w:eastAsia="Verdana" w:hAnsi="Verdana"/>
          <w:sz w:val="17"/>
          <w:szCs w:val="17"/>
          <w:color w:val="auto"/>
        </w:rPr>
        <w:t>субстанций</w:t>
      </w:r>
      <w:r>
        <w:rPr>
          <w:rFonts w:ascii="Verdana" w:cs="Verdana" w:eastAsia="Verdana" w:hAnsi="Verdana"/>
          <w:sz w:val="17"/>
          <w:szCs w:val="17"/>
          <w:color w:val="auto"/>
        </w:rPr>
        <w:t>/</w:t>
      </w:r>
      <w:r>
        <w:rPr>
          <w:rFonts w:ascii="Verdana" w:cs="Verdana" w:eastAsia="Verdana" w:hAnsi="Verdana"/>
          <w:sz w:val="17"/>
          <w:szCs w:val="17"/>
          <w:color w:val="auto"/>
        </w:rPr>
        <w:t>сопутствующая терапия</w:t>
      </w:r>
      <w:r>
        <w:rPr>
          <w:rFonts w:ascii="Verdana" w:cs="Verdana" w:eastAsia="Verdana" w:hAnsi="Verdana"/>
          <w:sz w:val="17"/>
          <w:szCs w:val="17"/>
          <w:color w:val="auto"/>
        </w:rPr>
        <w:t>:</w:t>
      </w:r>
      <w:r>
        <w:rPr>
          <w:rFonts w:ascii="Verdana" w:cs="Verdana" w:eastAsia="Verdana" w:hAnsi="Verdana"/>
          <w:sz w:val="17"/>
          <w:szCs w:val="17"/>
          <w:color w:val="auto"/>
        </w:rPr>
        <w:t xml:space="preserve"> кортикостероидами</w:t>
      </w:r>
      <w:r>
        <w:rPr>
          <w:rFonts w:ascii="Verdana" w:cs="Verdana" w:eastAsia="Verdana" w:hAnsi="Verdana"/>
          <w:sz w:val="17"/>
          <w:szCs w:val="17"/>
          <w:color w:val="auto"/>
        </w:rPr>
        <w:t>,</w:t>
      </w:r>
      <w:r>
        <w:rPr>
          <w:rFonts w:ascii="Verdana" w:cs="Verdana" w:eastAsia="Verdana" w:hAnsi="Verdana"/>
          <w:sz w:val="17"/>
          <w:szCs w:val="17"/>
          <w:color w:val="auto"/>
        </w:rPr>
        <w:t xml:space="preserve"> назальными вазоконстрикторами</w:t>
      </w:r>
      <w:r>
        <w:rPr>
          <w:rFonts w:ascii="Verdana" w:cs="Verdana" w:eastAsia="Verdana" w:hAnsi="Verdana"/>
          <w:sz w:val="17"/>
          <w:szCs w:val="17"/>
          <w:color w:val="auto"/>
        </w:rPr>
        <w:t>,</w:t>
      </w:r>
      <w:r>
        <w:rPr>
          <w:rFonts w:ascii="Verdana" w:cs="Verdana" w:eastAsia="Verdana" w:hAnsi="Verdana"/>
          <w:sz w:val="17"/>
          <w:szCs w:val="17"/>
          <w:color w:val="auto"/>
        </w:rPr>
        <w:t xml:space="preserve"> химиотерапия</w:t>
      </w:r>
      <w:r>
        <w:rPr>
          <w:rFonts w:ascii="Verdana" w:cs="Verdana" w:eastAsia="Verdana" w:hAnsi="Verdana"/>
          <w:sz w:val="17"/>
          <w:szCs w:val="17"/>
          <w:color w:val="auto"/>
        </w:rPr>
        <w:t>,</w:t>
      </w:r>
      <w:r>
        <w:rPr>
          <w:rFonts w:ascii="Verdana" w:cs="Verdana" w:eastAsia="Verdana" w:hAnsi="Verdana"/>
          <w:sz w:val="17"/>
          <w:szCs w:val="17"/>
          <w:color w:val="auto"/>
        </w:rPr>
        <w:t xml:space="preserve"> лакрица </w:t>
      </w:r>
      <w:r>
        <w:rPr>
          <w:rFonts w:ascii="Verdana" w:cs="Verdana" w:eastAsia="Verdana" w:hAnsi="Verdana"/>
          <w:sz w:val="17"/>
          <w:szCs w:val="17"/>
          <w:color w:val="auto"/>
        </w:rPr>
        <w:t>(</w:t>
      </w:r>
      <w:r>
        <w:rPr>
          <w:rFonts w:ascii="Verdana" w:cs="Verdana" w:eastAsia="Verdana" w:hAnsi="Verdana"/>
          <w:sz w:val="17"/>
          <w:szCs w:val="17"/>
          <w:color w:val="auto"/>
        </w:rPr>
        <w:t>подробнее в Приложении Г</w:t>
      </w:r>
      <w:r>
        <w:rPr>
          <w:rFonts w:ascii="Verdana" w:cs="Verdana" w:eastAsia="Verdana" w:hAnsi="Verdana"/>
          <w:sz w:val="17"/>
          <w:szCs w:val="17"/>
          <w:color w:val="auto"/>
        </w:rPr>
        <w:t>2)</w:t>
      </w:r>
    </w:p>
    <w:p>
      <w:pPr>
        <w:spacing w:after="0" w:line="263"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Повторяющиеся эпизоды потливости</w:t>
      </w:r>
      <w:r>
        <w:rPr>
          <w:rFonts w:ascii="Verdana" w:cs="Verdana" w:eastAsia="Verdana" w:hAnsi="Verdana"/>
          <w:sz w:val="17"/>
          <w:szCs w:val="17"/>
          <w:color w:val="auto"/>
        </w:rPr>
        <w:t>,</w:t>
      </w:r>
      <w:r>
        <w:rPr>
          <w:rFonts w:ascii="Verdana" w:cs="Verdana" w:eastAsia="Verdana" w:hAnsi="Verdana"/>
          <w:sz w:val="17"/>
          <w:szCs w:val="17"/>
          <w:color w:val="auto"/>
        </w:rPr>
        <w:t xml:space="preserve"> головных болей</w:t>
      </w:r>
      <w:r>
        <w:rPr>
          <w:rFonts w:ascii="Verdana" w:cs="Verdana" w:eastAsia="Verdana" w:hAnsi="Verdana"/>
          <w:sz w:val="17"/>
          <w:szCs w:val="17"/>
          <w:color w:val="auto"/>
        </w:rPr>
        <w:t>,</w:t>
      </w:r>
      <w:r>
        <w:rPr>
          <w:rFonts w:ascii="Verdana" w:cs="Verdana" w:eastAsia="Verdana" w:hAnsi="Verdana"/>
          <w:sz w:val="17"/>
          <w:szCs w:val="17"/>
          <w:color w:val="auto"/>
        </w:rPr>
        <w:t xml:space="preserve"> тревоги или сердцебиений</w:t>
      </w:r>
      <w:r>
        <w:rPr>
          <w:rFonts w:ascii="Verdana" w:cs="Verdana" w:eastAsia="Verdana" w:hAnsi="Verdana"/>
          <w:sz w:val="17"/>
          <w:szCs w:val="17"/>
          <w:color w:val="auto"/>
        </w:rPr>
        <w:t>,</w:t>
      </w:r>
      <w:r>
        <w:rPr>
          <w:rFonts w:ascii="Verdana" w:cs="Verdana" w:eastAsia="Verdana" w:hAnsi="Verdana"/>
          <w:sz w:val="17"/>
          <w:szCs w:val="17"/>
          <w:color w:val="auto"/>
        </w:rPr>
        <w:t xml:space="preserve"> позволяющие заподозрить феохромоцитому</w:t>
      </w:r>
    </w:p>
    <w:p>
      <w:pPr>
        <w:spacing w:after="0" w:line="261"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Указание в анамнезе на эпизоды спонтанной или спровоцированной диуретиками гипокалиемии</w:t>
      </w:r>
      <w:r>
        <w:rPr>
          <w:rFonts w:ascii="Verdana" w:cs="Verdana" w:eastAsia="Verdana" w:hAnsi="Verdana"/>
          <w:sz w:val="17"/>
          <w:szCs w:val="17"/>
          <w:color w:val="auto"/>
        </w:rPr>
        <w:t>,</w:t>
      </w:r>
      <w:r>
        <w:rPr>
          <w:rFonts w:ascii="Verdana" w:cs="Verdana" w:eastAsia="Verdana" w:hAnsi="Verdana"/>
          <w:sz w:val="17"/>
          <w:szCs w:val="17"/>
          <w:color w:val="auto"/>
        </w:rPr>
        <w:t xml:space="preserve"> приступы мышечной слабости или судорог </w:t>
      </w:r>
      <w:r>
        <w:rPr>
          <w:rFonts w:ascii="Verdana" w:cs="Verdana" w:eastAsia="Verdana" w:hAnsi="Verdana"/>
          <w:sz w:val="17"/>
          <w:szCs w:val="17"/>
          <w:color w:val="auto"/>
        </w:rPr>
        <w:t>(</w:t>
      </w:r>
      <w:r>
        <w:rPr>
          <w:rFonts w:ascii="Verdana" w:cs="Verdana" w:eastAsia="Verdana" w:hAnsi="Verdana"/>
          <w:sz w:val="17"/>
          <w:szCs w:val="17"/>
          <w:color w:val="auto"/>
        </w:rPr>
        <w:t>гиперальдостеронизм</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Признаки заболеваний щитовидной или паращитовидных желез</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Беременность или употребление оральных контрацептивов в настоящее время</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Указания в анамнезе на синдром ночного апноэ</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Антигипертензивная терапия</w:t>
      </w:r>
    </w:p>
    <w:p>
      <w:pPr>
        <w:spacing w:after="0" w:line="278"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Текущая</w:t>
      </w:r>
      <w:r>
        <w:rPr>
          <w:rFonts w:ascii="Verdana" w:cs="Verdana" w:eastAsia="Verdana" w:hAnsi="Verdana"/>
          <w:sz w:val="17"/>
          <w:szCs w:val="17"/>
          <w:color w:val="auto"/>
        </w:rPr>
        <w:t>/</w:t>
      </w:r>
      <w:r>
        <w:rPr>
          <w:rFonts w:ascii="Verdana" w:cs="Verdana" w:eastAsia="Verdana" w:hAnsi="Verdana"/>
          <w:sz w:val="17"/>
          <w:szCs w:val="17"/>
          <w:color w:val="auto"/>
        </w:rPr>
        <w:t>прошлая антигипертензивная терапия</w:t>
      </w:r>
      <w:r>
        <w:rPr>
          <w:rFonts w:ascii="Verdana" w:cs="Verdana" w:eastAsia="Verdana" w:hAnsi="Verdana"/>
          <w:sz w:val="17"/>
          <w:szCs w:val="17"/>
          <w:color w:val="auto"/>
        </w:rPr>
        <w:t>,</w:t>
      </w:r>
      <w:r>
        <w:rPr>
          <w:rFonts w:ascii="Verdana" w:cs="Verdana" w:eastAsia="Verdana" w:hAnsi="Verdana"/>
          <w:sz w:val="17"/>
          <w:szCs w:val="17"/>
          <w:color w:val="auto"/>
        </w:rPr>
        <w:t xml:space="preserve"> включая эффективность и переносимость препаратов</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Приверженность к терапии</w:t>
      </w:r>
    </w:p>
    <w:p>
      <w:pPr>
        <w:spacing w:after="0" w:line="20" w:lineRule="exact"/>
        <w:rPr>
          <w:sz w:val="20"/>
          <w:szCs w:val="20"/>
          <w:color w:val="auto"/>
        </w:rPr>
      </w:pPr>
    </w:p>
    <w:p>
      <w:pPr>
        <w:sectPr>
          <w:pgSz w:w="11900" w:h="16840" w:orient="portrait"/>
          <w:cols w:equalWidth="0" w:num="1">
            <w:col w:w="9020"/>
          </w:cols>
          <w:pgMar w:left="1440" w:top="143" w:right="1440" w:bottom="1440" w:gutter="0" w:footer="0" w:header="0"/>
        </w:sectPr>
      </w:pPr>
    </w:p>
    <w:bookmarkStart w:id="134" w:name="page135"/>
    <w:bookmarkEnd w:id="134"/>
    <w:p>
      <w:pPr>
        <w:ind w:left="520"/>
        <w:spacing w:after="0"/>
        <w:rPr>
          <w:sz w:val="20"/>
          <w:szCs w:val="20"/>
          <w:color w:val="auto"/>
        </w:rPr>
      </w:pPr>
      <w:r>
        <w:rPr>
          <w:rFonts w:ascii="Verdana" w:cs="Verdana" w:eastAsia="Verdana" w:hAnsi="Verdana"/>
          <w:sz w:val="17"/>
          <w:szCs w:val="17"/>
          <w:b w:val="1"/>
          <w:bCs w:val="1"/>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2401570"/>
            <wp:wrapNone/>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60">
                      <a:extLst>
                        <a:ext uri="{28A0092B-C50C-407E-A947-70E740481C1C}"/>
                      </a:extLst>
                    </a:blip>
                    <a:srcRect/>
                    <a:stretch>
                      <a:fillRect/>
                    </a:stretch>
                  </pic:blipFill>
                  <pic:spPr bwMode="auto">
                    <a:xfrm>
                      <a:off x="0" y="0"/>
                      <a:ext cx="5365115" cy="2401570"/>
                    </a:xfrm>
                    <a:prstGeom prst="rect">
                      <a:avLst/>
                    </a:prstGeom>
                    <a:noFill/>
                  </pic:spPr>
                </pic:pic>
              </a:graphicData>
            </a:graphic>
          </wp:anchor>
        </w:drawing>
        <w:t>Особое внимание следует обратить на следующие факторы</w:t>
      </w:r>
      <w:r>
        <w:rPr>
          <w:rFonts w:ascii="Verdana" w:cs="Verdana" w:eastAsia="Verdana" w:hAnsi="Verdana"/>
          <w:sz w:val="17"/>
          <w:szCs w:val="17"/>
          <w:b w:val="1"/>
          <w:bCs w:val="1"/>
          <w:color w:val="auto"/>
        </w:rPr>
        <w:t>:</w:t>
      </w:r>
    </w:p>
    <w:p>
      <w:pPr>
        <w:spacing w:after="0" w:line="68" w:lineRule="exact"/>
        <w:rPr>
          <w:sz w:val="20"/>
          <w:szCs w:val="20"/>
          <w:color w:val="auto"/>
        </w:rPr>
      </w:pPr>
    </w:p>
    <w:p>
      <w:pPr>
        <w:ind w:left="840" w:right="380"/>
        <w:spacing w:after="0" w:line="453" w:lineRule="auto"/>
        <w:rPr>
          <w:sz w:val="20"/>
          <w:szCs w:val="20"/>
          <w:color w:val="auto"/>
        </w:rPr>
      </w:pPr>
      <w:r>
        <w:rPr>
          <w:rFonts w:ascii="Verdana" w:cs="Verdana" w:eastAsia="Verdana" w:hAnsi="Verdana"/>
          <w:sz w:val="17"/>
          <w:szCs w:val="17"/>
          <w:color w:val="auto"/>
        </w:rPr>
        <w:t>Время установления диагноза АГ</w:t>
      </w:r>
      <w:r>
        <w:rPr>
          <w:rFonts w:ascii="Verdana" w:cs="Verdana" w:eastAsia="Verdana" w:hAnsi="Verdana"/>
          <w:sz w:val="17"/>
          <w:szCs w:val="17"/>
          <w:color w:val="auto"/>
        </w:rPr>
        <w:t>,</w:t>
      </w:r>
      <w:r>
        <w:rPr>
          <w:rFonts w:ascii="Verdana" w:cs="Verdana" w:eastAsia="Verdana" w:hAnsi="Verdana"/>
          <w:sz w:val="17"/>
          <w:szCs w:val="17"/>
          <w:color w:val="auto"/>
        </w:rPr>
        <w:t xml:space="preserve"> включая данные о любых предшествующих обследованиях</w:t>
      </w:r>
      <w:r>
        <w:rPr>
          <w:rFonts w:ascii="Verdana" w:cs="Verdana" w:eastAsia="Verdana" w:hAnsi="Verdana"/>
          <w:sz w:val="17"/>
          <w:szCs w:val="17"/>
          <w:color w:val="auto"/>
        </w:rPr>
        <w:t>,</w:t>
      </w:r>
      <w:r>
        <w:rPr>
          <w:rFonts w:ascii="Verdana" w:cs="Verdana" w:eastAsia="Verdana" w:hAnsi="Verdana"/>
          <w:sz w:val="17"/>
          <w:szCs w:val="17"/>
          <w:color w:val="auto"/>
        </w:rPr>
        <w:t xml:space="preserve"> госпитализациях и т</w:t>
      </w:r>
      <w:r>
        <w:rPr>
          <w:rFonts w:ascii="Verdana" w:cs="Verdana" w:eastAsia="Verdana" w:hAnsi="Verdana"/>
          <w:sz w:val="17"/>
          <w:szCs w:val="17"/>
          <w:color w:val="auto"/>
        </w:rPr>
        <w:t>.</w:t>
      </w:r>
      <w:r>
        <w:rPr>
          <w:rFonts w:ascii="Verdana" w:cs="Verdana" w:eastAsia="Verdana" w:hAnsi="Verdana"/>
          <w:sz w:val="17"/>
          <w:szCs w:val="17"/>
          <w:color w:val="auto"/>
        </w:rPr>
        <w:t>п</w:t>
      </w:r>
      <w:r>
        <w:rPr>
          <w:rFonts w:ascii="Verdana" w:cs="Verdana" w:eastAsia="Verdana" w:hAnsi="Verdana"/>
          <w:sz w:val="17"/>
          <w:szCs w:val="17"/>
          <w:color w:val="auto"/>
        </w:rPr>
        <w:t>.</w:t>
      </w:r>
    </w:p>
    <w:p>
      <w:pPr>
        <w:ind w:left="840"/>
        <w:spacing w:after="0"/>
        <w:rPr>
          <w:sz w:val="20"/>
          <w:szCs w:val="20"/>
          <w:color w:val="auto"/>
        </w:rPr>
      </w:pPr>
      <w:r>
        <w:rPr>
          <w:rFonts w:ascii="Verdana" w:cs="Verdana" w:eastAsia="Verdana" w:hAnsi="Verdana"/>
          <w:sz w:val="17"/>
          <w:szCs w:val="17"/>
          <w:color w:val="auto"/>
        </w:rPr>
        <w:t>Все имеющиеся записи об уровнях АД в настоящем и прошлом</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Сведения  о  приеме  любых  других  лекарственных  препаратов</w:t>
      </w:r>
      <w:r>
        <w:rPr>
          <w:rFonts w:ascii="Verdana" w:cs="Verdana" w:eastAsia="Verdana" w:hAnsi="Verdana"/>
          <w:sz w:val="17"/>
          <w:szCs w:val="17"/>
          <w:color w:val="auto"/>
        </w:rPr>
        <w:t>,</w:t>
      </w:r>
      <w:r>
        <w:rPr>
          <w:rFonts w:ascii="Verdana" w:cs="Verdana" w:eastAsia="Verdana" w:hAnsi="Verdana"/>
          <w:sz w:val="17"/>
          <w:szCs w:val="17"/>
          <w:color w:val="auto"/>
        </w:rPr>
        <w:t xml:space="preserve">  в  т</w:t>
      </w:r>
      <w:r>
        <w:rPr>
          <w:rFonts w:ascii="Verdana" w:cs="Verdana" w:eastAsia="Verdana" w:hAnsi="Verdana"/>
          <w:sz w:val="17"/>
          <w:szCs w:val="17"/>
          <w:color w:val="auto"/>
        </w:rPr>
        <w:t>.</w:t>
      </w:r>
      <w:r>
        <w:rPr>
          <w:rFonts w:ascii="Verdana" w:cs="Verdana" w:eastAsia="Verdana" w:hAnsi="Verdana"/>
          <w:sz w:val="17"/>
          <w:szCs w:val="17"/>
          <w:color w:val="auto"/>
        </w:rPr>
        <w:t>ч</w:t>
      </w:r>
      <w:r>
        <w:rPr>
          <w:rFonts w:ascii="Verdana" w:cs="Verdana" w:eastAsia="Verdana" w:hAnsi="Verdana"/>
          <w:sz w:val="17"/>
          <w:szCs w:val="17"/>
          <w:color w:val="auto"/>
        </w:rPr>
        <w:t>.</w:t>
      </w:r>
      <w:r>
        <w:rPr>
          <w:rFonts w:ascii="Verdana" w:cs="Verdana" w:eastAsia="Verdana" w:hAnsi="Verdana"/>
          <w:sz w:val="17"/>
          <w:szCs w:val="17"/>
          <w:color w:val="auto"/>
        </w:rPr>
        <w:t xml:space="preserve">  обладающих</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прессорным действием</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Описание и признаки всех сопутствующих заболеваний</w:t>
      </w:r>
      <w:r>
        <w:rPr>
          <w:rFonts w:ascii="Verdana" w:cs="Verdana" w:eastAsia="Verdana" w:hAnsi="Verdana"/>
          <w:sz w:val="17"/>
          <w:szCs w:val="17"/>
          <w:color w:val="auto"/>
        </w:rPr>
        <w:t>,</w:t>
      </w:r>
      <w:r>
        <w:rPr>
          <w:rFonts w:ascii="Verdana" w:cs="Verdana" w:eastAsia="Verdana" w:hAnsi="Verdana"/>
          <w:sz w:val="17"/>
          <w:szCs w:val="17"/>
          <w:color w:val="auto"/>
        </w:rPr>
        <w:t xml:space="preserve"> имевших место в прошлом и</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настоящем</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История течения менопаузы и приема гормональной заместительной терапии</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10"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2.</w:t>
      </w:r>
      <w:r>
        <w:rPr>
          <w:rFonts w:ascii="Arial" w:cs="Arial" w:eastAsia="Arial" w:hAnsi="Arial"/>
          <w:sz w:val="27"/>
          <w:szCs w:val="27"/>
          <w:color w:val="auto"/>
        </w:rPr>
        <w:t xml:space="preserve"> Принципы диагностики и оценки сердечно</w:t>
      </w:r>
      <w:r>
        <w:rPr>
          <w:rFonts w:ascii="Arial" w:cs="Arial" w:eastAsia="Arial" w:hAnsi="Arial"/>
          <w:sz w:val="27"/>
          <w:szCs w:val="27"/>
          <w:color w:val="auto"/>
        </w:rPr>
        <w:t>-</w:t>
      </w:r>
      <w:r>
        <w:rPr>
          <w:rFonts w:ascii="Arial" w:cs="Arial" w:eastAsia="Arial" w:hAnsi="Arial"/>
          <w:sz w:val="27"/>
          <w:szCs w:val="27"/>
          <w:color w:val="auto"/>
        </w:rPr>
        <w:t>сосудистого риска</w:t>
      </w:r>
    </w:p>
    <w:p>
      <w:pPr>
        <w:spacing w:after="0" w:line="186" w:lineRule="exact"/>
        <w:rPr>
          <w:sz w:val="20"/>
          <w:szCs w:val="20"/>
          <w:color w:val="auto"/>
        </w:rPr>
      </w:pPr>
    </w:p>
    <w:p>
      <w:pPr>
        <w:ind w:left="360" w:right="220"/>
        <w:spacing w:after="0" w:line="337" w:lineRule="auto"/>
        <w:rPr>
          <w:sz w:val="20"/>
          <w:szCs w:val="20"/>
          <w:color w:val="auto"/>
        </w:rPr>
      </w:pPr>
      <w:r>
        <w:rPr>
          <w:rFonts w:ascii="Arial" w:cs="Arial" w:eastAsia="Arial" w:hAnsi="Arial"/>
          <w:sz w:val="27"/>
          <w:szCs w:val="27"/>
          <w:b w:val="1"/>
          <w:bCs w:val="1"/>
          <w:u w:val="single" w:color="auto"/>
          <w:color w:val="auto"/>
        </w:rPr>
        <w:t>Таблица П</w:t>
      </w:r>
      <w:r>
        <w:rPr>
          <w:rFonts w:ascii="Arial" w:cs="Arial" w:eastAsia="Arial" w:hAnsi="Arial"/>
          <w:sz w:val="27"/>
          <w:szCs w:val="27"/>
          <w:b w:val="1"/>
          <w:bCs w:val="1"/>
          <w:u w:val="single" w:color="auto"/>
          <w:color w:val="auto"/>
        </w:rPr>
        <w:t>1/</w:t>
      </w:r>
      <w:r>
        <w:rPr>
          <w:rFonts w:ascii="Arial" w:cs="Arial" w:eastAsia="Arial" w:hAnsi="Arial"/>
          <w:sz w:val="27"/>
          <w:szCs w:val="27"/>
          <w:b w:val="1"/>
          <w:bCs w:val="1"/>
          <w:u w:val="single" w:color="auto"/>
          <w:color w:val="auto"/>
        </w:rPr>
        <w:t>Г</w:t>
      </w:r>
      <w:r>
        <w:rPr>
          <w:rFonts w:ascii="Arial" w:cs="Arial" w:eastAsia="Arial" w:hAnsi="Arial"/>
          <w:sz w:val="27"/>
          <w:szCs w:val="27"/>
          <w:b w:val="1"/>
          <w:bCs w:val="1"/>
          <w:u w:val="single" w:color="auto"/>
          <w:color w:val="auto"/>
        </w:rPr>
        <w:t>2.</w:t>
      </w:r>
      <w:r>
        <w:rPr>
          <w:rFonts w:ascii="Arial" w:cs="Arial" w:eastAsia="Arial" w:hAnsi="Arial"/>
          <w:sz w:val="27"/>
          <w:szCs w:val="27"/>
          <w:b w:val="1"/>
          <w:bCs w:val="1"/>
          <w:u w:val="single" w:color="auto"/>
          <w:color w:val="auto"/>
        </w:rPr>
        <w:t xml:space="preserve"> Скрининг и диагностика артериальной гипертензии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2830195"/>
            <wp:wrapNone/>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61">
                      <a:extLst>
                        <a:ext uri="{28A0092B-C50C-407E-A947-70E740481C1C}"/>
                      </a:extLst>
                    </a:blip>
                    <a:srcRect/>
                    <a:stretch>
                      <a:fillRect/>
                    </a:stretch>
                  </pic:blipFill>
                  <pic:spPr bwMode="auto">
                    <a:xfrm>
                      <a:off x="0" y="0"/>
                      <a:ext cx="5365115" cy="283019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66" w:lineRule="exact"/>
        <w:rPr>
          <w:sz w:val="20"/>
          <w:szCs w:val="20"/>
          <w:color w:val="auto"/>
        </w:rPr>
      </w:pPr>
    </w:p>
    <w:p>
      <w:pPr>
        <w:ind w:left="440"/>
        <w:spacing w:after="0"/>
        <w:rPr>
          <w:sz w:val="20"/>
          <w:szCs w:val="20"/>
          <w:color w:val="auto"/>
        </w:rPr>
      </w:pPr>
      <w:r>
        <w:rPr>
          <w:rFonts w:ascii="Arial" w:cs="Arial" w:eastAsia="Arial" w:hAnsi="Arial"/>
          <w:sz w:val="27"/>
          <w:szCs w:val="27"/>
          <w:b w:val="1"/>
          <w:bCs w:val="1"/>
          <w:u w:val="single" w:color="auto"/>
          <w:color w:val="auto"/>
        </w:rPr>
        <w:t>Таблица П</w:t>
      </w:r>
      <w:r>
        <w:rPr>
          <w:rFonts w:ascii="Arial" w:cs="Arial" w:eastAsia="Arial" w:hAnsi="Arial"/>
          <w:sz w:val="27"/>
          <w:szCs w:val="27"/>
          <w:b w:val="1"/>
          <w:bCs w:val="1"/>
          <w:u w:val="single" w:color="auto"/>
          <w:color w:val="auto"/>
        </w:rPr>
        <w:t>2/</w:t>
      </w:r>
      <w:r>
        <w:rPr>
          <w:rFonts w:ascii="Arial" w:cs="Arial" w:eastAsia="Arial" w:hAnsi="Arial"/>
          <w:sz w:val="27"/>
          <w:szCs w:val="27"/>
          <w:b w:val="1"/>
          <w:bCs w:val="1"/>
          <w:u w:val="single" w:color="auto"/>
          <w:color w:val="auto"/>
        </w:rPr>
        <w:t>Г</w:t>
      </w:r>
      <w:r>
        <w:rPr>
          <w:rFonts w:ascii="Arial" w:cs="Arial" w:eastAsia="Arial" w:hAnsi="Arial"/>
          <w:sz w:val="27"/>
          <w:szCs w:val="27"/>
          <w:b w:val="1"/>
          <w:bCs w:val="1"/>
          <w:u w:val="single" w:color="auto"/>
          <w:color w:val="auto"/>
        </w:rPr>
        <w:t>2.</w:t>
      </w:r>
      <w:r>
        <w:rPr>
          <w:rFonts w:ascii="Arial" w:cs="Arial" w:eastAsia="Arial" w:hAnsi="Arial"/>
          <w:sz w:val="27"/>
          <w:szCs w:val="27"/>
          <w:b w:val="1"/>
          <w:bCs w:val="1"/>
          <w:u w:val="single" w:color="auto"/>
          <w:color w:val="auto"/>
        </w:rPr>
        <w:t xml:space="preserve"> Частые причины вторичных гипертензий</w:t>
      </w:r>
    </w:p>
    <w:p>
      <w:pPr>
        <w:spacing w:after="0" w:line="310"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228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Причина</w:t>
            </w:r>
          </w:p>
        </w:tc>
        <w:tc>
          <w:tcPr>
            <w:tcW w:w="206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Распространенность</w:t>
            </w:r>
          </w:p>
        </w:tc>
        <w:tc>
          <w:tcPr>
            <w:tcW w:w="118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rPr>
              <w:t>Возможные</w:t>
            </w:r>
          </w:p>
        </w:tc>
        <w:tc>
          <w:tcPr>
            <w:tcW w:w="1120" w:type="dxa"/>
            <w:vAlign w:val="bottom"/>
            <w:tcBorders>
              <w:top w:val="single" w:sz="8" w:color="auto"/>
              <w:right w:val="single" w:sz="8" w:color="auto"/>
            </w:tcBorders>
          </w:tcPr>
          <w:p>
            <w:pPr>
              <w:jc w:val="right"/>
              <w:ind w:right="97"/>
              <w:spacing w:after="0"/>
              <w:rPr>
                <w:sz w:val="20"/>
                <w:szCs w:val="20"/>
                <w:color w:val="auto"/>
              </w:rPr>
            </w:pPr>
            <w:r>
              <w:rPr>
                <w:rFonts w:ascii="Verdana" w:cs="Verdana" w:eastAsia="Verdana" w:hAnsi="Verdana"/>
                <w:sz w:val="17"/>
                <w:szCs w:val="17"/>
                <w:color w:val="auto"/>
              </w:rPr>
              <w:t>симптомы</w:t>
            </w:r>
          </w:p>
        </w:tc>
        <w:tc>
          <w:tcPr>
            <w:tcW w:w="180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color w:val="auto"/>
              </w:rPr>
              <w:t>Обследование</w:t>
            </w:r>
          </w:p>
        </w:tc>
      </w:tr>
      <w:tr>
        <w:trPr>
          <w:trHeight w:val="220"/>
        </w:trPr>
        <w:tc>
          <w:tcPr>
            <w:tcW w:w="2280" w:type="dxa"/>
            <w:vAlign w:val="bottom"/>
            <w:tcBorders>
              <w:left w:val="single" w:sz="8" w:color="auto"/>
              <w:right w:val="single" w:sz="8" w:color="auto"/>
            </w:tcBorders>
          </w:tcPr>
          <w:p>
            <w:pPr>
              <w:spacing w:after="0"/>
              <w:rPr>
                <w:sz w:val="19"/>
                <w:szCs w:val="19"/>
                <w:color w:val="auto"/>
              </w:rPr>
            </w:pPr>
          </w:p>
        </w:tc>
        <w:tc>
          <w:tcPr>
            <w:tcW w:w="20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среди пациентов АГ</w:t>
            </w:r>
          </w:p>
        </w:tc>
        <w:tc>
          <w:tcPr>
            <w:tcW w:w="1180" w:type="dxa"/>
            <w:vAlign w:val="bottom"/>
            <w:gridSpan w:val="2"/>
          </w:tcPr>
          <w:p>
            <w:pPr>
              <w:ind w:left="140"/>
              <w:spacing w:after="0"/>
              <w:rPr>
                <w:sz w:val="20"/>
                <w:szCs w:val="20"/>
                <w:color w:val="auto"/>
              </w:rPr>
            </w:pPr>
            <w:r>
              <w:rPr>
                <w:rFonts w:ascii="Verdana" w:cs="Verdana" w:eastAsia="Verdana" w:hAnsi="Verdana"/>
                <w:sz w:val="17"/>
                <w:szCs w:val="17"/>
                <w:color w:val="auto"/>
              </w:rPr>
              <w:t>и признаки</w:t>
            </w:r>
          </w:p>
        </w:tc>
        <w:tc>
          <w:tcPr>
            <w:tcW w:w="1120" w:type="dxa"/>
            <w:vAlign w:val="bottom"/>
            <w:tcBorders>
              <w:right w:val="single" w:sz="8" w:color="auto"/>
            </w:tcBorders>
          </w:tcPr>
          <w:p>
            <w:pPr>
              <w:spacing w:after="0"/>
              <w:rPr>
                <w:sz w:val="19"/>
                <w:szCs w:val="19"/>
                <w:color w:val="auto"/>
              </w:rPr>
            </w:pPr>
          </w:p>
        </w:tc>
        <w:tc>
          <w:tcPr>
            <w:tcW w:w="1800" w:type="dxa"/>
            <w:vAlign w:val="bottom"/>
          </w:tcPr>
          <w:p>
            <w:pPr>
              <w:spacing w:after="0"/>
              <w:rPr>
                <w:sz w:val="19"/>
                <w:szCs w:val="19"/>
                <w:color w:val="auto"/>
              </w:rPr>
            </w:pPr>
          </w:p>
        </w:tc>
      </w:tr>
      <w:tr>
        <w:trPr>
          <w:trHeight w:val="110"/>
        </w:trPr>
        <w:tc>
          <w:tcPr>
            <w:tcW w:w="2280" w:type="dxa"/>
            <w:vAlign w:val="bottom"/>
            <w:tcBorders>
              <w:left w:val="single" w:sz="8" w:color="auto"/>
              <w:bottom w:val="single" w:sz="8" w:color="auto"/>
              <w:right w:val="single" w:sz="8" w:color="auto"/>
            </w:tcBorders>
          </w:tcPr>
          <w:p>
            <w:pPr>
              <w:spacing w:after="0"/>
              <w:rPr>
                <w:sz w:val="9"/>
                <w:szCs w:val="9"/>
                <w:color w:val="auto"/>
              </w:rPr>
            </w:pPr>
          </w:p>
        </w:tc>
        <w:tc>
          <w:tcPr>
            <w:tcW w:w="2060" w:type="dxa"/>
            <w:vAlign w:val="bottom"/>
            <w:tcBorders>
              <w:bottom w:val="single" w:sz="8" w:color="auto"/>
              <w:right w:val="single" w:sz="8" w:color="auto"/>
            </w:tcBorders>
          </w:tcPr>
          <w:p>
            <w:pPr>
              <w:spacing w:after="0"/>
              <w:rPr>
                <w:sz w:val="9"/>
                <w:szCs w:val="9"/>
                <w:color w:val="auto"/>
              </w:rPr>
            </w:pPr>
          </w:p>
        </w:tc>
        <w:tc>
          <w:tcPr>
            <w:tcW w:w="2300" w:type="dxa"/>
            <w:vAlign w:val="bottom"/>
            <w:tcBorders>
              <w:bottom w:val="single" w:sz="8" w:color="auto"/>
              <w:right w:val="single" w:sz="8" w:color="auto"/>
            </w:tcBorders>
            <w:gridSpan w:val="3"/>
          </w:tcPr>
          <w:p>
            <w:pPr>
              <w:spacing w:after="0"/>
              <w:rPr>
                <w:sz w:val="9"/>
                <w:szCs w:val="9"/>
                <w:color w:val="auto"/>
              </w:rPr>
            </w:pPr>
          </w:p>
        </w:tc>
        <w:tc>
          <w:tcPr>
            <w:tcW w:w="1800" w:type="dxa"/>
            <w:vAlign w:val="bottom"/>
            <w:tcBorders>
              <w:bottom w:val="single" w:sz="8" w:color="auto"/>
            </w:tcBorders>
          </w:tcPr>
          <w:p>
            <w:pPr>
              <w:spacing w:after="0"/>
              <w:rPr>
                <w:sz w:val="9"/>
                <w:szCs w:val="9"/>
                <w:color w:val="auto"/>
              </w:rPr>
            </w:pPr>
          </w:p>
        </w:tc>
      </w:tr>
      <w:tr>
        <w:trPr>
          <w:trHeight w:val="295"/>
        </w:trPr>
        <w:tc>
          <w:tcPr>
            <w:tcW w:w="228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Синдром</w:t>
            </w:r>
          </w:p>
        </w:tc>
        <w:tc>
          <w:tcPr>
            <w:tcW w:w="20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5–10%</w:t>
            </w:r>
          </w:p>
        </w:tc>
        <w:tc>
          <w:tcPr>
            <w:tcW w:w="23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Храп</w:t>
            </w:r>
            <w:r>
              <w:rPr>
                <w:rFonts w:ascii="Verdana" w:cs="Verdana" w:eastAsia="Verdana" w:hAnsi="Verdana"/>
                <w:sz w:val="17"/>
                <w:szCs w:val="17"/>
                <w:color w:val="auto"/>
              </w:rPr>
              <w:t>;</w:t>
            </w:r>
            <w:r>
              <w:rPr>
                <w:rFonts w:ascii="Verdana" w:cs="Verdana" w:eastAsia="Verdana" w:hAnsi="Verdana"/>
                <w:sz w:val="17"/>
                <w:szCs w:val="17"/>
                <w:color w:val="auto"/>
              </w:rPr>
              <w:t xml:space="preserve">  ожирение  </w:t>
            </w:r>
            <w:r>
              <w:rPr>
                <w:rFonts w:ascii="Verdana" w:cs="Verdana" w:eastAsia="Verdana" w:hAnsi="Verdana"/>
                <w:sz w:val="17"/>
                <w:szCs w:val="17"/>
                <w:color w:val="auto"/>
              </w:rPr>
              <w:t>(</w:t>
            </w:r>
            <w:r>
              <w:rPr>
                <w:rFonts w:ascii="Verdana" w:cs="Verdana" w:eastAsia="Verdana" w:hAnsi="Verdana"/>
                <w:sz w:val="17"/>
                <w:szCs w:val="17"/>
                <w:color w:val="auto"/>
              </w:rPr>
              <w:t>но</w:t>
            </w:r>
          </w:p>
        </w:tc>
        <w:tc>
          <w:tcPr>
            <w:tcW w:w="1800" w:type="dxa"/>
            <w:vAlign w:val="bottom"/>
          </w:tcPr>
          <w:p>
            <w:pPr>
              <w:ind w:left="140"/>
              <w:spacing w:after="0"/>
              <w:rPr>
                <w:sz w:val="20"/>
                <w:szCs w:val="20"/>
                <w:color w:val="auto"/>
              </w:rPr>
            </w:pPr>
            <w:r>
              <w:rPr>
                <w:rFonts w:ascii="Verdana" w:cs="Verdana" w:eastAsia="Verdana" w:hAnsi="Verdana"/>
                <w:sz w:val="17"/>
                <w:szCs w:val="17"/>
                <w:color w:val="auto"/>
                <w:w w:val="98"/>
              </w:rPr>
              <w:t>Шкала  Эпворта  и</w:t>
            </w:r>
          </w:p>
        </w:tc>
      </w:tr>
      <w:tr>
        <w:trPr>
          <w:trHeight w:val="165"/>
        </w:trPr>
        <w:tc>
          <w:tcPr>
            <w:tcW w:w="228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обструктивного апноэ</w:t>
            </w:r>
          </w:p>
        </w:tc>
        <w:tc>
          <w:tcPr>
            <w:tcW w:w="2060" w:type="dxa"/>
            <w:vAlign w:val="bottom"/>
            <w:tcBorders>
              <w:right w:val="single" w:sz="8" w:color="auto"/>
            </w:tcBorders>
          </w:tcPr>
          <w:p>
            <w:pPr>
              <w:spacing w:after="0"/>
              <w:rPr>
                <w:sz w:val="14"/>
                <w:szCs w:val="14"/>
                <w:color w:val="auto"/>
              </w:rPr>
            </w:pPr>
          </w:p>
        </w:tc>
        <w:tc>
          <w:tcPr>
            <w:tcW w:w="880" w:type="dxa"/>
            <w:vAlign w:val="bottom"/>
          </w:tcPr>
          <w:p>
            <w:pPr>
              <w:ind w:left="140"/>
              <w:spacing w:after="0" w:line="165" w:lineRule="exact"/>
              <w:rPr>
                <w:sz w:val="20"/>
                <w:szCs w:val="20"/>
                <w:color w:val="auto"/>
              </w:rPr>
            </w:pPr>
            <w:r>
              <w:rPr>
                <w:rFonts w:ascii="Verdana" w:cs="Verdana" w:eastAsia="Verdana" w:hAnsi="Verdana"/>
                <w:sz w:val="17"/>
                <w:szCs w:val="17"/>
                <w:color w:val="auto"/>
              </w:rPr>
              <w:t>может</w:t>
            </w:r>
          </w:p>
        </w:tc>
        <w:tc>
          <w:tcPr>
            <w:tcW w:w="142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встречаться</w:t>
            </w:r>
          </w:p>
        </w:tc>
        <w:tc>
          <w:tcPr>
            <w:tcW w:w="1800" w:type="dxa"/>
            <w:vAlign w:val="bottom"/>
          </w:tcPr>
          <w:p>
            <w:pPr>
              <w:ind w:left="140"/>
              <w:spacing w:after="0" w:line="165" w:lineRule="exact"/>
              <w:rPr>
                <w:sz w:val="20"/>
                <w:szCs w:val="20"/>
                <w:color w:val="auto"/>
              </w:rPr>
            </w:pPr>
            <w:r>
              <w:rPr>
                <w:rFonts w:ascii="Verdana" w:cs="Verdana" w:eastAsia="Verdana" w:hAnsi="Verdana"/>
                <w:sz w:val="17"/>
                <w:szCs w:val="17"/>
                <w:color w:val="auto"/>
              </w:rPr>
              <w:t>полисомнография</w:t>
            </w:r>
          </w:p>
        </w:tc>
      </w:tr>
      <w:tr>
        <w:trPr>
          <w:trHeight w:val="165"/>
        </w:trPr>
        <w:tc>
          <w:tcPr>
            <w:tcW w:w="228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во время сна</w:t>
            </w:r>
          </w:p>
        </w:tc>
        <w:tc>
          <w:tcPr>
            <w:tcW w:w="2060" w:type="dxa"/>
            <w:vAlign w:val="bottom"/>
            <w:tcBorders>
              <w:right w:val="single" w:sz="8" w:color="auto"/>
            </w:tcBorders>
          </w:tcPr>
          <w:p>
            <w:pPr>
              <w:spacing w:after="0"/>
              <w:rPr>
                <w:sz w:val="14"/>
                <w:szCs w:val="14"/>
                <w:color w:val="auto"/>
              </w:rPr>
            </w:pPr>
          </w:p>
        </w:tc>
        <w:tc>
          <w:tcPr>
            <w:tcW w:w="880" w:type="dxa"/>
            <w:vAlign w:val="bottom"/>
          </w:tcPr>
          <w:p>
            <w:pPr>
              <w:ind w:left="140"/>
              <w:spacing w:after="0" w:line="165" w:lineRule="exact"/>
              <w:rPr>
                <w:sz w:val="20"/>
                <w:szCs w:val="20"/>
                <w:color w:val="auto"/>
              </w:rPr>
            </w:pPr>
            <w:r>
              <w:rPr>
                <w:rFonts w:ascii="Verdana" w:cs="Verdana" w:eastAsia="Verdana" w:hAnsi="Verdana"/>
                <w:sz w:val="17"/>
                <w:szCs w:val="17"/>
                <w:color w:val="auto"/>
              </w:rPr>
              <w:t>при</w:t>
            </w:r>
          </w:p>
        </w:tc>
        <w:tc>
          <w:tcPr>
            <w:tcW w:w="300" w:type="dxa"/>
            <w:vAlign w:val="bottom"/>
          </w:tcPr>
          <w:p>
            <w:pPr>
              <w:spacing w:after="0"/>
              <w:rPr>
                <w:sz w:val="14"/>
                <w:szCs w:val="14"/>
                <w:color w:val="auto"/>
              </w:rPr>
            </w:pPr>
          </w:p>
        </w:tc>
        <w:tc>
          <w:tcPr>
            <w:tcW w:w="11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6"/>
              </w:rPr>
              <w:t>отсутствии</w:t>
            </w:r>
          </w:p>
        </w:tc>
        <w:tc>
          <w:tcPr>
            <w:tcW w:w="1800" w:type="dxa"/>
            <w:vAlign w:val="bottom"/>
          </w:tcPr>
          <w:p>
            <w:pPr>
              <w:spacing w:after="0"/>
              <w:rPr>
                <w:sz w:val="14"/>
                <w:szCs w:val="14"/>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ожирения</w:t>
            </w:r>
            <w:r>
              <w:rPr>
                <w:rFonts w:ascii="Verdana" w:cs="Verdana" w:eastAsia="Verdana" w:hAnsi="Verdana"/>
                <w:sz w:val="17"/>
                <w:szCs w:val="17"/>
                <w:color w:val="auto"/>
                <w:w w:val="99"/>
              </w:rPr>
              <w:t>);</w:t>
            </w:r>
          </w:p>
        </w:tc>
        <w:tc>
          <w:tcPr>
            <w:tcW w:w="1120" w:type="dxa"/>
            <w:vAlign w:val="bottom"/>
            <w:tcBorders>
              <w:right w:val="single" w:sz="8" w:color="auto"/>
            </w:tcBorders>
          </w:tcPr>
          <w:p>
            <w:pPr>
              <w:spacing w:after="0"/>
              <w:rPr>
                <w:sz w:val="14"/>
                <w:szCs w:val="14"/>
                <w:color w:val="auto"/>
              </w:rPr>
            </w:pPr>
          </w:p>
        </w:tc>
        <w:tc>
          <w:tcPr>
            <w:tcW w:w="1800" w:type="dxa"/>
            <w:vAlign w:val="bottom"/>
          </w:tcPr>
          <w:p>
            <w:pPr>
              <w:spacing w:after="0"/>
              <w:rPr>
                <w:sz w:val="14"/>
                <w:szCs w:val="14"/>
                <w:color w:val="auto"/>
              </w:rPr>
            </w:pPr>
          </w:p>
        </w:tc>
      </w:tr>
      <w:tr>
        <w:trPr>
          <w:trHeight w:val="220"/>
        </w:trPr>
        <w:tc>
          <w:tcPr>
            <w:tcW w:w="2280" w:type="dxa"/>
            <w:vAlign w:val="bottom"/>
            <w:tcBorders>
              <w:left w:val="single" w:sz="8" w:color="auto"/>
              <w:right w:val="single" w:sz="8" w:color="auto"/>
            </w:tcBorders>
          </w:tcPr>
          <w:p>
            <w:pPr>
              <w:spacing w:after="0"/>
              <w:rPr>
                <w:sz w:val="19"/>
                <w:szCs w:val="19"/>
                <w:color w:val="auto"/>
              </w:rPr>
            </w:pPr>
          </w:p>
        </w:tc>
        <w:tc>
          <w:tcPr>
            <w:tcW w:w="2060" w:type="dxa"/>
            <w:vAlign w:val="bottom"/>
            <w:tcBorders>
              <w:right w:val="single" w:sz="8" w:color="auto"/>
            </w:tcBorders>
          </w:tcPr>
          <w:p>
            <w:pPr>
              <w:spacing w:after="0"/>
              <w:rPr>
                <w:sz w:val="19"/>
                <w:szCs w:val="19"/>
                <w:color w:val="auto"/>
              </w:rPr>
            </w:pPr>
          </w:p>
        </w:tc>
        <w:tc>
          <w:tcPr>
            <w:tcW w:w="230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сонливость днем</w:t>
            </w:r>
          </w:p>
        </w:tc>
        <w:tc>
          <w:tcPr>
            <w:tcW w:w="1800" w:type="dxa"/>
            <w:vAlign w:val="bottom"/>
          </w:tcPr>
          <w:p>
            <w:pPr>
              <w:spacing w:after="0"/>
              <w:rPr>
                <w:sz w:val="19"/>
                <w:szCs w:val="19"/>
                <w:color w:val="auto"/>
              </w:rPr>
            </w:pPr>
          </w:p>
        </w:tc>
      </w:tr>
      <w:tr>
        <w:trPr>
          <w:trHeight w:val="110"/>
        </w:trPr>
        <w:tc>
          <w:tcPr>
            <w:tcW w:w="2280" w:type="dxa"/>
            <w:vAlign w:val="bottom"/>
            <w:tcBorders>
              <w:left w:val="single" w:sz="8" w:color="auto"/>
              <w:bottom w:val="single" w:sz="8" w:color="auto"/>
              <w:right w:val="single" w:sz="8" w:color="auto"/>
            </w:tcBorders>
          </w:tcPr>
          <w:p>
            <w:pPr>
              <w:spacing w:after="0"/>
              <w:rPr>
                <w:sz w:val="9"/>
                <w:szCs w:val="9"/>
                <w:color w:val="auto"/>
              </w:rPr>
            </w:pPr>
          </w:p>
        </w:tc>
        <w:tc>
          <w:tcPr>
            <w:tcW w:w="2060" w:type="dxa"/>
            <w:vAlign w:val="bottom"/>
            <w:tcBorders>
              <w:bottom w:val="single" w:sz="8" w:color="auto"/>
              <w:right w:val="single" w:sz="8" w:color="auto"/>
            </w:tcBorders>
          </w:tcPr>
          <w:p>
            <w:pPr>
              <w:spacing w:after="0"/>
              <w:rPr>
                <w:sz w:val="9"/>
                <w:szCs w:val="9"/>
                <w:color w:val="auto"/>
              </w:rPr>
            </w:pPr>
          </w:p>
        </w:tc>
        <w:tc>
          <w:tcPr>
            <w:tcW w:w="88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1120" w:type="dxa"/>
            <w:vAlign w:val="bottom"/>
            <w:tcBorders>
              <w:bottom w:val="single" w:sz="8" w:color="auto"/>
              <w:right w:val="single" w:sz="8" w:color="auto"/>
            </w:tcBorders>
          </w:tcPr>
          <w:p>
            <w:pPr>
              <w:spacing w:after="0"/>
              <w:rPr>
                <w:sz w:val="9"/>
                <w:szCs w:val="9"/>
                <w:color w:val="auto"/>
              </w:rPr>
            </w:pPr>
          </w:p>
        </w:tc>
        <w:tc>
          <w:tcPr>
            <w:tcW w:w="1800" w:type="dxa"/>
            <w:vAlign w:val="bottom"/>
            <w:tcBorders>
              <w:bottom w:val="single" w:sz="8" w:color="auto"/>
            </w:tcBorders>
          </w:tcPr>
          <w:p>
            <w:pPr>
              <w:spacing w:after="0"/>
              <w:rPr>
                <w:sz w:val="9"/>
                <w:szCs w:val="9"/>
                <w:color w:val="auto"/>
              </w:rPr>
            </w:pPr>
          </w:p>
        </w:tc>
      </w:tr>
    </w:tbl>
    <w:p>
      <w:pPr>
        <w:spacing w:after="0" w:line="20" w:lineRule="exact"/>
        <w:rPr>
          <w:sz w:val="20"/>
          <w:szCs w:val="20"/>
          <w:color w:val="auto"/>
        </w:rPr>
      </w:pPr>
    </w:p>
    <w:p>
      <w:pPr>
        <w:sectPr>
          <w:pgSz w:w="11900" w:h="16840" w:orient="portrait"/>
          <w:cols w:equalWidth="0" w:num="1">
            <w:col w:w="9020"/>
          </w:cols>
          <w:pgMar w:left="1440" w:top="139" w:right="1440" w:bottom="564" w:gutter="0" w:footer="0" w:header="0"/>
        </w:sectPr>
      </w:pPr>
    </w:p>
    <w:bookmarkStart w:id="135" w:name="page136"/>
    <w:bookmarkEnd w:id="135"/>
    <w:tbl>
      <w:tblPr>
        <w:tblLayout w:type="fixed"/>
        <w:tblInd w:w="370" w:type="dxa"/>
        <w:tblCellMar>
          <w:top w:w="0" w:type="dxa"/>
          <w:left w:w="0" w:type="dxa"/>
          <w:bottom w:w="0" w:type="dxa"/>
          <w:right w:w="0" w:type="dxa"/>
        </w:tblCellMar>
      </w:tblPr>
      <w:tr>
        <w:trPr>
          <w:trHeight w:val="295"/>
        </w:trPr>
        <w:tc>
          <w:tcPr>
            <w:tcW w:w="2280" w:type="dxa"/>
            <w:vAlign w:val="bottom"/>
            <w:tcBorders>
              <w:top w:val="single" w:sz="8" w:color="auto"/>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Ренопаренхиматозные</w:t>
            </w:r>
          </w:p>
        </w:tc>
        <w:tc>
          <w:tcPr>
            <w:tcW w:w="120" w:type="dxa"/>
            <w:vAlign w:val="bottom"/>
            <w:tcBorders>
              <w:top w:val="single" w:sz="8" w:color="auto"/>
            </w:tcBorders>
          </w:tcPr>
          <w:p>
            <w:pPr>
              <w:spacing w:after="0"/>
              <w:rPr>
                <w:sz w:val="24"/>
                <w:szCs w:val="24"/>
                <w:color w:val="auto"/>
              </w:rPr>
            </w:pPr>
          </w:p>
        </w:tc>
        <w:tc>
          <w:tcPr>
            <w:tcW w:w="1940" w:type="dxa"/>
            <w:vAlign w:val="bottom"/>
            <w:tcBorders>
              <w:top w:val="single" w:sz="8" w:color="auto"/>
              <w:right w:val="single" w:sz="8" w:color="auto"/>
            </w:tcBorders>
          </w:tcPr>
          <w:p>
            <w:pPr>
              <w:ind w:left="20"/>
              <w:spacing w:after="0"/>
              <w:rPr>
                <w:sz w:val="20"/>
                <w:szCs w:val="20"/>
                <w:color w:val="auto"/>
              </w:rPr>
            </w:pPr>
            <w:r>
              <w:rPr>
                <w:rFonts w:ascii="Verdana" w:cs="Verdana" w:eastAsia="Verdana" w:hAnsi="Verdana"/>
                <w:sz w:val="17"/>
                <w:szCs w:val="17"/>
                <w:color w:val="auto"/>
              </w:rPr>
              <w:t>2–10%</w:t>
            </w:r>
          </w:p>
        </w:tc>
        <w:tc>
          <w:tcPr>
            <w:tcW w:w="1600" w:type="dxa"/>
            <w:vAlign w:val="bottom"/>
            <w:tcBorders>
              <w:top w:val="single" w:sz="8" w:color="auto"/>
            </w:tcBorders>
            <w:gridSpan w:val="4"/>
          </w:tcPr>
          <w:p>
            <w:pPr>
              <w:ind w:left="140"/>
              <w:spacing w:after="0"/>
              <w:rPr>
                <w:sz w:val="20"/>
                <w:szCs w:val="20"/>
                <w:color w:val="auto"/>
              </w:rPr>
            </w:pPr>
            <w:r>
              <w:rPr>
                <w:rFonts w:ascii="Verdana" w:cs="Verdana" w:eastAsia="Verdana" w:hAnsi="Verdana"/>
                <w:sz w:val="17"/>
                <w:szCs w:val="17"/>
                <w:color w:val="auto"/>
              </w:rPr>
              <w:t>Бессимптомное</w:t>
            </w:r>
          </w:p>
        </w:tc>
        <w:tc>
          <w:tcPr>
            <w:tcW w:w="40" w:type="dxa"/>
            <w:vAlign w:val="bottom"/>
            <w:tcBorders>
              <w:top w:val="single" w:sz="8" w:color="auto"/>
            </w:tcBorders>
          </w:tcPr>
          <w:p>
            <w:pPr>
              <w:spacing w:after="0"/>
              <w:rPr>
                <w:sz w:val="24"/>
                <w:szCs w:val="24"/>
                <w:color w:val="auto"/>
              </w:rPr>
            </w:pPr>
          </w:p>
        </w:tc>
        <w:tc>
          <w:tcPr>
            <w:tcW w:w="160" w:type="dxa"/>
            <w:vAlign w:val="bottom"/>
            <w:tcBorders>
              <w:top w:val="single" w:sz="8" w:color="auto"/>
            </w:tcBorders>
          </w:tcPr>
          <w:p>
            <w:pPr>
              <w:spacing w:after="0"/>
              <w:rPr>
                <w:sz w:val="24"/>
                <w:szCs w:val="24"/>
                <w:color w:val="auto"/>
              </w:rPr>
            </w:pPr>
          </w:p>
        </w:tc>
        <w:tc>
          <w:tcPr>
            <w:tcW w:w="500" w:type="dxa"/>
            <w:vAlign w:val="bottom"/>
            <w:tcBorders>
              <w:top w:val="single" w:sz="8" w:color="auto"/>
              <w:right w:val="single" w:sz="8" w:color="auto"/>
            </w:tcBorders>
          </w:tcPr>
          <w:p>
            <w:pPr>
              <w:spacing w:after="0"/>
              <w:rPr>
                <w:sz w:val="24"/>
                <w:szCs w:val="24"/>
                <w:color w:val="auto"/>
              </w:rPr>
            </w:pPr>
          </w:p>
        </w:tc>
        <w:tc>
          <w:tcPr>
            <w:tcW w:w="106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w w:val="95"/>
              </w:rPr>
              <w:t>Креатинин</w:t>
            </w:r>
          </w:p>
        </w:tc>
        <w:tc>
          <w:tcPr>
            <w:tcW w:w="440" w:type="dxa"/>
            <w:vAlign w:val="bottom"/>
            <w:tcBorders>
              <w:top w:val="single" w:sz="8" w:color="auto"/>
            </w:tcBorders>
          </w:tcPr>
          <w:p>
            <w:pPr>
              <w:spacing w:after="0"/>
              <w:rPr>
                <w:sz w:val="24"/>
                <w:szCs w:val="24"/>
                <w:color w:val="auto"/>
              </w:rPr>
            </w:pPr>
          </w:p>
        </w:tc>
        <w:tc>
          <w:tcPr>
            <w:tcW w:w="300" w:type="dxa"/>
            <w:vAlign w:val="bottom"/>
            <w:tcBorders>
              <w:top w:val="single" w:sz="8" w:color="auto"/>
            </w:tcBorders>
          </w:tcPr>
          <w:p>
            <w:pPr>
              <w:jc w:val="right"/>
              <w:spacing w:after="0"/>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заболевания</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течение</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сахарный</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электролиты</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диабет</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w w:val="95"/>
              </w:rPr>
              <w:t>гематурия</w:t>
            </w:r>
            <w:r>
              <w:rPr>
                <w:rFonts w:ascii="Verdana" w:cs="Verdana" w:eastAsia="Verdana" w:hAnsi="Verdana"/>
                <w:sz w:val="17"/>
                <w:szCs w:val="17"/>
                <w:color w:val="auto"/>
                <w:w w:val="95"/>
              </w:rPr>
              <w:t>,</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w w:val="97"/>
              </w:rPr>
              <w:t>плазмы</w:t>
            </w:r>
            <w:r>
              <w:rPr>
                <w:rFonts w:ascii="Verdana" w:cs="Verdana" w:eastAsia="Verdana" w:hAnsi="Verdana"/>
                <w:sz w:val="17"/>
                <w:szCs w:val="17"/>
                <w:color w:val="auto"/>
                <w:w w:val="97"/>
              </w:rPr>
              <w:t>,</w:t>
            </w:r>
          </w:p>
        </w:tc>
        <w:tc>
          <w:tcPr>
            <w:tcW w:w="200" w:type="dxa"/>
            <w:vAlign w:val="bottom"/>
          </w:tcPr>
          <w:p>
            <w:pPr>
              <w:spacing w:after="0"/>
              <w:rPr>
                <w:sz w:val="14"/>
                <w:szCs w:val="14"/>
                <w:color w:val="auto"/>
              </w:rPr>
            </w:pP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СКФ</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протеинурия</w:t>
            </w:r>
            <w:r>
              <w:rPr>
                <w:rFonts w:ascii="Verdana" w:cs="Verdana" w:eastAsia="Verdana" w:hAnsi="Verdana"/>
                <w:sz w:val="17"/>
                <w:szCs w:val="17"/>
                <w:color w:val="auto"/>
              </w:rPr>
              <w:t>,</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анализ</w:t>
            </w:r>
          </w:p>
        </w:tc>
        <w:tc>
          <w:tcPr>
            <w:tcW w:w="640" w:type="dxa"/>
            <w:vAlign w:val="bottom"/>
            <w:gridSpan w:val="2"/>
          </w:tcPr>
          <w:p>
            <w:pPr>
              <w:jc w:val="right"/>
              <w:ind w:right="37"/>
              <w:spacing w:after="0" w:line="165" w:lineRule="exact"/>
              <w:rPr>
                <w:sz w:val="20"/>
                <w:szCs w:val="20"/>
                <w:color w:val="auto"/>
              </w:rPr>
            </w:pPr>
            <w:r>
              <w:rPr>
                <w:rFonts w:ascii="Verdana" w:cs="Verdana" w:eastAsia="Verdana" w:hAnsi="Verdana"/>
                <w:sz w:val="17"/>
                <w:szCs w:val="17"/>
                <w:color w:val="auto"/>
              </w:rPr>
              <w:t>мочи</w:t>
            </w: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rPr>
              <w:t>на</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никтурия</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анемия</w:t>
            </w:r>
            <w:r>
              <w:rPr>
                <w:rFonts w:ascii="Verdana" w:cs="Verdana" w:eastAsia="Verdana" w:hAnsi="Verdana"/>
                <w:sz w:val="17"/>
                <w:szCs w:val="17"/>
                <w:color w:val="auto"/>
              </w:rPr>
              <w:t>,</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кровь</w:t>
            </w:r>
          </w:p>
        </w:tc>
        <w:tc>
          <w:tcPr>
            <w:tcW w:w="200" w:type="dxa"/>
            <w:vAlign w:val="bottom"/>
          </w:tcPr>
          <w:p>
            <w:pPr>
              <w:jc w:val="right"/>
              <w:spacing w:after="0" w:line="165" w:lineRule="exact"/>
              <w:rPr>
                <w:sz w:val="20"/>
                <w:szCs w:val="20"/>
                <w:color w:val="auto"/>
              </w:rPr>
            </w:pPr>
            <w:r>
              <w:rPr>
                <w:rFonts w:ascii="Verdana" w:cs="Verdana" w:eastAsia="Verdana" w:hAnsi="Verdana"/>
                <w:sz w:val="17"/>
                <w:szCs w:val="17"/>
                <w:color w:val="auto"/>
              </w:rPr>
              <w:t>и</w:t>
            </w: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белок</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образование</w:t>
            </w:r>
          </w:p>
        </w:tc>
        <w:tc>
          <w:tcPr>
            <w:tcW w:w="7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6"/>
              </w:rPr>
              <w:t>почек</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отношение</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ind w:left="140"/>
              <w:spacing w:after="0" w:line="165" w:lineRule="exact"/>
              <w:rPr>
                <w:sz w:val="20"/>
                <w:szCs w:val="20"/>
                <w:color w:val="auto"/>
              </w:rPr>
            </w:pPr>
            <w:r>
              <w:rPr>
                <w:rFonts w:ascii="Verdana" w:cs="Verdana" w:eastAsia="Verdana" w:hAnsi="Verdana"/>
                <w:sz w:val="17"/>
                <w:szCs w:val="17"/>
                <w:color w:val="auto"/>
              </w:rPr>
              <w:t>при</w:t>
            </w:r>
          </w:p>
        </w:tc>
        <w:tc>
          <w:tcPr>
            <w:tcW w:w="1180" w:type="dxa"/>
            <w:vAlign w:val="bottom"/>
            <w:gridSpan w:val="5"/>
          </w:tcPr>
          <w:p>
            <w:pPr>
              <w:ind w:left="80"/>
              <w:spacing w:after="0" w:line="165" w:lineRule="exact"/>
              <w:rPr>
                <w:sz w:val="20"/>
                <w:szCs w:val="20"/>
                <w:color w:val="auto"/>
              </w:rPr>
            </w:pPr>
            <w:r>
              <w:rPr>
                <w:rFonts w:ascii="Verdana" w:cs="Verdana" w:eastAsia="Verdana" w:hAnsi="Verdana"/>
                <w:sz w:val="17"/>
                <w:szCs w:val="17"/>
                <w:color w:val="auto"/>
                <w:w w:val="97"/>
              </w:rPr>
              <w:t>поликистозе</w:t>
            </w: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у</w:t>
            </w: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7"/>
              </w:rPr>
              <w:t>альбумин</w:t>
            </w:r>
            <w:r>
              <w:rPr>
                <w:rFonts w:ascii="Verdana" w:cs="Verdana" w:eastAsia="Verdana" w:hAnsi="Verdana"/>
                <w:sz w:val="17"/>
                <w:szCs w:val="17"/>
                <w:color w:val="auto"/>
                <w:w w:val="97"/>
              </w:rPr>
              <w:t>/</w:t>
            </w:r>
          </w:p>
        </w:tc>
        <w:tc>
          <w:tcPr>
            <w:tcW w:w="740" w:type="dxa"/>
            <w:vAlign w:val="bottom"/>
            <w:gridSpan w:val="2"/>
            <w:vMerge w:val="restart"/>
          </w:tcPr>
          <w:p>
            <w:pPr>
              <w:jc w:val="right"/>
              <w:spacing w:after="0"/>
              <w:rPr>
                <w:sz w:val="20"/>
                <w:szCs w:val="20"/>
                <w:color w:val="auto"/>
              </w:rPr>
            </w:pPr>
            <w:r>
              <w:rPr>
                <w:rFonts w:ascii="Verdana" w:cs="Verdana" w:eastAsia="Verdana" w:hAnsi="Verdana"/>
                <w:sz w:val="17"/>
                <w:szCs w:val="17"/>
                <w:color w:val="auto"/>
              </w:rPr>
              <w:t>мочи</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взрослых</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6"/>
              </w:rPr>
              <w:t>креатинин</w:t>
            </w:r>
          </w:p>
        </w:tc>
        <w:tc>
          <w:tcPr>
            <w:tcW w:w="740" w:type="dxa"/>
            <w:vAlign w:val="bottom"/>
            <w:gridSpan w:val="2"/>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5"/>
              </w:rPr>
              <w:t>ультразвуковое</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исследование</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62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12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4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860" w:type="dxa"/>
            <w:vAlign w:val="bottom"/>
          </w:tcPr>
          <w:p>
            <w:pPr>
              <w:ind w:left="140"/>
              <w:spacing w:after="0"/>
              <w:rPr>
                <w:sz w:val="20"/>
                <w:szCs w:val="20"/>
                <w:color w:val="auto"/>
              </w:rPr>
            </w:pPr>
            <w:r>
              <w:rPr>
                <w:rFonts w:ascii="Verdana" w:cs="Verdana" w:eastAsia="Verdana" w:hAnsi="Verdana"/>
                <w:sz w:val="17"/>
                <w:szCs w:val="17"/>
                <w:color w:val="auto"/>
              </w:rPr>
              <w:t>почек</w:t>
            </w:r>
          </w:p>
        </w:tc>
        <w:tc>
          <w:tcPr>
            <w:tcW w:w="20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gridSpan w:val="2"/>
          </w:tcPr>
          <w:p>
            <w:pPr>
              <w:spacing w:after="0"/>
              <w:rPr>
                <w:sz w:val="9"/>
                <w:szCs w:val="9"/>
                <w:color w:val="auto"/>
              </w:rPr>
            </w:pPr>
          </w:p>
        </w:tc>
        <w:tc>
          <w:tcPr>
            <w:tcW w:w="2060" w:type="dxa"/>
            <w:vAlign w:val="bottom"/>
            <w:tcBorders>
              <w:bottom w:val="single" w:sz="8" w:color="auto"/>
              <w:right w:val="single" w:sz="8" w:color="auto"/>
            </w:tcBorders>
            <w:gridSpan w:val="2"/>
          </w:tcPr>
          <w:p>
            <w:pPr>
              <w:spacing w:after="0"/>
              <w:rPr>
                <w:sz w:val="9"/>
                <w:szCs w:val="9"/>
                <w:color w:val="auto"/>
              </w:rPr>
            </w:pPr>
          </w:p>
        </w:tc>
        <w:tc>
          <w:tcPr>
            <w:tcW w:w="62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40" w:type="dxa"/>
            <w:vAlign w:val="bottom"/>
            <w:tcBorders>
              <w:bottom w:val="single" w:sz="8" w:color="auto"/>
            </w:tcBorders>
          </w:tcPr>
          <w:p>
            <w:pPr>
              <w:spacing w:after="0"/>
              <w:rPr>
                <w:sz w:val="9"/>
                <w:szCs w:val="9"/>
                <w:color w:val="auto"/>
              </w:rPr>
            </w:pPr>
          </w:p>
        </w:tc>
        <w:tc>
          <w:tcPr>
            <w:tcW w:w="1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20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343"/>
        </w:trPr>
        <w:tc>
          <w:tcPr>
            <w:tcW w:w="4340" w:type="dxa"/>
            <w:vAlign w:val="bottom"/>
            <w:tcBorders>
              <w:left w:val="single" w:sz="8" w:color="auto"/>
            </w:tcBorders>
            <w:gridSpan w:val="4"/>
          </w:tcPr>
          <w:p>
            <w:pPr>
              <w:ind w:left="160"/>
              <w:spacing w:after="0"/>
              <w:rPr>
                <w:sz w:val="20"/>
                <w:szCs w:val="20"/>
                <w:color w:val="auto"/>
              </w:rPr>
            </w:pPr>
            <w:r>
              <w:rPr>
                <w:rFonts w:ascii="Verdana" w:cs="Verdana" w:eastAsia="Verdana" w:hAnsi="Verdana"/>
                <w:sz w:val="17"/>
                <w:szCs w:val="17"/>
                <w:b w:val="1"/>
                <w:bCs w:val="1"/>
                <w:color w:val="auto"/>
              </w:rPr>
              <w:t>Реноваскулярные заболевания</w:t>
            </w:r>
          </w:p>
        </w:tc>
        <w:tc>
          <w:tcPr>
            <w:tcW w:w="62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120" w:type="dxa"/>
            <w:vAlign w:val="bottom"/>
          </w:tcPr>
          <w:p>
            <w:pPr>
              <w:spacing w:after="0"/>
              <w:rPr>
                <w:sz w:val="24"/>
                <w:szCs w:val="24"/>
                <w:color w:val="auto"/>
              </w:rPr>
            </w:pPr>
          </w:p>
        </w:tc>
        <w:tc>
          <w:tcPr>
            <w:tcW w:w="420" w:type="dxa"/>
            <w:vAlign w:val="bottom"/>
          </w:tcPr>
          <w:p>
            <w:pPr>
              <w:spacing w:after="0"/>
              <w:rPr>
                <w:sz w:val="24"/>
                <w:szCs w:val="24"/>
                <w:color w:val="auto"/>
              </w:rPr>
            </w:pPr>
          </w:p>
        </w:tc>
        <w:tc>
          <w:tcPr>
            <w:tcW w:w="40" w:type="dxa"/>
            <w:vAlign w:val="bottom"/>
          </w:tcPr>
          <w:p>
            <w:pPr>
              <w:spacing w:after="0"/>
              <w:rPr>
                <w:sz w:val="24"/>
                <w:szCs w:val="24"/>
                <w:color w:val="auto"/>
              </w:rPr>
            </w:pPr>
          </w:p>
        </w:tc>
        <w:tc>
          <w:tcPr>
            <w:tcW w:w="160" w:type="dxa"/>
            <w:vAlign w:val="bottom"/>
          </w:tcPr>
          <w:p>
            <w:pPr>
              <w:spacing w:after="0"/>
              <w:rPr>
                <w:sz w:val="24"/>
                <w:szCs w:val="24"/>
                <w:color w:val="auto"/>
              </w:rPr>
            </w:pPr>
          </w:p>
        </w:tc>
        <w:tc>
          <w:tcPr>
            <w:tcW w:w="500" w:type="dxa"/>
            <w:vAlign w:val="bottom"/>
          </w:tcPr>
          <w:p>
            <w:pPr>
              <w:spacing w:after="0"/>
              <w:rPr>
                <w:sz w:val="24"/>
                <w:szCs w:val="24"/>
                <w:color w:val="auto"/>
              </w:rPr>
            </w:pPr>
          </w:p>
        </w:tc>
        <w:tc>
          <w:tcPr>
            <w:tcW w:w="860" w:type="dxa"/>
            <w:vAlign w:val="bottom"/>
          </w:tcPr>
          <w:p>
            <w:pPr>
              <w:spacing w:after="0"/>
              <w:rPr>
                <w:sz w:val="24"/>
                <w:szCs w:val="24"/>
                <w:color w:val="auto"/>
              </w:rPr>
            </w:pPr>
          </w:p>
        </w:tc>
        <w:tc>
          <w:tcPr>
            <w:tcW w:w="20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2280" w:type="dxa"/>
            <w:vAlign w:val="bottom"/>
            <w:tcBorders>
              <w:left w:val="single" w:sz="8" w:color="auto"/>
              <w:bottom w:val="single" w:sz="8" w:color="auto"/>
            </w:tcBorders>
            <w:gridSpan w:val="2"/>
          </w:tcPr>
          <w:p>
            <w:pPr>
              <w:spacing w:after="0"/>
              <w:rPr>
                <w:sz w:val="10"/>
                <w:szCs w:val="10"/>
                <w:color w:val="auto"/>
              </w:rPr>
            </w:pPr>
          </w:p>
        </w:tc>
        <w:tc>
          <w:tcPr>
            <w:tcW w:w="120" w:type="dxa"/>
            <w:vAlign w:val="bottom"/>
            <w:tcBorders>
              <w:bottom w:val="single" w:sz="8" w:color="auto"/>
            </w:tcBorders>
          </w:tcPr>
          <w:p>
            <w:pPr>
              <w:spacing w:after="0"/>
              <w:rPr>
                <w:sz w:val="10"/>
                <w:szCs w:val="10"/>
                <w:color w:val="auto"/>
              </w:rPr>
            </w:pPr>
          </w:p>
        </w:tc>
        <w:tc>
          <w:tcPr>
            <w:tcW w:w="1940" w:type="dxa"/>
            <w:vAlign w:val="bottom"/>
            <w:tcBorders>
              <w:bottom w:val="single" w:sz="8" w:color="auto"/>
            </w:tcBorders>
          </w:tcPr>
          <w:p>
            <w:pPr>
              <w:spacing w:after="0"/>
              <w:rPr>
                <w:sz w:val="10"/>
                <w:szCs w:val="10"/>
                <w:color w:val="auto"/>
              </w:rPr>
            </w:pPr>
          </w:p>
        </w:tc>
        <w:tc>
          <w:tcPr>
            <w:tcW w:w="2300" w:type="dxa"/>
            <w:vAlign w:val="bottom"/>
            <w:tcBorders>
              <w:bottom w:val="single" w:sz="8" w:color="auto"/>
            </w:tcBorders>
            <w:gridSpan w:val="7"/>
          </w:tcPr>
          <w:p>
            <w:pPr>
              <w:spacing w:after="0"/>
              <w:rPr>
                <w:sz w:val="10"/>
                <w:szCs w:val="10"/>
                <w:color w:val="auto"/>
              </w:rPr>
            </w:pPr>
          </w:p>
        </w:tc>
        <w:tc>
          <w:tcPr>
            <w:tcW w:w="1500" w:type="dxa"/>
            <w:vAlign w:val="bottom"/>
            <w:tcBorders>
              <w:bottom w:val="single" w:sz="8" w:color="auto"/>
            </w:tcBorders>
            <w:gridSpan w:val="3"/>
          </w:tcPr>
          <w:p>
            <w:pPr>
              <w:spacing w:after="0"/>
              <w:rPr>
                <w:sz w:val="10"/>
                <w:szCs w:val="10"/>
                <w:color w:val="auto"/>
              </w:rPr>
            </w:pPr>
          </w:p>
        </w:tc>
        <w:tc>
          <w:tcPr>
            <w:tcW w:w="300" w:type="dxa"/>
            <w:vAlign w:val="bottom"/>
            <w:tcBorders>
              <w:bottom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Атеросклероз</w:t>
            </w: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1–10%</w:t>
            </w:r>
          </w:p>
        </w:tc>
        <w:tc>
          <w:tcPr>
            <w:tcW w:w="2300" w:type="dxa"/>
            <w:vAlign w:val="bottom"/>
            <w:tcBorders>
              <w:right w:val="single" w:sz="8" w:color="auto"/>
            </w:tcBorders>
            <w:gridSpan w:val="7"/>
          </w:tcPr>
          <w:p>
            <w:pPr>
              <w:ind w:left="140"/>
              <w:spacing w:after="0"/>
              <w:rPr>
                <w:sz w:val="20"/>
                <w:szCs w:val="20"/>
                <w:color w:val="auto"/>
              </w:rPr>
            </w:pPr>
            <w:r>
              <w:rPr>
                <w:rFonts w:ascii="Verdana" w:cs="Verdana" w:eastAsia="Verdana" w:hAnsi="Verdana"/>
                <w:sz w:val="17"/>
                <w:szCs w:val="17"/>
                <w:color w:val="auto"/>
              </w:rPr>
              <w:t>Пожилые</w:t>
            </w:r>
            <w:r>
              <w:rPr>
                <w:rFonts w:ascii="Verdana" w:cs="Verdana" w:eastAsia="Verdana" w:hAnsi="Verdana"/>
                <w:sz w:val="17"/>
                <w:szCs w:val="17"/>
                <w:color w:val="auto"/>
              </w:rPr>
              <w:t>;</w:t>
            </w:r>
            <w:r>
              <w:rPr>
                <w:rFonts w:ascii="Verdana" w:cs="Verdana" w:eastAsia="Verdana" w:hAnsi="Verdana"/>
                <w:sz w:val="17"/>
                <w:szCs w:val="17"/>
                <w:color w:val="auto"/>
              </w:rPr>
              <w:t xml:space="preserve"> диффузный</w:t>
            </w:r>
          </w:p>
        </w:tc>
        <w:tc>
          <w:tcPr>
            <w:tcW w:w="1500" w:type="dxa"/>
            <w:vAlign w:val="bottom"/>
            <w:gridSpan w:val="3"/>
          </w:tcPr>
          <w:p>
            <w:pPr>
              <w:ind w:left="140"/>
              <w:spacing w:after="0"/>
              <w:rPr>
                <w:sz w:val="20"/>
                <w:szCs w:val="20"/>
                <w:color w:val="auto"/>
              </w:rPr>
            </w:pPr>
            <w:r>
              <w:rPr>
                <w:rFonts w:ascii="Verdana" w:cs="Verdana" w:eastAsia="Verdana" w:hAnsi="Verdana"/>
                <w:sz w:val="17"/>
                <w:szCs w:val="17"/>
                <w:color w:val="auto"/>
              </w:rPr>
              <w:t>Дуплексное</w:t>
            </w: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почечных артерий</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атеросклероз</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сканирование</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w:t>
            </w:r>
            <w:r>
              <w:rPr>
                <w:rFonts w:ascii="Verdana" w:cs="Verdana" w:eastAsia="Verdana" w:hAnsi="Verdana"/>
                <w:sz w:val="17"/>
                <w:szCs w:val="17"/>
                <w:color w:val="auto"/>
                <w:w w:val="99"/>
              </w:rPr>
              <w:t>особенно</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почечных</w:t>
            </w: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артерий</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6"/>
              </w:rPr>
              <w:t>периферических</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или</w:t>
            </w: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w w:val="93"/>
              </w:rPr>
              <w:t>КТ</w:t>
            </w:r>
            <w:r>
              <w:rPr>
                <w:rFonts w:ascii="Verdana" w:cs="Verdana" w:eastAsia="Verdana" w:hAnsi="Verdana"/>
                <w:sz w:val="17"/>
                <w:szCs w:val="17"/>
                <w:color w:val="auto"/>
                <w:w w:val="93"/>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артерий</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диабет</w:t>
            </w:r>
            <w:r>
              <w:rPr>
                <w:rFonts w:ascii="Verdana" w:cs="Verdana" w:eastAsia="Verdana" w:hAnsi="Verdana"/>
                <w:sz w:val="17"/>
                <w:szCs w:val="17"/>
                <w:color w:val="auto"/>
              </w:rPr>
              <w:t>;</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ангиография</w:t>
            </w: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w w:val="86"/>
              </w:rPr>
              <w:t>или</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курение</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8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МР</w:t>
            </w:r>
            <w:r>
              <w:rPr>
                <w:rFonts w:ascii="Verdana" w:cs="Verdana" w:eastAsia="Verdana" w:hAnsi="Verdana"/>
                <w:sz w:val="17"/>
                <w:szCs w:val="17"/>
                <w:color w:val="auto"/>
              </w:rPr>
              <w:t>-</w:t>
            </w:r>
            <w:r>
              <w:rPr>
                <w:rFonts w:ascii="Verdana" w:cs="Verdana" w:eastAsia="Verdana" w:hAnsi="Verdana"/>
                <w:sz w:val="17"/>
                <w:szCs w:val="17"/>
                <w:color w:val="auto"/>
              </w:rPr>
              <w:t>ангиография</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рецидивирующий отек</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легких</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420" w:type="dxa"/>
            <w:vAlign w:val="bottom"/>
          </w:tcPr>
          <w:p>
            <w:pPr>
              <w:ind w:left="60"/>
              <w:spacing w:after="0" w:line="165" w:lineRule="exact"/>
              <w:rPr>
                <w:sz w:val="20"/>
                <w:szCs w:val="20"/>
                <w:color w:val="auto"/>
              </w:rPr>
            </w:pPr>
            <w:r>
              <w:rPr>
                <w:rFonts w:ascii="Verdana" w:cs="Verdana" w:eastAsia="Verdana" w:hAnsi="Verdana"/>
                <w:sz w:val="17"/>
                <w:szCs w:val="17"/>
                <w:color w:val="auto"/>
                <w:w w:val="92"/>
              </w:rPr>
              <w:t>шум</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проекции</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почечных</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1060" w:type="dxa"/>
            <w:vAlign w:val="bottom"/>
            <w:gridSpan w:val="2"/>
          </w:tcPr>
          <w:p>
            <w:pPr>
              <w:ind w:left="140"/>
              <w:spacing w:after="0"/>
              <w:rPr>
                <w:sz w:val="20"/>
                <w:szCs w:val="20"/>
                <w:color w:val="auto"/>
              </w:rPr>
            </w:pPr>
            <w:r>
              <w:rPr>
                <w:rFonts w:ascii="Verdana" w:cs="Verdana" w:eastAsia="Verdana" w:hAnsi="Verdana"/>
                <w:sz w:val="17"/>
                <w:szCs w:val="17"/>
                <w:color w:val="auto"/>
              </w:rPr>
              <w:t>артерий</w:t>
            </w:r>
            <w:r>
              <w:rPr>
                <w:rFonts w:ascii="Verdana" w:cs="Verdana" w:eastAsia="Verdana" w:hAnsi="Verdana"/>
                <w:sz w:val="17"/>
                <w:szCs w:val="17"/>
                <w:color w:val="auto"/>
              </w:rPr>
              <w:t>.</w:t>
            </w:r>
          </w:p>
        </w:tc>
        <w:tc>
          <w:tcPr>
            <w:tcW w:w="12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4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860" w:type="dxa"/>
            <w:vAlign w:val="bottom"/>
          </w:tcPr>
          <w:p>
            <w:pPr>
              <w:spacing w:after="0"/>
              <w:rPr>
                <w:sz w:val="19"/>
                <w:szCs w:val="19"/>
                <w:color w:val="auto"/>
              </w:rPr>
            </w:pPr>
          </w:p>
        </w:tc>
        <w:tc>
          <w:tcPr>
            <w:tcW w:w="20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gridSpan w:val="2"/>
          </w:tcPr>
          <w:p>
            <w:pPr>
              <w:spacing w:after="0"/>
              <w:rPr>
                <w:sz w:val="9"/>
                <w:szCs w:val="9"/>
                <w:color w:val="auto"/>
              </w:rPr>
            </w:pPr>
          </w:p>
        </w:tc>
        <w:tc>
          <w:tcPr>
            <w:tcW w:w="120" w:type="dxa"/>
            <w:vAlign w:val="bottom"/>
          </w:tcPr>
          <w:p>
            <w:pPr>
              <w:spacing w:after="0"/>
              <w:rPr>
                <w:sz w:val="9"/>
                <w:szCs w:val="9"/>
                <w:color w:val="auto"/>
              </w:rPr>
            </w:pPr>
          </w:p>
        </w:tc>
        <w:tc>
          <w:tcPr>
            <w:tcW w:w="1940" w:type="dxa"/>
            <w:vAlign w:val="bottom"/>
            <w:tcBorders>
              <w:right w:val="single" w:sz="8" w:color="auto"/>
            </w:tcBorders>
          </w:tcPr>
          <w:p>
            <w:pPr>
              <w:spacing w:after="0"/>
              <w:rPr>
                <w:sz w:val="9"/>
                <w:szCs w:val="9"/>
                <w:color w:val="auto"/>
              </w:rPr>
            </w:pPr>
          </w:p>
        </w:tc>
        <w:tc>
          <w:tcPr>
            <w:tcW w:w="1060" w:type="dxa"/>
            <w:vAlign w:val="bottom"/>
            <w:tcBorders>
              <w:bottom w:val="single" w:sz="8" w:color="auto"/>
            </w:tcBorders>
            <w:gridSpan w:val="2"/>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620" w:type="dxa"/>
            <w:vAlign w:val="bottom"/>
            <w:tcBorders>
              <w:bottom w:val="single" w:sz="8" w:color="auto"/>
            </w:tcBorders>
            <w:gridSpan w:val="3"/>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c>
          <w:tcPr>
            <w:tcW w:w="860" w:type="dxa"/>
            <w:vAlign w:val="bottom"/>
          </w:tcPr>
          <w:p>
            <w:pPr>
              <w:spacing w:after="0"/>
              <w:rPr>
                <w:sz w:val="9"/>
                <w:szCs w:val="9"/>
                <w:color w:val="auto"/>
              </w:rPr>
            </w:pPr>
          </w:p>
        </w:tc>
        <w:tc>
          <w:tcPr>
            <w:tcW w:w="200" w:type="dxa"/>
            <w:vAlign w:val="bottom"/>
          </w:tcPr>
          <w:p>
            <w:pPr>
              <w:spacing w:after="0"/>
              <w:rPr>
                <w:sz w:val="9"/>
                <w:szCs w:val="9"/>
                <w:color w:val="auto"/>
              </w:rPr>
            </w:pPr>
          </w:p>
        </w:tc>
        <w:tc>
          <w:tcPr>
            <w:tcW w:w="440" w:type="dxa"/>
            <w:vAlign w:val="bottom"/>
          </w:tcPr>
          <w:p>
            <w:pPr>
              <w:spacing w:after="0"/>
              <w:rPr>
                <w:sz w:val="9"/>
                <w:szCs w:val="9"/>
                <w:color w:val="auto"/>
              </w:rPr>
            </w:pPr>
          </w:p>
        </w:tc>
        <w:tc>
          <w:tcPr>
            <w:tcW w:w="300" w:type="dxa"/>
            <w:vAlign w:val="bottom"/>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Фибромускулярная</w:t>
            </w:r>
          </w:p>
        </w:tc>
        <w:tc>
          <w:tcPr>
            <w:tcW w:w="120" w:type="dxa"/>
            <w:vAlign w:val="bottom"/>
          </w:tcPr>
          <w:p>
            <w:pPr>
              <w:spacing w:after="0"/>
              <w:rPr>
                <w:sz w:val="24"/>
                <w:szCs w:val="24"/>
                <w:color w:val="auto"/>
              </w:rPr>
            </w:pPr>
          </w:p>
        </w:tc>
        <w:tc>
          <w:tcPr>
            <w:tcW w:w="1940" w:type="dxa"/>
            <w:vAlign w:val="bottom"/>
            <w:tcBorders>
              <w:right w:val="single" w:sz="8" w:color="auto"/>
            </w:tcBorders>
          </w:tcPr>
          <w:p>
            <w:pPr>
              <w:spacing w:after="0"/>
              <w:rPr>
                <w:sz w:val="24"/>
                <w:szCs w:val="24"/>
                <w:color w:val="auto"/>
              </w:rPr>
            </w:pPr>
          </w:p>
        </w:tc>
        <w:tc>
          <w:tcPr>
            <w:tcW w:w="1060" w:type="dxa"/>
            <w:vAlign w:val="bottom"/>
            <w:gridSpan w:val="2"/>
          </w:tcPr>
          <w:p>
            <w:pPr>
              <w:ind w:left="140"/>
              <w:spacing w:after="0"/>
              <w:rPr>
                <w:sz w:val="20"/>
                <w:szCs w:val="20"/>
                <w:color w:val="auto"/>
              </w:rPr>
            </w:pPr>
            <w:r>
              <w:rPr>
                <w:rFonts w:ascii="Verdana" w:cs="Verdana" w:eastAsia="Verdana" w:hAnsi="Verdana"/>
                <w:sz w:val="17"/>
                <w:szCs w:val="17"/>
                <w:color w:val="auto"/>
              </w:rPr>
              <w:t>Молодые</w:t>
            </w:r>
            <w:r>
              <w:rPr>
                <w:rFonts w:ascii="Verdana" w:cs="Verdana" w:eastAsia="Verdana" w:hAnsi="Verdana"/>
                <w:sz w:val="17"/>
                <w:szCs w:val="17"/>
                <w:color w:val="auto"/>
              </w:rPr>
              <w:t>;</w:t>
            </w:r>
          </w:p>
        </w:tc>
        <w:tc>
          <w:tcPr>
            <w:tcW w:w="120" w:type="dxa"/>
            <w:vAlign w:val="bottom"/>
          </w:tcPr>
          <w:p>
            <w:pPr>
              <w:spacing w:after="0"/>
              <w:rPr>
                <w:sz w:val="24"/>
                <w:szCs w:val="24"/>
                <w:color w:val="auto"/>
              </w:rPr>
            </w:pPr>
          </w:p>
        </w:tc>
        <w:tc>
          <w:tcPr>
            <w:tcW w:w="620" w:type="dxa"/>
            <w:vAlign w:val="bottom"/>
            <w:gridSpan w:val="3"/>
          </w:tcPr>
          <w:p>
            <w:pPr>
              <w:ind w:left="100"/>
              <w:spacing w:after="0"/>
              <w:rPr>
                <w:sz w:val="20"/>
                <w:szCs w:val="20"/>
                <w:color w:val="auto"/>
              </w:rPr>
            </w:pPr>
            <w:r>
              <w:rPr>
                <w:rFonts w:ascii="Verdana" w:cs="Verdana" w:eastAsia="Verdana" w:hAnsi="Verdana"/>
                <w:sz w:val="17"/>
                <w:szCs w:val="17"/>
                <w:color w:val="auto"/>
              </w:rPr>
              <w:t>чаще</w:t>
            </w:r>
          </w:p>
        </w:tc>
        <w:tc>
          <w:tcPr>
            <w:tcW w:w="5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у</w:t>
            </w:r>
          </w:p>
        </w:tc>
        <w:tc>
          <w:tcPr>
            <w:tcW w:w="860" w:type="dxa"/>
            <w:vAlign w:val="bottom"/>
          </w:tcPr>
          <w:p>
            <w:pPr>
              <w:spacing w:after="0"/>
              <w:rPr>
                <w:sz w:val="24"/>
                <w:szCs w:val="24"/>
                <w:color w:val="auto"/>
              </w:rPr>
            </w:pPr>
          </w:p>
        </w:tc>
        <w:tc>
          <w:tcPr>
            <w:tcW w:w="20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дисплазия</w:t>
            </w:r>
          </w:p>
        </w:tc>
        <w:tc>
          <w:tcPr>
            <w:tcW w:w="104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7"/>
              </w:rPr>
              <w:t>почечных</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женщин</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460" w:type="dxa"/>
            <w:vAlign w:val="bottom"/>
            <w:gridSpan w:val="2"/>
          </w:tcPr>
          <w:p>
            <w:pPr>
              <w:ind w:left="100"/>
              <w:spacing w:after="0" w:line="165" w:lineRule="exact"/>
              <w:rPr>
                <w:sz w:val="20"/>
                <w:szCs w:val="20"/>
                <w:color w:val="auto"/>
              </w:rPr>
            </w:pPr>
            <w:r>
              <w:rPr>
                <w:rFonts w:ascii="Verdana" w:cs="Verdana" w:eastAsia="Verdana" w:hAnsi="Verdana"/>
                <w:sz w:val="17"/>
                <w:szCs w:val="17"/>
                <w:color w:val="auto"/>
                <w:w w:val="92"/>
              </w:rPr>
              <w:t>шум</w:t>
            </w: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артерий</w:t>
            </w: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проекции</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почечных</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1060" w:type="dxa"/>
            <w:vAlign w:val="bottom"/>
            <w:gridSpan w:val="2"/>
          </w:tcPr>
          <w:p>
            <w:pPr>
              <w:ind w:left="140"/>
              <w:spacing w:after="0"/>
              <w:rPr>
                <w:sz w:val="20"/>
                <w:szCs w:val="20"/>
                <w:color w:val="auto"/>
              </w:rPr>
            </w:pPr>
            <w:r>
              <w:rPr>
                <w:rFonts w:ascii="Verdana" w:cs="Verdana" w:eastAsia="Verdana" w:hAnsi="Verdana"/>
                <w:sz w:val="17"/>
                <w:szCs w:val="17"/>
                <w:color w:val="auto"/>
              </w:rPr>
              <w:t>артерия</w:t>
            </w:r>
          </w:p>
        </w:tc>
        <w:tc>
          <w:tcPr>
            <w:tcW w:w="12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4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860" w:type="dxa"/>
            <w:vAlign w:val="bottom"/>
          </w:tcPr>
          <w:p>
            <w:pPr>
              <w:spacing w:after="0"/>
              <w:rPr>
                <w:sz w:val="19"/>
                <w:szCs w:val="19"/>
                <w:color w:val="auto"/>
              </w:rPr>
            </w:pPr>
          </w:p>
        </w:tc>
        <w:tc>
          <w:tcPr>
            <w:tcW w:w="20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gridSpan w:val="2"/>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1940" w:type="dxa"/>
            <w:vAlign w:val="bottom"/>
            <w:tcBorders>
              <w:bottom w:val="single" w:sz="8" w:color="auto"/>
              <w:right w:val="single" w:sz="8" w:color="auto"/>
            </w:tcBorders>
          </w:tcPr>
          <w:p>
            <w:pPr>
              <w:spacing w:after="0"/>
              <w:rPr>
                <w:sz w:val="9"/>
                <w:szCs w:val="9"/>
                <w:color w:val="auto"/>
              </w:rPr>
            </w:pPr>
          </w:p>
        </w:tc>
        <w:tc>
          <w:tcPr>
            <w:tcW w:w="62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40" w:type="dxa"/>
            <w:vAlign w:val="bottom"/>
            <w:tcBorders>
              <w:bottom w:val="single" w:sz="8" w:color="auto"/>
            </w:tcBorders>
          </w:tcPr>
          <w:p>
            <w:pPr>
              <w:spacing w:after="0"/>
              <w:rPr>
                <w:sz w:val="9"/>
                <w:szCs w:val="9"/>
                <w:color w:val="auto"/>
              </w:rPr>
            </w:pPr>
          </w:p>
        </w:tc>
        <w:tc>
          <w:tcPr>
            <w:tcW w:w="1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20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343"/>
        </w:trPr>
        <w:tc>
          <w:tcPr>
            <w:tcW w:w="2400" w:type="dxa"/>
            <w:vAlign w:val="bottom"/>
            <w:tcBorders>
              <w:left w:val="single" w:sz="8" w:color="auto"/>
            </w:tcBorders>
            <w:gridSpan w:val="3"/>
          </w:tcPr>
          <w:p>
            <w:pPr>
              <w:ind w:left="160"/>
              <w:spacing w:after="0"/>
              <w:rPr>
                <w:sz w:val="20"/>
                <w:szCs w:val="20"/>
                <w:color w:val="auto"/>
              </w:rPr>
            </w:pPr>
            <w:r>
              <w:rPr>
                <w:rFonts w:ascii="Verdana" w:cs="Verdana" w:eastAsia="Verdana" w:hAnsi="Verdana"/>
                <w:sz w:val="17"/>
                <w:szCs w:val="17"/>
                <w:b w:val="1"/>
                <w:bCs w:val="1"/>
                <w:color w:val="auto"/>
                <w:w w:val="96"/>
              </w:rPr>
              <w:t>Эндокринные причины</w:t>
            </w:r>
          </w:p>
        </w:tc>
        <w:tc>
          <w:tcPr>
            <w:tcW w:w="1940" w:type="dxa"/>
            <w:vAlign w:val="bottom"/>
          </w:tcPr>
          <w:p>
            <w:pPr>
              <w:spacing w:after="0"/>
              <w:rPr>
                <w:sz w:val="24"/>
                <w:szCs w:val="24"/>
                <w:color w:val="auto"/>
              </w:rPr>
            </w:pPr>
          </w:p>
        </w:tc>
        <w:tc>
          <w:tcPr>
            <w:tcW w:w="62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120" w:type="dxa"/>
            <w:vAlign w:val="bottom"/>
          </w:tcPr>
          <w:p>
            <w:pPr>
              <w:spacing w:after="0"/>
              <w:rPr>
                <w:sz w:val="24"/>
                <w:szCs w:val="24"/>
                <w:color w:val="auto"/>
              </w:rPr>
            </w:pPr>
          </w:p>
        </w:tc>
        <w:tc>
          <w:tcPr>
            <w:tcW w:w="420" w:type="dxa"/>
            <w:vAlign w:val="bottom"/>
          </w:tcPr>
          <w:p>
            <w:pPr>
              <w:spacing w:after="0"/>
              <w:rPr>
                <w:sz w:val="24"/>
                <w:szCs w:val="24"/>
                <w:color w:val="auto"/>
              </w:rPr>
            </w:pPr>
          </w:p>
        </w:tc>
        <w:tc>
          <w:tcPr>
            <w:tcW w:w="40" w:type="dxa"/>
            <w:vAlign w:val="bottom"/>
          </w:tcPr>
          <w:p>
            <w:pPr>
              <w:spacing w:after="0"/>
              <w:rPr>
                <w:sz w:val="24"/>
                <w:szCs w:val="24"/>
                <w:color w:val="auto"/>
              </w:rPr>
            </w:pPr>
          </w:p>
        </w:tc>
        <w:tc>
          <w:tcPr>
            <w:tcW w:w="160" w:type="dxa"/>
            <w:vAlign w:val="bottom"/>
          </w:tcPr>
          <w:p>
            <w:pPr>
              <w:spacing w:after="0"/>
              <w:rPr>
                <w:sz w:val="24"/>
                <w:szCs w:val="24"/>
                <w:color w:val="auto"/>
              </w:rPr>
            </w:pPr>
          </w:p>
        </w:tc>
        <w:tc>
          <w:tcPr>
            <w:tcW w:w="500" w:type="dxa"/>
            <w:vAlign w:val="bottom"/>
          </w:tcPr>
          <w:p>
            <w:pPr>
              <w:spacing w:after="0"/>
              <w:rPr>
                <w:sz w:val="24"/>
                <w:szCs w:val="24"/>
                <w:color w:val="auto"/>
              </w:rPr>
            </w:pPr>
          </w:p>
        </w:tc>
        <w:tc>
          <w:tcPr>
            <w:tcW w:w="860" w:type="dxa"/>
            <w:vAlign w:val="bottom"/>
          </w:tcPr>
          <w:p>
            <w:pPr>
              <w:spacing w:after="0"/>
              <w:rPr>
                <w:sz w:val="24"/>
                <w:szCs w:val="24"/>
                <w:color w:val="auto"/>
              </w:rPr>
            </w:pPr>
          </w:p>
        </w:tc>
        <w:tc>
          <w:tcPr>
            <w:tcW w:w="20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1240" w:type="dxa"/>
            <w:vAlign w:val="bottom"/>
            <w:tcBorders>
              <w:left w:val="single" w:sz="8" w:color="auto"/>
              <w:bottom w:val="single" w:sz="8" w:color="auto"/>
            </w:tcBorders>
          </w:tcPr>
          <w:p>
            <w:pPr>
              <w:spacing w:after="0"/>
              <w:rPr>
                <w:sz w:val="10"/>
                <w:szCs w:val="10"/>
                <w:color w:val="auto"/>
              </w:rPr>
            </w:pPr>
          </w:p>
        </w:tc>
        <w:tc>
          <w:tcPr>
            <w:tcW w:w="1040" w:type="dxa"/>
            <w:vAlign w:val="bottom"/>
            <w:tcBorders>
              <w:bottom w:val="single" w:sz="8" w:color="auto"/>
            </w:tcBorders>
          </w:tcPr>
          <w:p>
            <w:pPr>
              <w:spacing w:after="0"/>
              <w:rPr>
                <w:sz w:val="10"/>
                <w:szCs w:val="10"/>
                <w:color w:val="auto"/>
              </w:rPr>
            </w:pPr>
          </w:p>
        </w:tc>
        <w:tc>
          <w:tcPr>
            <w:tcW w:w="120" w:type="dxa"/>
            <w:vAlign w:val="bottom"/>
            <w:tcBorders>
              <w:bottom w:val="single" w:sz="8" w:color="auto"/>
            </w:tcBorders>
          </w:tcPr>
          <w:p>
            <w:pPr>
              <w:spacing w:after="0"/>
              <w:rPr>
                <w:sz w:val="10"/>
                <w:szCs w:val="10"/>
                <w:color w:val="auto"/>
              </w:rPr>
            </w:pPr>
          </w:p>
        </w:tc>
        <w:tc>
          <w:tcPr>
            <w:tcW w:w="1940" w:type="dxa"/>
            <w:vAlign w:val="bottom"/>
            <w:tcBorders>
              <w:bottom w:val="single" w:sz="8" w:color="auto"/>
            </w:tcBorders>
          </w:tcPr>
          <w:p>
            <w:pPr>
              <w:spacing w:after="0"/>
              <w:rPr>
                <w:sz w:val="10"/>
                <w:szCs w:val="10"/>
                <w:color w:val="auto"/>
              </w:rPr>
            </w:pPr>
          </w:p>
        </w:tc>
        <w:tc>
          <w:tcPr>
            <w:tcW w:w="1180" w:type="dxa"/>
            <w:vAlign w:val="bottom"/>
            <w:tcBorders>
              <w:bottom w:val="single" w:sz="8" w:color="auto"/>
            </w:tcBorders>
            <w:gridSpan w:val="3"/>
          </w:tcPr>
          <w:p>
            <w:pPr>
              <w:spacing w:after="0"/>
              <w:rPr>
                <w:sz w:val="10"/>
                <w:szCs w:val="10"/>
                <w:color w:val="auto"/>
              </w:rPr>
            </w:pPr>
          </w:p>
        </w:tc>
        <w:tc>
          <w:tcPr>
            <w:tcW w:w="420" w:type="dxa"/>
            <w:vAlign w:val="bottom"/>
            <w:tcBorders>
              <w:bottom w:val="single" w:sz="8" w:color="auto"/>
            </w:tcBorders>
          </w:tcPr>
          <w:p>
            <w:pPr>
              <w:spacing w:after="0"/>
              <w:rPr>
                <w:sz w:val="10"/>
                <w:szCs w:val="10"/>
                <w:color w:val="auto"/>
              </w:rPr>
            </w:pPr>
          </w:p>
        </w:tc>
        <w:tc>
          <w:tcPr>
            <w:tcW w:w="40" w:type="dxa"/>
            <w:vAlign w:val="bottom"/>
            <w:tcBorders>
              <w:bottom w:val="single" w:sz="8" w:color="auto"/>
            </w:tcBorders>
          </w:tcPr>
          <w:p>
            <w:pPr>
              <w:spacing w:after="0"/>
              <w:rPr>
                <w:sz w:val="10"/>
                <w:szCs w:val="10"/>
                <w:color w:val="auto"/>
              </w:rPr>
            </w:pPr>
          </w:p>
        </w:tc>
        <w:tc>
          <w:tcPr>
            <w:tcW w:w="160" w:type="dxa"/>
            <w:vAlign w:val="bottom"/>
            <w:tcBorders>
              <w:bottom w:val="single" w:sz="8" w:color="auto"/>
            </w:tcBorders>
          </w:tcPr>
          <w:p>
            <w:pPr>
              <w:spacing w:after="0"/>
              <w:rPr>
                <w:sz w:val="10"/>
                <w:szCs w:val="10"/>
                <w:color w:val="auto"/>
              </w:rPr>
            </w:pPr>
          </w:p>
        </w:tc>
        <w:tc>
          <w:tcPr>
            <w:tcW w:w="500" w:type="dxa"/>
            <w:vAlign w:val="bottom"/>
            <w:tcBorders>
              <w:bottom w:val="single" w:sz="8" w:color="auto"/>
            </w:tcBorders>
          </w:tcPr>
          <w:p>
            <w:pPr>
              <w:spacing w:after="0"/>
              <w:rPr>
                <w:sz w:val="10"/>
                <w:szCs w:val="10"/>
                <w:color w:val="auto"/>
              </w:rPr>
            </w:pPr>
          </w:p>
        </w:tc>
        <w:tc>
          <w:tcPr>
            <w:tcW w:w="860" w:type="dxa"/>
            <w:vAlign w:val="bottom"/>
            <w:tcBorders>
              <w:bottom w:val="single" w:sz="8" w:color="auto"/>
            </w:tcBorders>
          </w:tcPr>
          <w:p>
            <w:pPr>
              <w:spacing w:after="0"/>
              <w:rPr>
                <w:sz w:val="10"/>
                <w:szCs w:val="10"/>
                <w:color w:val="auto"/>
              </w:rPr>
            </w:pPr>
          </w:p>
        </w:tc>
        <w:tc>
          <w:tcPr>
            <w:tcW w:w="200" w:type="dxa"/>
            <w:vAlign w:val="bottom"/>
            <w:tcBorders>
              <w:bottom w:val="single" w:sz="8" w:color="auto"/>
            </w:tcBorders>
          </w:tcPr>
          <w:p>
            <w:pPr>
              <w:spacing w:after="0"/>
              <w:rPr>
                <w:sz w:val="10"/>
                <w:szCs w:val="10"/>
                <w:color w:val="auto"/>
              </w:rPr>
            </w:pPr>
          </w:p>
        </w:tc>
        <w:tc>
          <w:tcPr>
            <w:tcW w:w="440" w:type="dxa"/>
            <w:vAlign w:val="bottom"/>
            <w:tcBorders>
              <w:bottom w:val="single" w:sz="8" w:color="auto"/>
            </w:tcBorders>
          </w:tcPr>
          <w:p>
            <w:pPr>
              <w:spacing w:after="0"/>
              <w:rPr>
                <w:sz w:val="10"/>
                <w:szCs w:val="10"/>
                <w:color w:val="auto"/>
              </w:rPr>
            </w:pPr>
          </w:p>
        </w:tc>
        <w:tc>
          <w:tcPr>
            <w:tcW w:w="300" w:type="dxa"/>
            <w:vAlign w:val="bottom"/>
            <w:tcBorders>
              <w:bottom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124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Первичный</w:t>
            </w:r>
          </w:p>
        </w:tc>
        <w:tc>
          <w:tcPr>
            <w:tcW w:w="1040" w:type="dxa"/>
            <w:vAlign w:val="bottom"/>
            <w:tcBorders>
              <w:right w:val="single" w:sz="8" w:color="auto"/>
            </w:tcBorders>
          </w:tcPr>
          <w:p>
            <w:pPr>
              <w:spacing w:after="0"/>
              <w:rPr>
                <w:sz w:val="24"/>
                <w:szCs w:val="24"/>
                <w:color w:val="auto"/>
              </w:rPr>
            </w:pP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5–15%</w:t>
            </w:r>
          </w:p>
        </w:tc>
        <w:tc>
          <w:tcPr>
            <w:tcW w:w="1180" w:type="dxa"/>
            <w:vAlign w:val="bottom"/>
            <w:gridSpan w:val="3"/>
          </w:tcPr>
          <w:p>
            <w:pPr>
              <w:ind w:left="140"/>
              <w:spacing w:after="0"/>
              <w:rPr>
                <w:sz w:val="20"/>
                <w:szCs w:val="20"/>
                <w:color w:val="auto"/>
              </w:rPr>
            </w:pPr>
            <w:r>
              <w:rPr>
                <w:rFonts w:ascii="Verdana" w:cs="Verdana" w:eastAsia="Verdana" w:hAnsi="Verdana"/>
                <w:sz w:val="17"/>
                <w:szCs w:val="17"/>
                <w:color w:val="auto"/>
                <w:w w:val="97"/>
              </w:rPr>
              <w:t>Спонтанная</w:t>
            </w:r>
          </w:p>
        </w:tc>
        <w:tc>
          <w:tcPr>
            <w:tcW w:w="420" w:type="dxa"/>
            <w:vAlign w:val="bottom"/>
          </w:tcPr>
          <w:p>
            <w:pPr>
              <w:spacing w:after="0"/>
              <w:rPr>
                <w:sz w:val="24"/>
                <w:szCs w:val="24"/>
                <w:color w:val="auto"/>
              </w:rPr>
            </w:pPr>
          </w:p>
        </w:tc>
        <w:tc>
          <w:tcPr>
            <w:tcW w:w="40" w:type="dxa"/>
            <w:vAlign w:val="bottom"/>
          </w:tcPr>
          <w:p>
            <w:pPr>
              <w:spacing w:after="0"/>
              <w:rPr>
                <w:sz w:val="24"/>
                <w:szCs w:val="24"/>
                <w:color w:val="auto"/>
              </w:rPr>
            </w:pPr>
          </w:p>
        </w:tc>
        <w:tc>
          <w:tcPr>
            <w:tcW w:w="160" w:type="dxa"/>
            <w:vAlign w:val="bottom"/>
          </w:tcPr>
          <w:p>
            <w:pPr>
              <w:spacing w:after="0"/>
              <w:rPr>
                <w:sz w:val="24"/>
                <w:szCs w:val="24"/>
                <w:color w:val="auto"/>
              </w:rPr>
            </w:pPr>
          </w:p>
        </w:tc>
        <w:tc>
          <w:tcPr>
            <w:tcW w:w="5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w w:val="92"/>
              </w:rPr>
              <w:t>или</w:t>
            </w:r>
          </w:p>
        </w:tc>
        <w:tc>
          <w:tcPr>
            <w:tcW w:w="860" w:type="dxa"/>
            <w:vAlign w:val="bottom"/>
          </w:tcPr>
          <w:p>
            <w:pPr>
              <w:ind w:left="140"/>
              <w:spacing w:after="0"/>
              <w:rPr>
                <w:sz w:val="20"/>
                <w:szCs w:val="20"/>
                <w:color w:val="auto"/>
              </w:rPr>
            </w:pPr>
            <w:r>
              <w:rPr>
                <w:rFonts w:ascii="Verdana" w:cs="Verdana" w:eastAsia="Verdana" w:hAnsi="Verdana"/>
                <w:sz w:val="17"/>
                <w:szCs w:val="17"/>
                <w:color w:val="auto"/>
              </w:rPr>
              <w:t>Ренин</w:t>
            </w:r>
            <w:r>
              <w:rPr>
                <w:rFonts w:ascii="Verdana" w:cs="Verdana" w:eastAsia="Verdana" w:hAnsi="Verdana"/>
                <w:sz w:val="17"/>
                <w:szCs w:val="17"/>
                <w:color w:val="auto"/>
              </w:rPr>
              <w:t>,</w:t>
            </w:r>
          </w:p>
        </w:tc>
        <w:tc>
          <w:tcPr>
            <w:tcW w:w="200" w:type="dxa"/>
            <w:vAlign w:val="bottom"/>
          </w:tcPr>
          <w:p>
            <w:pPr>
              <w:spacing w:after="0"/>
              <w:rPr>
                <w:sz w:val="24"/>
                <w:szCs w:val="24"/>
                <w:color w:val="auto"/>
              </w:rPr>
            </w:pPr>
          </w:p>
        </w:tc>
        <w:tc>
          <w:tcPr>
            <w:tcW w:w="440" w:type="dxa"/>
            <w:vAlign w:val="bottom"/>
          </w:tcPr>
          <w:p>
            <w:pPr>
              <w:spacing w:after="0"/>
              <w:rPr>
                <w:sz w:val="24"/>
                <w:szCs w:val="24"/>
                <w:color w:val="auto"/>
              </w:rPr>
            </w:pP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альдостеронизм</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7"/>
              </w:rPr>
              <w:t>индуцированная</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альдостерон</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диуретиками</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плазмы</w:t>
            </w: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в</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исследование</w:t>
            </w:r>
          </w:p>
        </w:tc>
        <w:tc>
          <w:tcPr>
            <w:tcW w:w="300" w:type="dxa"/>
            <w:vAlign w:val="bottom"/>
            <w:vMerge w:val="restart"/>
          </w:tcPr>
          <w:p>
            <w:pPr>
              <w:jc w:val="right"/>
              <w:spacing w:after="0"/>
              <w:rPr>
                <w:sz w:val="20"/>
                <w:szCs w:val="20"/>
                <w:color w:val="auto"/>
              </w:rPr>
            </w:pPr>
            <w:r>
              <w:rPr>
                <w:rFonts w:ascii="Verdana" w:cs="Verdana" w:eastAsia="Verdana" w:hAnsi="Verdana"/>
                <w:sz w:val="17"/>
                <w:szCs w:val="17"/>
                <w:color w:val="auto"/>
              </w:rPr>
              <w:t>на</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гипертензия</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vMerge w:val="continue"/>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проводят</w:t>
            </w:r>
          </w:p>
        </w:tc>
        <w:tc>
          <w:tcPr>
            <w:tcW w:w="440" w:type="dxa"/>
            <w:vAlign w:val="bottom"/>
          </w:tcPr>
          <w:p>
            <w:pPr>
              <w:spacing w:after="0"/>
              <w:rPr>
                <w:sz w:val="14"/>
                <w:szCs w:val="14"/>
                <w:color w:val="auto"/>
              </w:rPr>
            </w:pPr>
          </w:p>
        </w:tc>
        <w:tc>
          <w:tcPr>
            <w:tcW w:w="300" w:type="dxa"/>
            <w:vAlign w:val="bottom"/>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8"/>
              </w:rPr>
              <w:t>сочетании</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с</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6"/>
              </w:rPr>
              <w:t>нормокалиемии</w:t>
            </w: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8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надпочечниковой</w:t>
            </w: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через</w:t>
            </w:r>
          </w:p>
        </w:tc>
        <w:tc>
          <w:tcPr>
            <w:tcW w:w="200" w:type="dxa"/>
            <w:vAlign w:val="bottom"/>
          </w:tcPr>
          <w:p>
            <w:pPr>
              <w:jc w:val="right"/>
              <w:spacing w:after="0" w:line="165" w:lineRule="exact"/>
              <w:rPr>
                <w:sz w:val="20"/>
                <w:szCs w:val="20"/>
                <w:color w:val="auto"/>
              </w:rPr>
            </w:pPr>
            <w:r>
              <w:rPr>
                <w:rFonts w:ascii="Verdana" w:cs="Verdana" w:eastAsia="Verdana" w:hAnsi="Verdana"/>
                <w:sz w:val="17"/>
                <w:szCs w:val="17"/>
                <w:color w:val="auto"/>
                <w:w w:val="91"/>
              </w:rPr>
              <w:t>6</w:t>
            </w: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недель</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40" w:type="dxa"/>
            <w:vAlign w:val="bottom"/>
            <w:gridSpan w:val="5"/>
          </w:tcPr>
          <w:p>
            <w:pPr>
              <w:ind w:left="140"/>
              <w:spacing w:after="0" w:line="165" w:lineRule="exact"/>
              <w:rPr>
                <w:sz w:val="20"/>
                <w:szCs w:val="20"/>
                <w:color w:val="auto"/>
              </w:rPr>
            </w:pPr>
            <w:r>
              <w:rPr>
                <w:rFonts w:ascii="Verdana" w:cs="Verdana" w:eastAsia="Verdana" w:hAnsi="Verdana"/>
                <w:sz w:val="17"/>
                <w:szCs w:val="17"/>
                <w:color w:val="auto"/>
                <w:w w:val="97"/>
              </w:rPr>
              <w:t>инсиденталомой</w:t>
            </w:r>
            <w:r>
              <w:rPr>
                <w:rFonts w:ascii="Verdana" w:cs="Verdana" w:eastAsia="Verdana" w:hAnsi="Verdana"/>
                <w:sz w:val="17"/>
                <w:szCs w:val="17"/>
                <w:color w:val="auto"/>
                <w:w w:val="97"/>
              </w:rPr>
              <w:t>,</w:t>
            </w:r>
          </w:p>
        </w:tc>
        <w:tc>
          <w:tcPr>
            <w:tcW w:w="660" w:type="dxa"/>
            <w:vAlign w:val="bottom"/>
            <w:tcBorders>
              <w:right w:val="single" w:sz="8" w:color="auto"/>
            </w:tcBorders>
            <w:gridSpan w:val="2"/>
          </w:tcPr>
          <w:p>
            <w:pPr>
              <w:jc w:val="right"/>
              <w:ind w:right="157"/>
              <w:spacing w:after="0" w:line="165" w:lineRule="exact"/>
              <w:rPr>
                <w:sz w:val="20"/>
                <w:szCs w:val="20"/>
                <w:color w:val="auto"/>
              </w:rPr>
            </w:pPr>
            <w:r>
              <w:rPr>
                <w:rFonts w:ascii="Verdana" w:cs="Verdana" w:eastAsia="Verdana" w:hAnsi="Verdana"/>
                <w:sz w:val="17"/>
                <w:szCs w:val="17"/>
                <w:color w:val="auto"/>
              </w:rPr>
              <w:t>или</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после</w:t>
            </w:r>
          </w:p>
        </w:tc>
        <w:tc>
          <w:tcPr>
            <w:tcW w:w="200" w:type="dxa"/>
            <w:vAlign w:val="bottom"/>
          </w:tcPr>
          <w:p>
            <w:pPr>
              <w:spacing w:after="0"/>
              <w:rPr>
                <w:sz w:val="14"/>
                <w:szCs w:val="14"/>
                <w:color w:val="auto"/>
              </w:rPr>
            </w:pP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отмены</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синдромом</w:t>
            </w: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сонного</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9"/>
              </w:rPr>
              <w:t>верошпирона</w:t>
            </w:r>
            <w:r>
              <w:rPr>
                <w:rFonts w:ascii="Verdana" w:cs="Verdana" w:eastAsia="Verdana" w:hAnsi="Verdana"/>
                <w:sz w:val="17"/>
                <w:szCs w:val="17"/>
                <w:color w:val="auto"/>
                <w:w w:val="99"/>
              </w:rPr>
              <w:t>);</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апноэ или</w:t>
            </w:r>
          </w:p>
        </w:tc>
        <w:tc>
          <w:tcPr>
            <w:tcW w:w="1240" w:type="dxa"/>
            <w:vAlign w:val="bottom"/>
            <w:tcBorders>
              <w:right w:val="single" w:sz="8" w:color="auto"/>
            </w:tcBorders>
            <w:gridSpan w:val="5"/>
            <w:vMerge w:val="restart"/>
          </w:tcPr>
          <w:p>
            <w:pPr>
              <w:jc w:val="right"/>
              <w:ind w:right="157"/>
              <w:spacing w:after="0"/>
              <w:rPr>
                <w:sz w:val="20"/>
                <w:szCs w:val="20"/>
                <w:color w:val="auto"/>
              </w:rPr>
            </w:pPr>
            <w:r>
              <w:rPr>
                <w:rFonts w:ascii="Verdana" w:cs="Verdana" w:eastAsia="Verdana" w:hAnsi="Verdana"/>
                <w:sz w:val="17"/>
                <w:szCs w:val="17"/>
                <w:color w:val="auto"/>
              </w:rPr>
              <w:t>анамнезом</w:t>
            </w: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трактуют</w:t>
            </w:r>
          </w:p>
        </w:tc>
        <w:tc>
          <w:tcPr>
            <w:tcW w:w="440" w:type="dxa"/>
            <w:vAlign w:val="bottom"/>
          </w:tcPr>
          <w:p>
            <w:pPr>
              <w:spacing w:after="0"/>
              <w:rPr>
                <w:sz w:val="14"/>
                <w:szCs w:val="14"/>
                <w:color w:val="auto"/>
              </w:rPr>
            </w:pPr>
          </w:p>
        </w:tc>
        <w:tc>
          <w:tcPr>
            <w:tcW w:w="300" w:type="dxa"/>
            <w:vAlign w:val="bottom"/>
            <w:vMerge w:val="restart"/>
          </w:tcPr>
          <w:p>
            <w:pPr>
              <w:jc w:val="right"/>
              <w:spacing w:after="0"/>
              <w:rPr>
                <w:sz w:val="20"/>
                <w:szCs w:val="20"/>
                <w:color w:val="auto"/>
              </w:rPr>
            </w:pPr>
            <w:r>
              <w:rPr>
                <w:rFonts w:ascii="Verdana" w:cs="Verdana" w:eastAsia="Verdana" w:hAnsi="Verdana"/>
                <w:sz w:val="17"/>
                <w:szCs w:val="17"/>
                <w:color w:val="auto"/>
              </w:rPr>
              <w:t>с</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семейным</w:t>
            </w:r>
          </w:p>
        </w:tc>
        <w:tc>
          <w:tcPr>
            <w:tcW w:w="1240" w:type="dxa"/>
            <w:vAlign w:val="bottom"/>
            <w:tcBorders>
              <w:right w:val="single" w:sz="8" w:color="auto"/>
            </w:tcBorders>
            <w:gridSpan w:val="5"/>
            <w:vMerge w:val="continue"/>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результаты</w:t>
            </w:r>
          </w:p>
        </w:tc>
        <w:tc>
          <w:tcPr>
            <w:tcW w:w="300" w:type="dxa"/>
            <w:vAlign w:val="bottom"/>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гипертензии в раннем</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учетом</w:t>
            </w: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возрасте</w:t>
            </w:r>
          </w:p>
        </w:tc>
        <w:tc>
          <w:tcPr>
            <w:tcW w:w="1240" w:type="dxa"/>
            <w:vAlign w:val="bottom"/>
            <w:tcBorders>
              <w:right w:val="single" w:sz="8" w:color="auto"/>
            </w:tcBorders>
            <w:gridSpan w:val="5"/>
          </w:tcPr>
          <w:p>
            <w:pPr>
              <w:jc w:val="right"/>
              <w:ind w:right="97"/>
              <w:spacing w:after="0" w:line="165" w:lineRule="exact"/>
              <w:rPr>
                <w:sz w:val="20"/>
                <w:szCs w:val="20"/>
                <w:color w:val="auto"/>
              </w:rPr>
            </w:pPr>
            <w:r>
              <w:rPr>
                <w:rFonts w:ascii="Verdana" w:cs="Verdana" w:eastAsia="Verdana" w:hAnsi="Verdana"/>
                <w:sz w:val="17"/>
                <w:szCs w:val="17"/>
                <w:color w:val="auto"/>
                <w:w w:val="98"/>
              </w:rPr>
              <w:t>(</w:t>
            </w:r>
            <w:r>
              <w:rPr>
                <w:rFonts w:ascii="Verdana" w:cs="Verdana" w:eastAsia="Verdana" w:hAnsi="Verdana"/>
                <w:sz w:val="17"/>
                <w:szCs w:val="17"/>
                <w:color w:val="auto"/>
                <w:w w:val="98"/>
              </w:rPr>
              <w:t>до</w:t>
            </w:r>
            <w:r>
              <w:rPr>
                <w:rFonts w:ascii="Verdana" w:cs="Verdana" w:eastAsia="Verdana" w:hAnsi="Verdana"/>
                <w:sz w:val="17"/>
                <w:szCs w:val="17"/>
                <w:color w:val="auto"/>
                <w:w w:val="98"/>
              </w:rPr>
              <w:t xml:space="preserve"> 40 </w:t>
            </w:r>
            <w:r>
              <w:rPr>
                <w:rFonts w:ascii="Verdana" w:cs="Verdana" w:eastAsia="Verdana" w:hAnsi="Verdana"/>
                <w:sz w:val="17"/>
                <w:szCs w:val="17"/>
                <w:color w:val="auto"/>
                <w:w w:val="98"/>
              </w:rPr>
              <w:t>лет</w:t>
            </w:r>
            <w:r>
              <w:rPr>
                <w:rFonts w:ascii="Verdana" w:cs="Verdana" w:eastAsia="Verdana" w:hAnsi="Verdana"/>
                <w:sz w:val="17"/>
                <w:szCs w:val="17"/>
                <w:color w:val="auto"/>
                <w:w w:val="98"/>
              </w:rPr>
              <w:t>),</w:t>
            </w:r>
          </w:p>
        </w:tc>
        <w:tc>
          <w:tcPr>
            <w:tcW w:w="18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5"/>
              </w:rPr>
              <w:t>антигипертензивой</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семейным</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w w:val="96"/>
              </w:rPr>
              <w:t>анамнезом</w:t>
            </w: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терапии</w:t>
            </w:r>
            <w:r>
              <w:rPr>
                <w:rFonts w:ascii="Verdana" w:cs="Verdana" w:eastAsia="Verdana" w:hAnsi="Verdana"/>
                <w:sz w:val="17"/>
                <w:szCs w:val="17"/>
                <w:color w:val="auto"/>
              </w:rPr>
              <w:t>,</w:t>
            </w: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w w:val="97"/>
              </w:rPr>
              <w:t>которую</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9"/>
              </w:rPr>
              <w:t>первичного</w:t>
            </w: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8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получает пациент</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гиперальдостеронизма</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родственники</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1-</w:t>
            </w:r>
            <w:r>
              <w:rPr>
                <w:rFonts w:ascii="Verdana" w:cs="Verdana" w:eastAsia="Verdana" w:hAnsi="Verdana"/>
                <w:sz w:val="17"/>
                <w:szCs w:val="17"/>
                <w:color w:val="auto"/>
              </w:rPr>
              <w:t>й</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1600" w:type="dxa"/>
            <w:vAlign w:val="bottom"/>
            <w:gridSpan w:val="4"/>
          </w:tcPr>
          <w:p>
            <w:pPr>
              <w:ind w:left="140"/>
              <w:spacing w:after="0"/>
              <w:rPr>
                <w:sz w:val="20"/>
                <w:szCs w:val="20"/>
                <w:color w:val="auto"/>
              </w:rPr>
            </w:pPr>
            <w:r>
              <w:rPr>
                <w:rFonts w:ascii="Verdana" w:cs="Verdana" w:eastAsia="Verdana" w:hAnsi="Verdana"/>
                <w:sz w:val="17"/>
                <w:szCs w:val="17"/>
                <w:color w:val="auto"/>
              </w:rPr>
              <w:t>линии родства</w:t>
            </w:r>
            <w:r>
              <w:rPr>
                <w:rFonts w:ascii="Verdana" w:cs="Verdana" w:eastAsia="Verdana" w:hAnsi="Verdana"/>
                <w:sz w:val="17"/>
                <w:szCs w:val="17"/>
                <w:color w:val="auto"/>
              </w:rPr>
              <w:t>)</w:t>
            </w:r>
          </w:p>
        </w:tc>
        <w:tc>
          <w:tcPr>
            <w:tcW w:w="4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860" w:type="dxa"/>
            <w:vAlign w:val="bottom"/>
          </w:tcPr>
          <w:p>
            <w:pPr>
              <w:spacing w:after="0"/>
              <w:rPr>
                <w:sz w:val="19"/>
                <w:szCs w:val="19"/>
                <w:color w:val="auto"/>
              </w:rPr>
            </w:pPr>
          </w:p>
        </w:tc>
        <w:tc>
          <w:tcPr>
            <w:tcW w:w="20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275"/>
        </w:trPr>
        <w:tc>
          <w:tcPr>
            <w:tcW w:w="2280" w:type="dxa"/>
            <w:vAlign w:val="bottom"/>
            <w:tcBorders>
              <w:left w:val="single" w:sz="8" w:color="auto"/>
              <w:bottom w:val="single" w:sz="8" w:color="auto"/>
              <w:right w:val="single" w:sz="8" w:color="auto"/>
            </w:tcBorders>
            <w:gridSpan w:val="2"/>
          </w:tcPr>
          <w:p>
            <w:pPr>
              <w:spacing w:after="0"/>
              <w:rPr>
                <w:sz w:val="23"/>
                <w:szCs w:val="23"/>
                <w:color w:val="auto"/>
              </w:rPr>
            </w:pPr>
          </w:p>
        </w:tc>
        <w:tc>
          <w:tcPr>
            <w:tcW w:w="120" w:type="dxa"/>
            <w:vAlign w:val="bottom"/>
            <w:tcBorders>
              <w:bottom w:val="single" w:sz="8" w:color="auto"/>
            </w:tcBorders>
          </w:tcPr>
          <w:p>
            <w:pPr>
              <w:spacing w:after="0"/>
              <w:rPr>
                <w:sz w:val="23"/>
                <w:szCs w:val="23"/>
                <w:color w:val="auto"/>
              </w:rPr>
            </w:pPr>
          </w:p>
        </w:tc>
        <w:tc>
          <w:tcPr>
            <w:tcW w:w="1940" w:type="dxa"/>
            <w:vAlign w:val="bottom"/>
            <w:tcBorders>
              <w:bottom w:val="single" w:sz="8" w:color="auto"/>
              <w:right w:val="single" w:sz="8" w:color="auto"/>
            </w:tcBorders>
          </w:tcPr>
          <w:p>
            <w:pPr>
              <w:spacing w:after="0"/>
              <w:rPr>
                <w:sz w:val="23"/>
                <w:szCs w:val="23"/>
                <w:color w:val="auto"/>
              </w:rPr>
            </w:pPr>
          </w:p>
        </w:tc>
        <w:tc>
          <w:tcPr>
            <w:tcW w:w="1600" w:type="dxa"/>
            <w:vAlign w:val="bottom"/>
            <w:tcBorders>
              <w:bottom w:val="single" w:sz="8" w:color="auto"/>
            </w:tcBorders>
            <w:gridSpan w:val="4"/>
          </w:tcPr>
          <w:p>
            <w:pPr>
              <w:spacing w:after="0"/>
              <w:rPr>
                <w:sz w:val="23"/>
                <w:szCs w:val="23"/>
                <w:color w:val="auto"/>
              </w:rPr>
            </w:pPr>
          </w:p>
        </w:tc>
        <w:tc>
          <w:tcPr>
            <w:tcW w:w="40" w:type="dxa"/>
            <w:vAlign w:val="bottom"/>
            <w:tcBorders>
              <w:bottom w:val="single" w:sz="8" w:color="auto"/>
            </w:tcBorders>
          </w:tcPr>
          <w:p>
            <w:pPr>
              <w:spacing w:after="0"/>
              <w:rPr>
                <w:sz w:val="23"/>
                <w:szCs w:val="23"/>
                <w:color w:val="auto"/>
              </w:rPr>
            </w:pPr>
          </w:p>
        </w:tc>
        <w:tc>
          <w:tcPr>
            <w:tcW w:w="160" w:type="dxa"/>
            <w:vAlign w:val="bottom"/>
            <w:tcBorders>
              <w:bottom w:val="single" w:sz="8" w:color="auto"/>
            </w:tcBorders>
          </w:tcPr>
          <w:p>
            <w:pPr>
              <w:spacing w:after="0"/>
              <w:rPr>
                <w:sz w:val="23"/>
                <w:szCs w:val="23"/>
                <w:color w:val="auto"/>
              </w:rPr>
            </w:pPr>
          </w:p>
        </w:tc>
        <w:tc>
          <w:tcPr>
            <w:tcW w:w="500" w:type="dxa"/>
            <w:vAlign w:val="bottom"/>
            <w:tcBorders>
              <w:bottom w:val="single" w:sz="8" w:color="auto"/>
              <w:right w:val="single" w:sz="8" w:color="auto"/>
            </w:tcBorders>
          </w:tcPr>
          <w:p>
            <w:pPr>
              <w:spacing w:after="0"/>
              <w:rPr>
                <w:sz w:val="23"/>
                <w:szCs w:val="23"/>
                <w:color w:val="auto"/>
              </w:rPr>
            </w:pPr>
          </w:p>
        </w:tc>
        <w:tc>
          <w:tcPr>
            <w:tcW w:w="1500" w:type="dxa"/>
            <w:vAlign w:val="bottom"/>
            <w:tcBorders>
              <w:bottom w:val="single" w:sz="8" w:color="auto"/>
            </w:tcBorders>
            <w:gridSpan w:val="3"/>
          </w:tcPr>
          <w:p>
            <w:pPr>
              <w:spacing w:after="0"/>
              <w:rPr>
                <w:sz w:val="23"/>
                <w:szCs w:val="23"/>
                <w:color w:val="auto"/>
              </w:rPr>
            </w:pPr>
          </w:p>
        </w:tc>
        <w:tc>
          <w:tcPr>
            <w:tcW w:w="300" w:type="dxa"/>
            <w:vAlign w:val="bottom"/>
            <w:tcBorders>
              <w:bottom w:val="single" w:sz="8" w:color="auto"/>
            </w:tcBorders>
          </w:tcPr>
          <w:p>
            <w:pPr>
              <w:spacing w:after="0"/>
              <w:rPr>
                <w:sz w:val="23"/>
                <w:szCs w:val="23"/>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Феохромоцитома</w:t>
            </w: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&lt;1%</w:t>
            </w:r>
          </w:p>
        </w:tc>
        <w:tc>
          <w:tcPr>
            <w:tcW w:w="1600" w:type="dxa"/>
            <w:vAlign w:val="bottom"/>
            <w:gridSpan w:val="4"/>
          </w:tcPr>
          <w:p>
            <w:pPr>
              <w:ind w:left="140"/>
              <w:spacing w:after="0"/>
              <w:rPr>
                <w:sz w:val="20"/>
                <w:szCs w:val="20"/>
                <w:color w:val="auto"/>
              </w:rPr>
            </w:pPr>
            <w:r>
              <w:rPr>
                <w:rFonts w:ascii="Verdana" w:cs="Verdana" w:eastAsia="Verdana" w:hAnsi="Verdana"/>
                <w:sz w:val="17"/>
                <w:szCs w:val="17"/>
                <w:color w:val="auto"/>
              </w:rPr>
              <w:t>Периодические</w:t>
            </w:r>
          </w:p>
        </w:tc>
        <w:tc>
          <w:tcPr>
            <w:tcW w:w="40" w:type="dxa"/>
            <w:vAlign w:val="bottom"/>
          </w:tcPr>
          <w:p>
            <w:pPr>
              <w:spacing w:after="0"/>
              <w:rPr>
                <w:sz w:val="24"/>
                <w:szCs w:val="24"/>
                <w:color w:val="auto"/>
              </w:rPr>
            </w:pPr>
          </w:p>
        </w:tc>
        <w:tc>
          <w:tcPr>
            <w:tcW w:w="16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500" w:type="dxa"/>
            <w:vAlign w:val="bottom"/>
            <w:gridSpan w:val="3"/>
          </w:tcPr>
          <w:p>
            <w:pPr>
              <w:ind w:left="140"/>
              <w:spacing w:after="0"/>
              <w:rPr>
                <w:sz w:val="20"/>
                <w:szCs w:val="20"/>
                <w:color w:val="auto"/>
              </w:rPr>
            </w:pPr>
            <w:r>
              <w:rPr>
                <w:rFonts w:ascii="Verdana" w:cs="Verdana" w:eastAsia="Verdana" w:hAnsi="Verdana"/>
                <w:sz w:val="17"/>
                <w:szCs w:val="17"/>
                <w:color w:val="auto"/>
              </w:rPr>
              <w:t>Метанефрины</w:t>
            </w:r>
          </w:p>
        </w:tc>
        <w:tc>
          <w:tcPr>
            <w:tcW w:w="300" w:type="dxa"/>
            <w:vAlign w:val="bottom"/>
          </w:tcPr>
          <w:p>
            <w:pPr>
              <w:jc w:val="right"/>
              <w:spacing w:after="0"/>
              <w:rPr>
                <w:sz w:val="20"/>
                <w:szCs w:val="20"/>
                <w:color w:val="auto"/>
              </w:rPr>
            </w:pPr>
            <w:r>
              <w:rPr>
                <w:rFonts w:ascii="Verdana" w:cs="Verdana" w:eastAsia="Verdana" w:hAnsi="Verdana"/>
                <w:sz w:val="17"/>
                <w:szCs w:val="17"/>
                <w:color w:val="auto"/>
              </w:rPr>
              <w:t>в</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симптомы</w:t>
            </w:r>
            <w:r>
              <w:rPr>
                <w:rFonts w:ascii="Verdana" w:cs="Verdana" w:eastAsia="Verdana" w:hAnsi="Verdana"/>
                <w:sz w:val="17"/>
                <w:szCs w:val="17"/>
                <w:color w:val="auto"/>
              </w:rPr>
              <w:t>:</w:t>
            </w: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эпизоды</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плазме</w:t>
            </w: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w w:val="86"/>
              </w:rPr>
              <w:t>или</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повышения</w:t>
            </w: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8"/>
              </w:rPr>
              <w:t>АД</w:t>
            </w:r>
            <w:r>
              <w:rPr>
                <w:rFonts w:ascii="Verdana" w:cs="Verdana" w:eastAsia="Verdana" w:hAnsi="Verdana"/>
                <w:sz w:val="17"/>
                <w:szCs w:val="17"/>
                <w:color w:val="auto"/>
                <w:w w:val="98"/>
              </w:rPr>
              <w:t>,</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суточной моче</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головная</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6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w w:val="97"/>
              </w:rPr>
              <w:t>боль</w:t>
            </w:r>
            <w:r>
              <w:rPr>
                <w:rFonts w:ascii="Verdana" w:cs="Verdana" w:eastAsia="Verdana" w:hAnsi="Verdana"/>
                <w:sz w:val="17"/>
                <w:szCs w:val="17"/>
                <w:color w:val="auto"/>
                <w:w w:val="97"/>
              </w:rPr>
              <w:t>,</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7"/>
              </w:rPr>
              <w:t>потливость</w:t>
            </w:r>
            <w:r>
              <w:rPr>
                <w:rFonts w:ascii="Verdana" w:cs="Verdana" w:eastAsia="Verdana" w:hAnsi="Verdana"/>
                <w:sz w:val="17"/>
                <w:szCs w:val="17"/>
                <w:color w:val="auto"/>
                <w:w w:val="97"/>
              </w:rPr>
              <w:t>,</w:t>
            </w: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и</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сердцебиения</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vMerge w:val="continue"/>
          </w:tcPr>
          <w:p>
            <w:pPr>
              <w:spacing w:after="0"/>
              <w:rPr>
                <w:sz w:val="14"/>
                <w:szCs w:val="14"/>
                <w:color w:val="auto"/>
              </w:rPr>
            </w:pP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бледность</w:t>
            </w:r>
            <w:r>
              <w:rPr>
                <w:rFonts w:ascii="Verdana" w:cs="Verdana" w:eastAsia="Verdana" w:hAnsi="Verdana"/>
                <w:sz w:val="17"/>
                <w:szCs w:val="17"/>
                <w:color w:val="auto"/>
              </w:rPr>
              <w:t>;</w:t>
            </w: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w w:val="98"/>
              </w:rPr>
              <w:t>лабильное</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АД</w:t>
            </w:r>
            <w:r>
              <w:rPr>
                <w:rFonts w:ascii="Verdana" w:cs="Verdana" w:eastAsia="Verdana" w:hAnsi="Verdana"/>
                <w:sz w:val="17"/>
                <w:szCs w:val="17"/>
                <w:color w:val="auto"/>
              </w:rPr>
              <w:t>;</w:t>
            </w:r>
            <w:r>
              <w:rPr>
                <w:rFonts w:ascii="Verdana" w:cs="Verdana" w:eastAsia="Verdana" w:hAnsi="Verdana"/>
                <w:sz w:val="17"/>
                <w:szCs w:val="17"/>
                <w:color w:val="auto"/>
              </w:rPr>
              <w:t xml:space="preserve"> подъемы АД могут</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ind w:left="140"/>
              <w:spacing w:after="0" w:line="165" w:lineRule="exact"/>
              <w:rPr>
                <w:sz w:val="20"/>
                <w:szCs w:val="20"/>
                <w:color w:val="auto"/>
              </w:rPr>
            </w:pPr>
            <w:r>
              <w:rPr>
                <w:rFonts w:ascii="Verdana" w:cs="Verdana" w:eastAsia="Verdana" w:hAnsi="Verdana"/>
                <w:sz w:val="17"/>
                <w:szCs w:val="17"/>
                <w:color w:val="auto"/>
              </w:rPr>
              <w:t>быть</w:t>
            </w:r>
          </w:p>
        </w:tc>
        <w:tc>
          <w:tcPr>
            <w:tcW w:w="1680" w:type="dxa"/>
            <w:vAlign w:val="bottom"/>
            <w:tcBorders>
              <w:right w:val="single" w:sz="8" w:color="auto"/>
            </w:tcBorders>
            <w:gridSpan w:val="6"/>
          </w:tcPr>
          <w:p>
            <w:pPr>
              <w:jc w:val="right"/>
              <w:ind w:right="97"/>
              <w:spacing w:after="0" w:line="165" w:lineRule="exact"/>
              <w:rPr>
                <w:sz w:val="20"/>
                <w:szCs w:val="20"/>
                <w:color w:val="auto"/>
              </w:rPr>
            </w:pPr>
            <w:r>
              <w:rPr>
                <w:rFonts w:ascii="Verdana" w:cs="Verdana" w:eastAsia="Verdana" w:hAnsi="Verdana"/>
                <w:sz w:val="17"/>
                <w:szCs w:val="17"/>
                <w:color w:val="auto"/>
                <w:w w:val="99"/>
              </w:rPr>
              <w:t>спровоцированы</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приемом</w:t>
            </w:r>
          </w:p>
        </w:tc>
        <w:tc>
          <w:tcPr>
            <w:tcW w:w="1240" w:type="dxa"/>
            <w:vAlign w:val="bottom"/>
            <w:tcBorders>
              <w:right w:val="single" w:sz="8" w:color="auto"/>
            </w:tcBorders>
            <w:gridSpan w:val="5"/>
          </w:tcPr>
          <w:p>
            <w:pPr>
              <w:jc w:val="right"/>
              <w:ind w:right="97"/>
              <w:spacing w:after="0" w:line="165" w:lineRule="exact"/>
              <w:rPr>
                <w:sz w:val="20"/>
                <w:szCs w:val="20"/>
                <w:color w:val="auto"/>
              </w:rPr>
            </w:pPr>
            <w:r>
              <w:rPr>
                <w:rFonts w:ascii="Verdana" w:cs="Verdana" w:eastAsia="Verdana" w:hAnsi="Verdana"/>
                <w:sz w:val="17"/>
                <w:szCs w:val="17"/>
                <w:color w:val="auto"/>
              </w:rPr>
              <w:t>препаратов</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ББ</w:t>
            </w:r>
            <w:r>
              <w:rPr>
                <w:rFonts w:ascii="Verdana" w:cs="Verdana" w:eastAsia="Verdana" w:hAnsi="Verdana"/>
                <w:sz w:val="17"/>
                <w:szCs w:val="17"/>
                <w:color w:val="auto"/>
              </w:rPr>
              <w:t xml:space="preserve">,  </w:t>
            </w:r>
            <w:r>
              <w:rPr>
                <w:rFonts w:ascii="Verdana" w:cs="Verdana" w:eastAsia="Verdana" w:hAnsi="Verdana"/>
                <w:sz w:val="17"/>
                <w:szCs w:val="17"/>
                <w:color w:val="auto"/>
              </w:rPr>
              <w:t>метоклопрамида</w:t>
            </w:r>
            <w:r>
              <w:rPr>
                <w:rFonts w:ascii="Verdana" w:cs="Verdana" w:eastAsia="Verdana" w:hAnsi="Verdana"/>
                <w:sz w:val="17"/>
                <w:szCs w:val="17"/>
                <w:color w:val="auto"/>
              </w:rPr>
              <w:t>,</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симпатомиметиков</w:t>
            </w:r>
            <w:r>
              <w:rPr>
                <w:rFonts w:ascii="Verdana" w:cs="Verdana" w:eastAsia="Verdana" w:hAnsi="Verdana"/>
                <w:sz w:val="17"/>
                <w:szCs w:val="17"/>
                <w:color w:val="auto"/>
              </w:rPr>
              <w:t>,</w:t>
            </w: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опиоидов</w:t>
            </w:r>
            <w:r>
              <w:rPr>
                <w:rFonts w:ascii="Verdana" w:cs="Verdana" w:eastAsia="Verdana" w:hAnsi="Verdana"/>
                <w:sz w:val="17"/>
                <w:szCs w:val="17"/>
                <w:color w:val="auto"/>
                <w:w w:val="99"/>
              </w:rPr>
              <w:t>,</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трициклических</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spacing w:after="0"/>
              <w:rPr>
                <w:sz w:val="14"/>
                <w:szCs w:val="14"/>
                <w:color w:val="auto"/>
              </w:rPr>
            </w:pP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1800" w:type="dxa"/>
            <w:vAlign w:val="bottom"/>
            <w:gridSpan w:val="6"/>
          </w:tcPr>
          <w:p>
            <w:pPr>
              <w:ind w:left="140"/>
              <w:spacing w:after="0"/>
              <w:rPr>
                <w:sz w:val="20"/>
                <w:szCs w:val="20"/>
                <w:color w:val="auto"/>
              </w:rPr>
            </w:pPr>
            <w:r>
              <w:rPr>
                <w:rFonts w:ascii="Verdana" w:cs="Verdana" w:eastAsia="Verdana" w:hAnsi="Verdana"/>
                <w:sz w:val="17"/>
                <w:szCs w:val="17"/>
                <w:color w:val="auto"/>
                <w:w w:val="97"/>
              </w:rPr>
              <w:t>антидепрессантов</w:t>
            </w:r>
            <w:r>
              <w:rPr>
                <w:rFonts w:ascii="Verdana" w:cs="Verdana" w:eastAsia="Verdana" w:hAnsi="Verdana"/>
                <w:sz w:val="17"/>
                <w:szCs w:val="17"/>
                <w:color w:val="auto"/>
                <w:w w:val="97"/>
              </w:rPr>
              <w:t>)</w:t>
            </w:r>
          </w:p>
        </w:tc>
        <w:tc>
          <w:tcPr>
            <w:tcW w:w="500" w:type="dxa"/>
            <w:vAlign w:val="bottom"/>
            <w:tcBorders>
              <w:right w:val="single" w:sz="8" w:color="auto"/>
            </w:tcBorders>
          </w:tcPr>
          <w:p>
            <w:pPr>
              <w:spacing w:after="0"/>
              <w:rPr>
                <w:sz w:val="19"/>
                <w:szCs w:val="19"/>
                <w:color w:val="auto"/>
              </w:rPr>
            </w:pPr>
          </w:p>
        </w:tc>
        <w:tc>
          <w:tcPr>
            <w:tcW w:w="860" w:type="dxa"/>
            <w:vAlign w:val="bottom"/>
          </w:tcPr>
          <w:p>
            <w:pPr>
              <w:spacing w:after="0"/>
              <w:rPr>
                <w:sz w:val="19"/>
                <w:szCs w:val="19"/>
                <w:color w:val="auto"/>
              </w:rPr>
            </w:pPr>
          </w:p>
        </w:tc>
        <w:tc>
          <w:tcPr>
            <w:tcW w:w="20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gridSpan w:val="2"/>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1940" w:type="dxa"/>
            <w:vAlign w:val="bottom"/>
            <w:tcBorders>
              <w:bottom w:val="single" w:sz="8" w:color="auto"/>
              <w:right w:val="single" w:sz="8" w:color="auto"/>
            </w:tcBorders>
          </w:tcPr>
          <w:p>
            <w:pPr>
              <w:spacing w:after="0"/>
              <w:rPr>
                <w:sz w:val="9"/>
                <w:szCs w:val="9"/>
                <w:color w:val="auto"/>
              </w:rPr>
            </w:pPr>
          </w:p>
        </w:tc>
        <w:tc>
          <w:tcPr>
            <w:tcW w:w="1600" w:type="dxa"/>
            <w:vAlign w:val="bottom"/>
            <w:tcBorders>
              <w:bottom w:val="single" w:sz="8" w:color="auto"/>
            </w:tcBorders>
            <w:gridSpan w:val="4"/>
          </w:tcPr>
          <w:p>
            <w:pPr>
              <w:spacing w:after="0"/>
              <w:rPr>
                <w:sz w:val="9"/>
                <w:szCs w:val="9"/>
                <w:color w:val="auto"/>
              </w:rPr>
            </w:pPr>
          </w:p>
        </w:tc>
        <w:tc>
          <w:tcPr>
            <w:tcW w:w="40" w:type="dxa"/>
            <w:vAlign w:val="bottom"/>
            <w:tcBorders>
              <w:bottom w:val="single" w:sz="8" w:color="auto"/>
            </w:tcBorders>
          </w:tcPr>
          <w:p>
            <w:pPr>
              <w:spacing w:after="0"/>
              <w:rPr>
                <w:sz w:val="9"/>
                <w:szCs w:val="9"/>
                <w:color w:val="auto"/>
              </w:rPr>
            </w:pPr>
          </w:p>
        </w:tc>
        <w:tc>
          <w:tcPr>
            <w:tcW w:w="660" w:type="dxa"/>
            <w:vAlign w:val="bottom"/>
            <w:tcBorders>
              <w:bottom w:val="single" w:sz="8" w:color="auto"/>
              <w:right w:val="single" w:sz="8" w:color="auto"/>
            </w:tcBorders>
            <w:gridSpan w:val="2"/>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20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Синдром Кушинга</w:t>
            </w: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&lt;1%</w:t>
            </w:r>
          </w:p>
        </w:tc>
        <w:tc>
          <w:tcPr>
            <w:tcW w:w="1600" w:type="dxa"/>
            <w:vAlign w:val="bottom"/>
            <w:gridSpan w:val="4"/>
          </w:tcPr>
          <w:p>
            <w:pPr>
              <w:ind w:left="140"/>
              <w:spacing w:after="0"/>
              <w:rPr>
                <w:sz w:val="20"/>
                <w:szCs w:val="20"/>
                <w:color w:val="auto"/>
              </w:rPr>
            </w:pPr>
            <w:r>
              <w:rPr>
                <w:rFonts w:ascii="Verdana" w:cs="Verdana" w:eastAsia="Verdana" w:hAnsi="Verdana"/>
                <w:sz w:val="17"/>
                <w:szCs w:val="17"/>
                <w:color w:val="auto"/>
              </w:rPr>
              <w:t>Лунообразное</w:t>
            </w:r>
          </w:p>
        </w:tc>
        <w:tc>
          <w:tcPr>
            <w:tcW w:w="40" w:type="dxa"/>
            <w:vAlign w:val="bottom"/>
          </w:tcPr>
          <w:p>
            <w:pPr>
              <w:spacing w:after="0"/>
              <w:rPr>
                <w:sz w:val="24"/>
                <w:szCs w:val="24"/>
                <w:color w:val="auto"/>
              </w:rPr>
            </w:pPr>
          </w:p>
        </w:tc>
        <w:tc>
          <w:tcPr>
            <w:tcW w:w="6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w w:val="93"/>
              </w:rPr>
              <w:t>лицо</w:t>
            </w:r>
            <w:r>
              <w:rPr>
                <w:rFonts w:ascii="Verdana" w:cs="Verdana" w:eastAsia="Verdana" w:hAnsi="Verdana"/>
                <w:sz w:val="17"/>
                <w:szCs w:val="17"/>
                <w:color w:val="auto"/>
                <w:w w:val="93"/>
              </w:rPr>
              <w:t>,</w:t>
            </w:r>
          </w:p>
        </w:tc>
        <w:tc>
          <w:tcPr>
            <w:tcW w:w="860" w:type="dxa"/>
            <w:vAlign w:val="bottom"/>
          </w:tcPr>
          <w:p>
            <w:pPr>
              <w:ind w:left="140"/>
              <w:spacing w:after="0"/>
              <w:rPr>
                <w:sz w:val="20"/>
                <w:szCs w:val="20"/>
                <w:color w:val="auto"/>
              </w:rPr>
            </w:pPr>
            <w:r>
              <w:rPr>
                <w:rFonts w:ascii="Verdana" w:cs="Verdana" w:eastAsia="Verdana" w:hAnsi="Verdana"/>
                <w:sz w:val="17"/>
                <w:szCs w:val="17"/>
                <w:color w:val="auto"/>
              </w:rPr>
              <w:t>Проба</w:t>
            </w:r>
          </w:p>
        </w:tc>
        <w:tc>
          <w:tcPr>
            <w:tcW w:w="200" w:type="dxa"/>
            <w:vAlign w:val="bottom"/>
          </w:tcPr>
          <w:p>
            <w:pPr>
              <w:jc w:val="right"/>
              <w:spacing w:after="0"/>
              <w:rPr>
                <w:sz w:val="20"/>
                <w:szCs w:val="20"/>
                <w:color w:val="auto"/>
              </w:rPr>
            </w:pPr>
            <w:r>
              <w:rPr>
                <w:rFonts w:ascii="Verdana" w:cs="Verdana" w:eastAsia="Verdana" w:hAnsi="Verdana"/>
                <w:sz w:val="17"/>
                <w:szCs w:val="17"/>
                <w:color w:val="auto"/>
              </w:rPr>
              <w:t>с</w:t>
            </w:r>
          </w:p>
        </w:tc>
        <w:tc>
          <w:tcPr>
            <w:tcW w:w="440" w:type="dxa"/>
            <w:vAlign w:val="bottom"/>
          </w:tcPr>
          <w:p>
            <w:pPr>
              <w:jc w:val="right"/>
              <w:ind w:right="37"/>
              <w:spacing w:after="0"/>
              <w:rPr>
                <w:sz w:val="20"/>
                <w:szCs w:val="20"/>
                <w:color w:val="auto"/>
              </w:rPr>
            </w:pPr>
            <w:r>
              <w:rPr>
                <w:rFonts w:ascii="Verdana" w:cs="Verdana" w:eastAsia="Verdana" w:hAnsi="Verdana"/>
                <w:sz w:val="17"/>
                <w:szCs w:val="17"/>
                <w:color w:val="auto"/>
              </w:rPr>
              <w:t>1</w:t>
            </w:r>
          </w:p>
        </w:tc>
        <w:tc>
          <w:tcPr>
            <w:tcW w:w="300" w:type="dxa"/>
            <w:vAlign w:val="bottom"/>
          </w:tcPr>
          <w:p>
            <w:pPr>
              <w:jc w:val="right"/>
              <w:spacing w:after="0"/>
              <w:rPr>
                <w:sz w:val="20"/>
                <w:szCs w:val="20"/>
                <w:color w:val="auto"/>
              </w:rPr>
            </w:pPr>
            <w:r>
              <w:rPr>
                <w:rFonts w:ascii="Verdana" w:cs="Verdana" w:eastAsia="Verdana" w:hAnsi="Verdana"/>
                <w:sz w:val="17"/>
                <w:szCs w:val="17"/>
                <w:color w:val="auto"/>
              </w:rPr>
              <w:t>мг</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центральное</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7"/>
              </w:rPr>
              <w:t>дексаметазона</w:t>
            </w:r>
            <w:r>
              <w:rPr>
                <w:rFonts w:ascii="Verdana" w:cs="Verdana" w:eastAsia="Verdana" w:hAnsi="Verdana"/>
                <w:sz w:val="17"/>
                <w:szCs w:val="17"/>
                <w:color w:val="auto"/>
                <w:w w:val="97"/>
              </w:rPr>
              <w:t>,</w:t>
            </w:r>
          </w:p>
        </w:tc>
        <w:tc>
          <w:tcPr>
            <w:tcW w:w="300" w:type="dxa"/>
            <w:vAlign w:val="bottom"/>
          </w:tcPr>
          <w:p>
            <w:pPr>
              <w:jc w:val="right"/>
              <w:spacing w:after="0" w:line="165" w:lineRule="exact"/>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6"/>
              </w:rPr>
              <w:t>ожирение</w:t>
            </w:r>
            <w:r>
              <w:rPr>
                <w:rFonts w:ascii="Verdana" w:cs="Verdana" w:eastAsia="Verdana" w:hAnsi="Verdana"/>
                <w:sz w:val="17"/>
                <w:szCs w:val="17"/>
                <w:color w:val="auto"/>
                <w:w w:val="96"/>
              </w:rPr>
              <w:t>,</w:t>
            </w:r>
          </w:p>
        </w:tc>
        <w:tc>
          <w:tcPr>
            <w:tcW w:w="120" w:type="dxa"/>
            <w:vAlign w:val="bottom"/>
          </w:tcPr>
          <w:p>
            <w:pPr>
              <w:spacing w:after="0"/>
              <w:rPr>
                <w:sz w:val="14"/>
                <w:szCs w:val="14"/>
                <w:color w:val="auto"/>
              </w:rPr>
            </w:pPr>
          </w:p>
        </w:tc>
        <w:tc>
          <w:tcPr>
            <w:tcW w:w="112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атрофия</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или</w:t>
            </w:r>
          </w:p>
        </w:tc>
        <w:tc>
          <w:tcPr>
            <w:tcW w:w="940" w:type="dxa"/>
            <w:vAlign w:val="bottom"/>
            <w:gridSpan w:val="3"/>
          </w:tcPr>
          <w:p>
            <w:pPr>
              <w:jc w:val="right"/>
              <w:spacing w:after="0" w:line="165" w:lineRule="exact"/>
              <w:rPr>
                <w:sz w:val="20"/>
                <w:szCs w:val="20"/>
                <w:color w:val="auto"/>
              </w:rPr>
            </w:pPr>
            <w:r>
              <w:rPr>
                <w:rFonts w:ascii="Verdana" w:cs="Verdana" w:eastAsia="Verdana" w:hAnsi="Verdana"/>
                <w:sz w:val="17"/>
                <w:szCs w:val="17"/>
                <w:color w:val="auto"/>
              </w:rPr>
              <w:t>кортизол</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7"/>
          </w:tcPr>
          <w:p>
            <w:pPr>
              <w:ind w:left="140"/>
              <w:spacing w:after="0" w:line="165" w:lineRule="exact"/>
              <w:rPr>
                <w:sz w:val="20"/>
                <w:szCs w:val="20"/>
                <w:color w:val="auto"/>
              </w:rPr>
            </w:pPr>
            <w:r>
              <w:rPr>
                <w:rFonts w:ascii="Verdana" w:cs="Verdana" w:eastAsia="Verdana" w:hAnsi="Verdana"/>
                <w:sz w:val="17"/>
                <w:szCs w:val="17"/>
                <w:color w:val="auto"/>
              </w:rPr>
              <w:t>кожи</w:t>
            </w:r>
            <w:r>
              <w:rPr>
                <w:rFonts w:ascii="Verdana" w:cs="Verdana" w:eastAsia="Verdana" w:hAnsi="Verdana"/>
                <w:sz w:val="17"/>
                <w:szCs w:val="17"/>
                <w:color w:val="auto"/>
              </w:rPr>
              <w:t>,</w:t>
            </w:r>
            <w:r>
              <w:rPr>
                <w:rFonts w:ascii="Verdana" w:cs="Verdana" w:eastAsia="Verdana" w:hAnsi="Verdana"/>
                <w:sz w:val="17"/>
                <w:szCs w:val="17"/>
                <w:color w:val="auto"/>
              </w:rPr>
              <w:t xml:space="preserve">  стрии</w:t>
            </w:r>
            <w:r>
              <w:rPr>
                <w:rFonts w:ascii="Verdana" w:cs="Verdana" w:eastAsia="Verdana" w:hAnsi="Verdana"/>
                <w:sz w:val="17"/>
                <w:szCs w:val="17"/>
                <w:color w:val="auto"/>
              </w:rPr>
              <w:t>,</w:t>
            </w:r>
            <w:r>
              <w:rPr>
                <w:rFonts w:ascii="Verdana" w:cs="Verdana" w:eastAsia="Verdana" w:hAnsi="Verdana"/>
                <w:sz w:val="17"/>
                <w:szCs w:val="17"/>
                <w:color w:val="auto"/>
              </w:rPr>
              <w:t xml:space="preserve">  диабет</w:t>
            </w:r>
            <w:r>
              <w:rPr>
                <w:rFonts w:ascii="Verdana" w:cs="Verdana" w:eastAsia="Verdana" w:hAnsi="Verdana"/>
                <w:sz w:val="17"/>
                <w:szCs w:val="17"/>
                <w:color w:val="auto"/>
              </w:rPr>
              <w:t>,</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слюны</w:t>
            </w:r>
          </w:p>
        </w:tc>
        <w:tc>
          <w:tcPr>
            <w:tcW w:w="200" w:type="dxa"/>
            <w:vAlign w:val="bottom"/>
          </w:tcPr>
          <w:p>
            <w:pPr>
              <w:jc w:val="right"/>
              <w:spacing w:after="0" w:line="165" w:lineRule="exact"/>
              <w:rPr>
                <w:sz w:val="20"/>
                <w:szCs w:val="20"/>
                <w:color w:val="auto"/>
              </w:rPr>
            </w:pPr>
            <w:r>
              <w:rPr>
                <w:rFonts w:ascii="Verdana" w:cs="Verdana" w:eastAsia="Verdana" w:hAnsi="Verdana"/>
                <w:sz w:val="17"/>
                <w:szCs w:val="17"/>
                <w:color w:val="auto"/>
              </w:rPr>
              <w:t>в</w:t>
            </w: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23:00–</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18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6"/>
              </w:rPr>
              <w:t>длительный</w:t>
            </w:r>
          </w:p>
        </w:tc>
        <w:tc>
          <w:tcPr>
            <w:tcW w:w="420" w:type="dxa"/>
            <w:vAlign w:val="bottom"/>
          </w:tcPr>
          <w:p>
            <w:pPr>
              <w:spacing w:after="0"/>
              <w:rPr>
                <w:sz w:val="14"/>
                <w:szCs w:val="14"/>
                <w:color w:val="auto"/>
              </w:rPr>
            </w:pPr>
          </w:p>
        </w:tc>
        <w:tc>
          <w:tcPr>
            <w:tcW w:w="7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1"/>
              </w:rPr>
              <w:t>прием</w:t>
            </w: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00:00,</w:t>
            </w:r>
          </w:p>
        </w:tc>
        <w:tc>
          <w:tcPr>
            <w:tcW w:w="200" w:type="dxa"/>
            <w:vAlign w:val="bottom"/>
          </w:tcPr>
          <w:p>
            <w:pPr>
              <w:spacing w:after="0"/>
              <w:rPr>
                <w:sz w:val="14"/>
                <w:szCs w:val="14"/>
                <w:color w:val="auto"/>
              </w:rPr>
            </w:pPr>
          </w:p>
        </w:tc>
        <w:tc>
          <w:tcPr>
            <w:tcW w:w="74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стероидов</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суточная</w:t>
            </w: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8"/>
              </w:rPr>
              <w:t>экскреция</w:t>
            </w: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свободного</w:t>
            </w: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18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9"/>
              </w:rPr>
              <w:t>кортизола с мочой</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940" w:type="dxa"/>
            <w:vAlign w:val="bottom"/>
            <w:gridSpan w:val="3"/>
          </w:tcPr>
          <w:p>
            <w:pPr>
              <w:jc w:val="right"/>
              <w:spacing w:after="0" w:line="165" w:lineRule="exact"/>
              <w:rPr>
                <w:sz w:val="20"/>
                <w:szCs w:val="20"/>
                <w:color w:val="auto"/>
              </w:rPr>
            </w:pPr>
            <w:r>
              <w:rPr>
                <w:rFonts w:ascii="Verdana" w:cs="Verdana" w:eastAsia="Verdana" w:hAnsi="Verdana"/>
                <w:sz w:val="17"/>
                <w:szCs w:val="17"/>
                <w:color w:val="auto"/>
                <w:w w:val="97"/>
              </w:rPr>
              <w:t>исключить</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spacing w:after="0"/>
              <w:rPr>
                <w:sz w:val="14"/>
                <w:szCs w:val="14"/>
                <w:color w:val="auto"/>
              </w:rPr>
            </w:pPr>
          </w:p>
        </w:tc>
        <w:tc>
          <w:tcPr>
            <w:tcW w:w="1040" w:type="dxa"/>
            <w:vAlign w:val="bottom"/>
            <w:tcBorders>
              <w:right w:val="single" w:sz="8" w:color="auto"/>
            </w:tcBorders>
          </w:tcPr>
          <w:p>
            <w:pPr>
              <w:spacing w:after="0"/>
              <w:rPr>
                <w:sz w:val="14"/>
                <w:szCs w:val="14"/>
                <w:color w:val="auto"/>
              </w:rPr>
            </w:pP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62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прием</w:t>
            </w:r>
          </w:p>
        </w:tc>
        <w:tc>
          <w:tcPr>
            <w:tcW w:w="20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62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12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4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1800" w:type="dxa"/>
            <w:vAlign w:val="bottom"/>
            <w:gridSpan w:val="4"/>
          </w:tcPr>
          <w:p>
            <w:pPr>
              <w:ind w:left="140"/>
              <w:spacing w:after="0"/>
              <w:rPr>
                <w:sz w:val="20"/>
                <w:szCs w:val="20"/>
                <w:color w:val="auto"/>
              </w:rPr>
            </w:pPr>
            <w:r>
              <w:rPr>
                <w:rFonts w:ascii="Verdana" w:cs="Verdana" w:eastAsia="Verdana" w:hAnsi="Verdana"/>
                <w:sz w:val="17"/>
                <w:szCs w:val="17"/>
                <w:color w:val="auto"/>
                <w:w w:val="95"/>
              </w:rPr>
              <w:t>глюкокортикоидов</w:t>
            </w:r>
            <w:r>
              <w:rPr>
                <w:rFonts w:ascii="Verdana" w:cs="Verdana" w:eastAsia="Verdana" w:hAnsi="Verdana"/>
                <w:sz w:val="17"/>
                <w:szCs w:val="17"/>
                <w:color w:val="auto"/>
                <w:w w:val="95"/>
              </w:rPr>
              <w:t>!</w:t>
            </w: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gridSpan w:val="2"/>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1940" w:type="dxa"/>
            <w:vAlign w:val="bottom"/>
            <w:tcBorders>
              <w:bottom w:val="single" w:sz="8" w:color="auto"/>
              <w:right w:val="single" w:sz="8" w:color="auto"/>
            </w:tcBorders>
          </w:tcPr>
          <w:p>
            <w:pPr>
              <w:spacing w:after="0"/>
              <w:rPr>
                <w:sz w:val="9"/>
                <w:szCs w:val="9"/>
                <w:color w:val="auto"/>
              </w:rPr>
            </w:pPr>
          </w:p>
        </w:tc>
        <w:tc>
          <w:tcPr>
            <w:tcW w:w="2300" w:type="dxa"/>
            <w:vAlign w:val="bottom"/>
            <w:tcBorders>
              <w:bottom w:val="single" w:sz="8" w:color="auto"/>
              <w:right w:val="single" w:sz="8" w:color="auto"/>
            </w:tcBorders>
            <w:gridSpan w:val="7"/>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200" w:type="dxa"/>
            <w:vAlign w:val="bottom"/>
            <w:tcBorders>
              <w:bottom w:val="single" w:sz="8" w:color="auto"/>
            </w:tcBorders>
          </w:tcPr>
          <w:p>
            <w:pPr>
              <w:spacing w:after="0"/>
              <w:rPr>
                <w:sz w:val="9"/>
                <w:szCs w:val="9"/>
                <w:color w:val="auto"/>
              </w:rPr>
            </w:pPr>
          </w:p>
        </w:tc>
        <w:tc>
          <w:tcPr>
            <w:tcW w:w="740" w:type="dxa"/>
            <w:vAlign w:val="bottom"/>
            <w:tcBorders>
              <w:bottom w:val="single" w:sz="8" w:color="auto"/>
            </w:tcBorders>
            <w:gridSpan w:val="2"/>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Заболевания</w:t>
            </w: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1–2%</w:t>
            </w:r>
          </w:p>
        </w:tc>
        <w:tc>
          <w:tcPr>
            <w:tcW w:w="2300" w:type="dxa"/>
            <w:vAlign w:val="bottom"/>
            <w:tcBorders>
              <w:right w:val="single" w:sz="8" w:color="auto"/>
            </w:tcBorders>
            <w:gridSpan w:val="7"/>
          </w:tcPr>
          <w:p>
            <w:pPr>
              <w:ind w:left="140"/>
              <w:spacing w:after="0"/>
              <w:rPr>
                <w:sz w:val="20"/>
                <w:szCs w:val="20"/>
                <w:color w:val="auto"/>
              </w:rPr>
            </w:pPr>
            <w:r>
              <w:rPr>
                <w:rFonts w:ascii="Verdana" w:cs="Verdana" w:eastAsia="Verdana" w:hAnsi="Verdana"/>
                <w:sz w:val="17"/>
                <w:szCs w:val="17"/>
                <w:color w:val="auto"/>
              </w:rPr>
              <w:t>Признаки и симптомы</w:t>
            </w:r>
          </w:p>
        </w:tc>
        <w:tc>
          <w:tcPr>
            <w:tcW w:w="860" w:type="dxa"/>
            <w:vAlign w:val="bottom"/>
          </w:tcPr>
          <w:p>
            <w:pPr>
              <w:ind w:left="140"/>
              <w:spacing w:after="0"/>
              <w:rPr>
                <w:sz w:val="20"/>
                <w:szCs w:val="20"/>
                <w:color w:val="auto"/>
              </w:rPr>
            </w:pPr>
            <w:r>
              <w:rPr>
                <w:rFonts w:ascii="Verdana" w:cs="Verdana" w:eastAsia="Verdana" w:hAnsi="Verdana"/>
                <w:sz w:val="17"/>
                <w:szCs w:val="17"/>
                <w:color w:val="auto"/>
              </w:rPr>
              <w:t>Оценка</w:t>
            </w:r>
          </w:p>
        </w:tc>
        <w:tc>
          <w:tcPr>
            <w:tcW w:w="200" w:type="dxa"/>
            <w:vAlign w:val="bottom"/>
          </w:tcPr>
          <w:p>
            <w:pPr>
              <w:spacing w:after="0"/>
              <w:rPr>
                <w:sz w:val="24"/>
                <w:szCs w:val="24"/>
                <w:color w:val="auto"/>
              </w:rPr>
            </w:pPr>
          </w:p>
        </w:tc>
        <w:tc>
          <w:tcPr>
            <w:tcW w:w="740" w:type="dxa"/>
            <w:vAlign w:val="bottom"/>
            <w:gridSpan w:val="2"/>
          </w:tcPr>
          <w:p>
            <w:pPr>
              <w:jc w:val="right"/>
              <w:spacing w:after="0"/>
              <w:rPr>
                <w:sz w:val="20"/>
                <w:szCs w:val="20"/>
                <w:color w:val="auto"/>
              </w:rPr>
            </w:pPr>
            <w:r>
              <w:rPr>
                <w:rFonts w:ascii="Verdana" w:cs="Verdana" w:eastAsia="Verdana" w:hAnsi="Verdana"/>
                <w:sz w:val="17"/>
                <w:szCs w:val="17"/>
                <w:color w:val="auto"/>
                <w:w w:val="92"/>
              </w:rPr>
              <w:t>функции</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w w:val="97"/>
              </w:rPr>
              <w:t>щитовидной</w:t>
            </w:r>
          </w:p>
        </w:tc>
        <w:tc>
          <w:tcPr>
            <w:tcW w:w="1040" w:type="dxa"/>
            <w:vAlign w:val="bottom"/>
            <w:tcBorders>
              <w:right w:val="single" w:sz="8" w:color="auto"/>
            </w:tcBorders>
          </w:tcPr>
          <w:p>
            <w:pPr>
              <w:jc w:val="right"/>
              <w:ind w:right="117"/>
              <w:spacing w:after="0" w:line="165" w:lineRule="exact"/>
              <w:rPr>
                <w:sz w:val="20"/>
                <w:szCs w:val="20"/>
                <w:color w:val="auto"/>
              </w:rPr>
            </w:pPr>
            <w:r>
              <w:rPr>
                <w:rFonts w:ascii="Verdana" w:cs="Verdana" w:eastAsia="Verdana" w:hAnsi="Verdana"/>
                <w:sz w:val="17"/>
                <w:szCs w:val="17"/>
                <w:color w:val="auto"/>
              </w:rPr>
              <w:t>железы</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гипер</w:t>
            </w:r>
            <w:r>
              <w:rPr>
                <w:rFonts w:ascii="Verdana" w:cs="Verdana" w:eastAsia="Verdana" w:hAnsi="Verdana"/>
                <w:sz w:val="17"/>
                <w:szCs w:val="17"/>
                <w:color w:val="auto"/>
              </w:rPr>
              <w:t>-</w:t>
            </w:r>
          </w:p>
        </w:tc>
        <w:tc>
          <w:tcPr>
            <w:tcW w:w="12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2"/>
              </w:rPr>
              <w:t>или</w:t>
            </w:r>
          </w:p>
        </w:tc>
        <w:tc>
          <w:tcPr>
            <w:tcW w:w="15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щитовидной</w:t>
            </w:r>
          </w:p>
        </w:tc>
        <w:tc>
          <w:tcPr>
            <w:tcW w:w="300" w:type="dxa"/>
            <w:vAlign w:val="bottom"/>
            <w:vMerge w:val="restart"/>
          </w:tcPr>
          <w:p>
            <w:pPr>
              <w:jc w:val="right"/>
              <w:spacing w:after="0" w:line="330" w:lineRule="exact"/>
              <w:rPr>
                <w:sz w:val="20"/>
                <w:szCs w:val="20"/>
                <w:color w:val="auto"/>
              </w:rPr>
            </w:pPr>
            <w:r>
              <w:rPr>
                <w:rFonts w:ascii="Verdana" w:cs="Verdana" w:eastAsia="Verdana" w:hAnsi="Verdana"/>
                <w:sz w:val="17"/>
                <w:szCs w:val="17"/>
                <w:color w:val="auto"/>
                <w:w w:val="90"/>
              </w:rPr>
              <w:t>Т</w:t>
            </w:r>
            <w:r>
              <w:rPr>
                <w:rFonts w:ascii="Verdana" w:cs="Verdana" w:eastAsia="Verdana" w:hAnsi="Verdana"/>
                <w:sz w:val="33"/>
                <w:szCs w:val="33"/>
                <w:color w:val="auto"/>
                <w:w w:val="90"/>
                <w:vertAlign w:val="subscript"/>
              </w:rPr>
              <w:t>4</w:t>
            </w:r>
            <w:r>
              <w:rPr>
                <w:rFonts w:ascii="Verdana" w:cs="Verdana" w:eastAsia="Verdana" w:hAnsi="Verdana"/>
                <w:sz w:val="17"/>
                <w:szCs w:val="17"/>
                <w:color w:val="auto"/>
                <w:w w:val="90"/>
              </w:rPr>
              <w:t>,</w:t>
            </w:r>
          </w:p>
        </w:tc>
        <w:tc>
          <w:tcPr>
            <w:tcW w:w="0" w:type="dxa"/>
            <w:vAlign w:val="bottom"/>
          </w:tcPr>
          <w:p>
            <w:pPr>
              <w:spacing w:after="0"/>
              <w:rPr>
                <w:sz w:val="1"/>
                <w:szCs w:val="1"/>
                <w:color w:val="auto"/>
              </w:rPr>
            </w:pPr>
          </w:p>
        </w:tc>
      </w:tr>
      <w:tr>
        <w:trPr>
          <w:trHeight w:val="165"/>
        </w:trPr>
        <w:tc>
          <w:tcPr>
            <w:tcW w:w="124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гипер</w:t>
            </w:r>
            <w:r>
              <w:rPr>
                <w:rFonts w:ascii="Verdana" w:cs="Verdana" w:eastAsia="Verdana" w:hAnsi="Verdana"/>
                <w:sz w:val="17"/>
                <w:szCs w:val="17"/>
                <w:color w:val="auto"/>
              </w:rPr>
              <w:t>-</w:t>
            </w:r>
          </w:p>
        </w:tc>
        <w:tc>
          <w:tcPr>
            <w:tcW w:w="104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или</w:t>
            </w:r>
          </w:p>
        </w:tc>
        <w:tc>
          <w:tcPr>
            <w:tcW w:w="120" w:type="dxa"/>
            <w:vAlign w:val="bottom"/>
          </w:tcPr>
          <w:p>
            <w:pPr>
              <w:spacing w:after="0"/>
              <w:rPr>
                <w:sz w:val="14"/>
                <w:szCs w:val="14"/>
                <w:color w:val="auto"/>
              </w:rPr>
            </w:pPr>
          </w:p>
        </w:tc>
        <w:tc>
          <w:tcPr>
            <w:tcW w:w="1940" w:type="dxa"/>
            <w:vAlign w:val="bottom"/>
            <w:tcBorders>
              <w:right w:val="single" w:sz="8" w:color="auto"/>
            </w:tcBorders>
          </w:tcPr>
          <w:p>
            <w:pPr>
              <w:spacing w:after="0"/>
              <w:rPr>
                <w:sz w:val="14"/>
                <w:szCs w:val="14"/>
                <w:color w:val="auto"/>
              </w:rPr>
            </w:pPr>
          </w:p>
        </w:tc>
        <w:tc>
          <w:tcPr>
            <w:tcW w:w="160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гипотиреоза</w:t>
            </w:r>
          </w:p>
        </w:tc>
        <w:tc>
          <w:tcPr>
            <w:tcW w:w="4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500" w:type="dxa"/>
            <w:vAlign w:val="bottom"/>
            <w:tcBorders>
              <w:right w:val="single" w:sz="8" w:color="auto"/>
            </w:tcBorders>
          </w:tcPr>
          <w:p>
            <w:pPr>
              <w:spacing w:after="0"/>
              <w:rPr>
                <w:sz w:val="14"/>
                <w:szCs w:val="14"/>
                <w:color w:val="auto"/>
              </w:rPr>
            </w:pPr>
          </w:p>
        </w:tc>
        <w:tc>
          <w:tcPr>
            <w:tcW w:w="860" w:type="dxa"/>
            <w:vAlign w:val="bottom"/>
          </w:tcPr>
          <w:p>
            <w:pPr>
              <w:ind w:left="140"/>
              <w:spacing w:after="0" w:line="165" w:lineRule="exact"/>
              <w:rPr>
                <w:sz w:val="20"/>
                <w:szCs w:val="20"/>
                <w:color w:val="auto"/>
              </w:rPr>
            </w:pPr>
            <w:r>
              <w:rPr>
                <w:rFonts w:ascii="Verdana" w:cs="Verdana" w:eastAsia="Verdana" w:hAnsi="Verdana"/>
                <w:sz w:val="17"/>
                <w:szCs w:val="17"/>
                <w:color w:val="auto"/>
              </w:rPr>
              <w:t>железы</w:t>
            </w:r>
          </w:p>
        </w:tc>
        <w:tc>
          <w:tcPr>
            <w:tcW w:w="640" w:type="dxa"/>
            <w:vAlign w:val="bottom"/>
            <w:gridSpan w:val="2"/>
          </w:tcPr>
          <w:p>
            <w:pPr>
              <w:jc w:val="right"/>
              <w:ind w:right="37"/>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ТТГ</w:t>
            </w:r>
            <w:r>
              <w:rPr>
                <w:rFonts w:ascii="Verdana" w:cs="Verdana" w:eastAsia="Verdana" w:hAnsi="Verdana"/>
                <w:sz w:val="17"/>
                <w:szCs w:val="17"/>
                <w:color w:val="auto"/>
              </w:rPr>
              <w:t>,</w:t>
            </w:r>
          </w:p>
        </w:tc>
        <w:tc>
          <w:tcPr>
            <w:tcW w:w="300" w:type="dxa"/>
            <w:vAlign w:val="bottom"/>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330"/>
        </w:trPr>
        <w:tc>
          <w:tcPr>
            <w:tcW w:w="1240" w:type="dxa"/>
            <w:vAlign w:val="bottom"/>
            <w:tcBorders>
              <w:left w:val="single" w:sz="8" w:color="auto"/>
              <w:bottom w:val="single" w:sz="8" w:color="auto"/>
            </w:tcBorders>
          </w:tcPr>
          <w:p>
            <w:pPr>
              <w:ind w:left="160"/>
              <w:spacing w:after="0"/>
              <w:rPr>
                <w:sz w:val="20"/>
                <w:szCs w:val="20"/>
                <w:color w:val="auto"/>
              </w:rPr>
            </w:pPr>
            <w:r>
              <w:rPr>
                <w:rFonts w:ascii="Verdana" w:cs="Verdana" w:eastAsia="Verdana" w:hAnsi="Verdana"/>
                <w:sz w:val="17"/>
                <w:szCs w:val="17"/>
                <w:color w:val="auto"/>
                <w:w w:val="98"/>
              </w:rPr>
              <w:t>гипотиреоз</w:t>
            </w:r>
            <w:r>
              <w:rPr>
                <w:rFonts w:ascii="Verdana" w:cs="Verdana" w:eastAsia="Verdana" w:hAnsi="Verdana"/>
                <w:sz w:val="17"/>
                <w:szCs w:val="17"/>
                <w:color w:val="auto"/>
                <w:w w:val="98"/>
              </w:rPr>
              <w:t>)</w:t>
            </w:r>
          </w:p>
        </w:tc>
        <w:tc>
          <w:tcPr>
            <w:tcW w:w="1040" w:type="dxa"/>
            <w:vAlign w:val="bottom"/>
            <w:tcBorders>
              <w:bottom w:val="single" w:sz="8" w:color="auto"/>
              <w:right w:val="single" w:sz="8" w:color="auto"/>
            </w:tcBorders>
          </w:tcPr>
          <w:p>
            <w:pPr>
              <w:spacing w:after="0"/>
              <w:rPr>
                <w:sz w:val="24"/>
                <w:szCs w:val="24"/>
                <w:color w:val="auto"/>
              </w:rPr>
            </w:pPr>
          </w:p>
        </w:tc>
        <w:tc>
          <w:tcPr>
            <w:tcW w:w="120" w:type="dxa"/>
            <w:vAlign w:val="bottom"/>
            <w:tcBorders>
              <w:bottom w:val="single" w:sz="8" w:color="auto"/>
            </w:tcBorders>
          </w:tcPr>
          <w:p>
            <w:pPr>
              <w:spacing w:after="0"/>
              <w:rPr>
                <w:sz w:val="24"/>
                <w:szCs w:val="24"/>
                <w:color w:val="auto"/>
              </w:rPr>
            </w:pPr>
          </w:p>
        </w:tc>
        <w:tc>
          <w:tcPr>
            <w:tcW w:w="1940" w:type="dxa"/>
            <w:vAlign w:val="bottom"/>
            <w:tcBorders>
              <w:bottom w:val="single" w:sz="8" w:color="auto"/>
              <w:right w:val="single" w:sz="8" w:color="auto"/>
            </w:tcBorders>
          </w:tcPr>
          <w:p>
            <w:pPr>
              <w:spacing w:after="0"/>
              <w:rPr>
                <w:sz w:val="24"/>
                <w:szCs w:val="24"/>
                <w:color w:val="auto"/>
              </w:rPr>
            </w:pPr>
          </w:p>
        </w:tc>
        <w:tc>
          <w:tcPr>
            <w:tcW w:w="620" w:type="dxa"/>
            <w:vAlign w:val="bottom"/>
            <w:tcBorders>
              <w:bottom w:val="single" w:sz="8" w:color="auto"/>
            </w:tcBorders>
          </w:tcPr>
          <w:p>
            <w:pPr>
              <w:spacing w:after="0"/>
              <w:rPr>
                <w:sz w:val="24"/>
                <w:szCs w:val="24"/>
                <w:color w:val="auto"/>
              </w:rPr>
            </w:pPr>
          </w:p>
        </w:tc>
        <w:tc>
          <w:tcPr>
            <w:tcW w:w="440" w:type="dxa"/>
            <w:vAlign w:val="bottom"/>
            <w:tcBorders>
              <w:bottom w:val="single" w:sz="8" w:color="auto"/>
            </w:tcBorders>
          </w:tcPr>
          <w:p>
            <w:pPr>
              <w:spacing w:after="0"/>
              <w:rPr>
                <w:sz w:val="24"/>
                <w:szCs w:val="24"/>
                <w:color w:val="auto"/>
              </w:rPr>
            </w:pPr>
          </w:p>
        </w:tc>
        <w:tc>
          <w:tcPr>
            <w:tcW w:w="120" w:type="dxa"/>
            <w:vAlign w:val="bottom"/>
            <w:tcBorders>
              <w:bottom w:val="single" w:sz="8" w:color="auto"/>
            </w:tcBorders>
          </w:tcPr>
          <w:p>
            <w:pPr>
              <w:spacing w:after="0"/>
              <w:rPr>
                <w:sz w:val="24"/>
                <w:szCs w:val="24"/>
                <w:color w:val="auto"/>
              </w:rPr>
            </w:pPr>
          </w:p>
        </w:tc>
        <w:tc>
          <w:tcPr>
            <w:tcW w:w="420" w:type="dxa"/>
            <w:vAlign w:val="bottom"/>
            <w:tcBorders>
              <w:bottom w:val="single" w:sz="8" w:color="auto"/>
            </w:tcBorders>
          </w:tcPr>
          <w:p>
            <w:pPr>
              <w:spacing w:after="0"/>
              <w:rPr>
                <w:sz w:val="24"/>
                <w:szCs w:val="24"/>
                <w:color w:val="auto"/>
              </w:rPr>
            </w:pPr>
          </w:p>
        </w:tc>
        <w:tc>
          <w:tcPr>
            <w:tcW w:w="40" w:type="dxa"/>
            <w:vAlign w:val="bottom"/>
            <w:tcBorders>
              <w:bottom w:val="single" w:sz="8" w:color="auto"/>
            </w:tcBorders>
          </w:tcPr>
          <w:p>
            <w:pPr>
              <w:spacing w:after="0"/>
              <w:rPr>
                <w:sz w:val="24"/>
                <w:szCs w:val="24"/>
                <w:color w:val="auto"/>
              </w:rPr>
            </w:pPr>
          </w:p>
        </w:tc>
        <w:tc>
          <w:tcPr>
            <w:tcW w:w="160" w:type="dxa"/>
            <w:vAlign w:val="bottom"/>
            <w:tcBorders>
              <w:bottom w:val="single" w:sz="8" w:color="auto"/>
            </w:tcBorders>
          </w:tcPr>
          <w:p>
            <w:pPr>
              <w:spacing w:after="0"/>
              <w:rPr>
                <w:sz w:val="24"/>
                <w:szCs w:val="24"/>
                <w:color w:val="auto"/>
              </w:rPr>
            </w:pPr>
          </w:p>
        </w:tc>
        <w:tc>
          <w:tcPr>
            <w:tcW w:w="500" w:type="dxa"/>
            <w:vAlign w:val="bottom"/>
            <w:tcBorders>
              <w:bottom w:val="single" w:sz="8" w:color="auto"/>
              <w:right w:val="single" w:sz="8" w:color="auto"/>
            </w:tcBorders>
          </w:tcPr>
          <w:p>
            <w:pPr>
              <w:spacing w:after="0"/>
              <w:rPr>
                <w:sz w:val="24"/>
                <w:szCs w:val="24"/>
                <w:color w:val="auto"/>
              </w:rPr>
            </w:pPr>
          </w:p>
        </w:tc>
        <w:tc>
          <w:tcPr>
            <w:tcW w:w="860" w:type="dxa"/>
            <w:vAlign w:val="bottom"/>
            <w:tcBorders>
              <w:bottom w:val="single" w:sz="8" w:color="auto"/>
            </w:tcBorders>
          </w:tcPr>
          <w:p>
            <w:pPr>
              <w:ind w:left="140"/>
              <w:spacing w:after="0" w:line="330" w:lineRule="exact"/>
              <w:rPr>
                <w:sz w:val="20"/>
                <w:szCs w:val="20"/>
                <w:color w:val="auto"/>
              </w:rPr>
            </w:pPr>
            <w:r>
              <w:rPr>
                <w:rFonts w:ascii="Verdana" w:cs="Verdana" w:eastAsia="Verdana" w:hAnsi="Verdana"/>
                <w:sz w:val="17"/>
                <w:szCs w:val="17"/>
                <w:color w:val="auto"/>
              </w:rPr>
              <w:t>Т</w:t>
            </w:r>
            <w:r>
              <w:rPr>
                <w:rFonts w:ascii="Verdana" w:cs="Verdana" w:eastAsia="Verdana" w:hAnsi="Verdana"/>
                <w:sz w:val="33"/>
                <w:szCs w:val="33"/>
                <w:color w:val="auto"/>
                <w:vertAlign w:val="subscript"/>
              </w:rPr>
              <w:t>3</w:t>
            </w:r>
            <w:r>
              <w:rPr>
                <w:rFonts w:ascii="Verdana" w:cs="Verdana" w:eastAsia="Verdana" w:hAnsi="Verdana"/>
                <w:sz w:val="17"/>
                <w:szCs w:val="17"/>
                <w:color w:val="auto"/>
              </w:rPr>
              <w:t>)</w:t>
            </w:r>
          </w:p>
        </w:tc>
        <w:tc>
          <w:tcPr>
            <w:tcW w:w="200" w:type="dxa"/>
            <w:vAlign w:val="bottom"/>
            <w:tcBorders>
              <w:bottom w:val="single" w:sz="8" w:color="auto"/>
            </w:tcBorders>
          </w:tcPr>
          <w:p>
            <w:pPr>
              <w:spacing w:after="0"/>
              <w:rPr>
                <w:sz w:val="24"/>
                <w:szCs w:val="24"/>
                <w:color w:val="auto"/>
              </w:rPr>
            </w:pPr>
          </w:p>
        </w:tc>
        <w:tc>
          <w:tcPr>
            <w:tcW w:w="440" w:type="dxa"/>
            <w:vAlign w:val="bottom"/>
            <w:tcBorders>
              <w:bottom w:val="single" w:sz="8" w:color="auto"/>
            </w:tcBorders>
          </w:tcPr>
          <w:p>
            <w:pPr>
              <w:spacing w:after="0"/>
              <w:rPr>
                <w:sz w:val="24"/>
                <w:szCs w:val="24"/>
                <w:color w:val="auto"/>
              </w:rPr>
            </w:pPr>
          </w:p>
        </w:tc>
        <w:tc>
          <w:tcPr>
            <w:tcW w:w="300" w:type="dxa"/>
            <w:vAlign w:val="bottom"/>
            <w:tcBorders>
              <w:bottom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Гиперапаратиреоз</w:t>
            </w:r>
          </w:p>
        </w:tc>
        <w:tc>
          <w:tcPr>
            <w:tcW w:w="120" w:type="dxa"/>
            <w:vAlign w:val="bottom"/>
          </w:tcPr>
          <w:p>
            <w:pPr>
              <w:spacing w:after="0"/>
              <w:rPr>
                <w:sz w:val="24"/>
                <w:szCs w:val="24"/>
                <w:color w:val="auto"/>
              </w:rPr>
            </w:pPr>
          </w:p>
        </w:tc>
        <w:tc>
          <w:tcPr>
            <w:tcW w:w="194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&lt;1%</w:t>
            </w:r>
          </w:p>
        </w:tc>
        <w:tc>
          <w:tcPr>
            <w:tcW w:w="1800" w:type="dxa"/>
            <w:vAlign w:val="bottom"/>
            <w:gridSpan w:val="6"/>
          </w:tcPr>
          <w:p>
            <w:pPr>
              <w:ind w:left="140"/>
              <w:spacing w:after="0"/>
              <w:rPr>
                <w:sz w:val="20"/>
                <w:szCs w:val="20"/>
                <w:color w:val="auto"/>
              </w:rPr>
            </w:pPr>
            <w:r>
              <w:rPr>
                <w:rFonts w:ascii="Verdana" w:cs="Verdana" w:eastAsia="Verdana" w:hAnsi="Verdana"/>
                <w:sz w:val="17"/>
                <w:szCs w:val="17"/>
                <w:color w:val="auto"/>
              </w:rPr>
              <w:t>Гиперкальциемия</w:t>
            </w:r>
            <w:r>
              <w:rPr>
                <w:rFonts w:ascii="Verdana" w:cs="Verdana" w:eastAsia="Verdana" w:hAnsi="Verdana"/>
                <w:sz w:val="17"/>
                <w:szCs w:val="17"/>
                <w:color w:val="auto"/>
              </w:rPr>
              <w:t>,</w:t>
            </w:r>
          </w:p>
        </w:tc>
        <w:tc>
          <w:tcPr>
            <w:tcW w:w="500" w:type="dxa"/>
            <w:vAlign w:val="bottom"/>
            <w:tcBorders>
              <w:right w:val="single" w:sz="8" w:color="auto"/>
            </w:tcBorders>
          </w:tcPr>
          <w:p>
            <w:pPr>
              <w:spacing w:after="0"/>
              <w:rPr>
                <w:sz w:val="24"/>
                <w:szCs w:val="24"/>
                <w:color w:val="auto"/>
              </w:rPr>
            </w:pPr>
          </w:p>
        </w:tc>
        <w:tc>
          <w:tcPr>
            <w:tcW w:w="1500" w:type="dxa"/>
            <w:vAlign w:val="bottom"/>
            <w:gridSpan w:val="3"/>
          </w:tcPr>
          <w:p>
            <w:pPr>
              <w:ind w:left="140"/>
              <w:spacing w:after="0"/>
              <w:rPr>
                <w:sz w:val="20"/>
                <w:szCs w:val="20"/>
                <w:color w:val="auto"/>
              </w:rPr>
            </w:pPr>
            <w:r>
              <w:rPr>
                <w:rFonts w:ascii="Verdana" w:cs="Verdana" w:eastAsia="Verdana" w:hAnsi="Verdana"/>
                <w:sz w:val="17"/>
                <w:szCs w:val="17"/>
                <w:color w:val="auto"/>
              </w:rPr>
              <w:t>Паратгормон</w:t>
            </w:r>
            <w:r>
              <w:rPr>
                <w:rFonts w:ascii="Verdana" w:cs="Verdana" w:eastAsia="Verdana" w:hAnsi="Verdana"/>
                <w:sz w:val="17"/>
                <w:szCs w:val="17"/>
                <w:color w:val="auto"/>
              </w:rPr>
              <w:t>,</w:t>
            </w:r>
          </w:p>
        </w:tc>
        <w:tc>
          <w:tcPr>
            <w:tcW w:w="30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220"/>
        </w:trPr>
        <w:tc>
          <w:tcPr>
            <w:tcW w:w="1240" w:type="dxa"/>
            <w:vAlign w:val="bottom"/>
            <w:tcBorders>
              <w:left w:val="single" w:sz="8" w:color="auto"/>
            </w:tcBorders>
          </w:tcPr>
          <w:p>
            <w:pPr>
              <w:spacing w:after="0"/>
              <w:rPr>
                <w:sz w:val="19"/>
                <w:szCs w:val="19"/>
                <w:color w:val="auto"/>
              </w:rPr>
            </w:pPr>
          </w:p>
        </w:tc>
        <w:tc>
          <w:tcPr>
            <w:tcW w:w="1040" w:type="dxa"/>
            <w:vAlign w:val="bottom"/>
            <w:tcBorders>
              <w:right w:val="single" w:sz="8" w:color="auto"/>
            </w:tcBorders>
          </w:tcPr>
          <w:p>
            <w:pPr>
              <w:spacing w:after="0"/>
              <w:rPr>
                <w:sz w:val="19"/>
                <w:szCs w:val="19"/>
                <w:color w:val="auto"/>
              </w:rPr>
            </w:pPr>
          </w:p>
        </w:tc>
        <w:tc>
          <w:tcPr>
            <w:tcW w:w="120" w:type="dxa"/>
            <w:vAlign w:val="bottom"/>
          </w:tcPr>
          <w:p>
            <w:pPr>
              <w:spacing w:after="0"/>
              <w:rPr>
                <w:sz w:val="19"/>
                <w:szCs w:val="19"/>
                <w:color w:val="auto"/>
              </w:rPr>
            </w:pPr>
          </w:p>
        </w:tc>
        <w:tc>
          <w:tcPr>
            <w:tcW w:w="1940" w:type="dxa"/>
            <w:vAlign w:val="bottom"/>
            <w:tcBorders>
              <w:right w:val="single" w:sz="8" w:color="auto"/>
            </w:tcBorders>
          </w:tcPr>
          <w:p>
            <w:pPr>
              <w:spacing w:after="0"/>
              <w:rPr>
                <w:sz w:val="19"/>
                <w:szCs w:val="19"/>
                <w:color w:val="auto"/>
              </w:rPr>
            </w:pPr>
          </w:p>
        </w:tc>
        <w:tc>
          <w:tcPr>
            <w:tcW w:w="1640" w:type="dxa"/>
            <w:vAlign w:val="bottom"/>
            <w:gridSpan w:val="5"/>
          </w:tcPr>
          <w:p>
            <w:pPr>
              <w:ind w:left="140"/>
              <w:spacing w:after="0"/>
              <w:rPr>
                <w:sz w:val="20"/>
                <w:szCs w:val="20"/>
                <w:color w:val="auto"/>
              </w:rPr>
            </w:pPr>
            <w:r>
              <w:rPr>
                <w:rFonts w:ascii="Verdana" w:cs="Verdana" w:eastAsia="Verdana" w:hAnsi="Verdana"/>
                <w:sz w:val="17"/>
                <w:szCs w:val="17"/>
                <w:color w:val="auto"/>
                <w:w w:val="98"/>
              </w:rPr>
              <w:t>гипофосфатемия</w:t>
            </w:r>
          </w:p>
        </w:tc>
        <w:tc>
          <w:tcPr>
            <w:tcW w:w="1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c>
          <w:tcPr>
            <w:tcW w:w="1800" w:type="dxa"/>
            <w:vAlign w:val="bottom"/>
            <w:gridSpan w:val="4"/>
          </w:tcPr>
          <w:p>
            <w:pPr>
              <w:ind w:left="140"/>
              <w:spacing w:after="0"/>
              <w:rPr>
                <w:sz w:val="20"/>
                <w:szCs w:val="20"/>
                <w:color w:val="auto"/>
              </w:rPr>
            </w:pPr>
            <w:r>
              <w:rPr>
                <w:rFonts w:ascii="Verdana" w:cs="Verdana" w:eastAsia="Verdana" w:hAnsi="Verdana"/>
                <w:sz w:val="17"/>
                <w:szCs w:val="17"/>
                <w:color w:val="auto"/>
              </w:rPr>
              <w:t>уровень кальция</w:t>
            </w:r>
          </w:p>
        </w:tc>
        <w:tc>
          <w:tcPr>
            <w:tcW w:w="0" w:type="dxa"/>
            <w:vAlign w:val="bottom"/>
          </w:tcPr>
          <w:p>
            <w:pPr>
              <w:spacing w:after="0"/>
              <w:rPr>
                <w:sz w:val="1"/>
                <w:szCs w:val="1"/>
                <w:color w:val="auto"/>
              </w:rPr>
            </w:pPr>
          </w:p>
        </w:tc>
      </w:tr>
      <w:tr>
        <w:trPr>
          <w:trHeight w:val="110"/>
        </w:trPr>
        <w:tc>
          <w:tcPr>
            <w:tcW w:w="1240" w:type="dxa"/>
            <w:vAlign w:val="bottom"/>
            <w:tcBorders>
              <w:left w:val="single" w:sz="8" w:color="auto"/>
              <w:bottom w:val="single" w:sz="8" w:color="auto"/>
            </w:tcBorders>
          </w:tcPr>
          <w:p>
            <w:pPr>
              <w:spacing w:after="0"/>
              <w:rPr>
                <w:sz w:val="9"/>
                <w:szCs w:val="9"/>
                <w:color w:val="auto"/>
              </w:rPr>
            </w:pPr>
          </w:p>
        </w:tc>
        <w:tc>
          <w:tcPr>
            <w:tcW w:w="1040" w:type="dxa"/>
            <w:vAlign w:val="bottom"/>
            <w:tcBorders>
              <w:bottom w:val="single" w:sz="8" w:color="auto"/>
              <w:right w:val="single" w:sz="8" w:color="auto"/>
            </w:tcBorders>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1940" w:type="dxa"/>
            <w:vAlign w:val="bottom"/>
            <w:tcBorders>
              <w:bottom w:val="single" w:sz="8" w:color="auto"/>
              <w:right w:val="single" w:sz="8" w:color="auto"/>
            </w:tcBorders>
          </w:tcPr>
          <w:p>
            <w:pPr>
              <w:spacing w:after="0"/>
              <w:rPr>
                <w:sz w:val="9"/>
                <w:szCs w:val="9"/>
                <w:color w:val="auto"/>
              </w:rPr>
            </w:pPr>
          </w:p>
        </w:tc>
        <w:tc>
          <w:tcPr>
            <w:tcW w:w="62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40" w:type="dxa"/>
            <w:vAlign w:val="bottom"/>
            <w:tcBorders>
              <w:bottom w:val="single" w:sz="8" w:color="auto"/>
            </w:tcBorders>
          </w:tcPr>
          <w:p>
            <w:pPr>
              <w:spacing w:after="0"/>
              <w:rPr>
                <w:sz w:val="9"/>
                <w:szCs w:val="9"/>
                <w:color w:val="auto"/>
              </w:rPr>
            </w:pPr>
          </w:p>
        </w:tc>
        <w:tc>
          <w:tcPr>
            <w:tcW w:w="1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20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 w:lineRule="exact"/>
        <w:rPr>
          <w:sz w:val="20"/>
          <w:szCs w:val="20"/>
          <w:color w:val="auto"/>
        </w:rPr>
      </w:pPr>
    </w:p>
    <w:p>
      <w:pPr>
        <w:sectPr>
          <w:pgSz w:w="11900" w:h="16840" w:orient="portrait"/>
          <w:cols w:equalWidth="0" w:num="1">
            <w:col w:w="9020"/>
          </w:cols>
          <w:pgMar w:left="1440" w:top="0" w:right="1440" w:bottom="69" w:gutter="0" w:footer="0" w:header="0"/>
        </w:sectPr>
      </w:pPr>
    </w:p>
    <w:bookmarkStart w:id="136" w:name="page137"/>
    <w:bookmarkEnd w:id="136"/>
    <w:tbl>
      <w:tblPr>
        <w:tblLayout w:type="fixed"/>
        <w:tblInd w:w="370" w:type="dxa"/>
        <w:tblCellMar>
          <w:top w:w="0" w:type="dxa"/>
          <w:left w:w="0" w:type="dxa"/>
          <w:bottom w:w="0" w:type="dxa"/>
          <w:right w:w="0" w:type="dxa"/>
        </w:tblCellMar>
      </w:tblPr>
      <w:tr>
        <w:trPr>
          <w:trHeight w:val="295"/>
        </w:trPr>
        <w:tc>
          <w:tcPr>
            <w:tcW w:w="228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Акромегалия</w:t>
            </w:r>
          </w:p>
        </w:tc>
        <w:tc>
          <w:tcPr>
            <w:tcW w:w="2060" w:type="dxa"/>
            <w:vAlign w:val="bottom"/>
            <w:tcBorders>
              <w:top w:val="single" w:sz="8" w:color="auto"/>
              <w:right w:val="single" w:sz="8" w:color="auto"/>
            </w:tcBorders>
          </w:tcPr>
          <w:p>
            <w:pPr>
              <w:spacing w:after="0"/>
              <w:rPr>
                <w:sz w:val="24"/>
                <w:szCs w:val="24"/>
                <w:color w:val="auto"/>
              </w:rPr>
            </w:pPr>
          </w:p>
        </w:tc>
        <w:tc>
          <w:tcPr>
            <w:tcW w:w="1300" w:type="dxa"/>
            <w:vAlign w:val="bottom"/>
            <w:tcBorders>
              <w:top w:val="single" w:sz="8" w:color="auto"/>
            </w:tcBorders>
            <w:gridSpan w:val="3"/>
          </w:tcPr>
          <w:p>
            <w:pPr>
              <w:ind w:left="140"/>
              <w:spacing w:after="0"/>
              <w:rPr>
                <w:sz w:val="20"/>
                <w:szCs w:val="20"/>
                <w:color w:val="auto"/>
              </w:rPr>
            </w:pPr>
            <w:r>
              <w:rPr>
                <w:rFonts w:ascii="Verdana" w:cs="Verdana" w:eastAsia="Verdana" w:hAnsi="Verdana"/>
                <w:sz w:val="17"/>
                <w:szCs w:val="17"/>
                <w:color w:val="auto"/>
              </w:rPr>
              <w:t>Увеличение</w:t>
            </w:r>
          </w:p>
        </w:tc>
        <w:tc>
          <w:tcPr>
            <w:tcW w:w="1000" w:type="dxa"/>
            <w:vAlign w:val="bottom"/>
            <w:tcBorders>
              <w:top w:val="single" w:sz="8" w:color="auto"/>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частей</w:t>
            </w:r>
          </w:p>
        </w:tc>
        <w:tc>
          <w:tcPr>
            <w:tcW w:w="180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w w:val="94"/>
              </w:rPr>
              <w:t>Инсулиноподобный</w:t>
            </w: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3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акральных</w:t>
            </w:r>
          </w:p>
        </w:tc>
        <w:tc>
          <w:tcPr>
            <w:tcW w:w="1000" w:type="dxa"/>
            <w:vAlign w:val="bottom"/>
            <w:tcBorders>
              <w:right w:val="single" w:sz="8" w:color="auto"/>
            </w:tcBorders>
            <w:vMerge w:val="continue"/>
          </w:tcPr>
          <w:p>
            <w:pPr>
              <w:spacing w:after="0"/>
              <w:rPr>
                <w:sz w:val="14"/>
                <w:szCs w:val="14"/>
                <w:color w:val="auto"/>
              </w:rPr>
            </w:pPr>
          </w:p>
        </w:tc>
        <w:tc>
          <w:tcPr>
            <w:tcW w:w="1060" w:type="dxa"/>
            <w:vAlign w:val="bottom"/>
          </w:tcPr>
          <w:p>
            <w:pPr>
              <w:ind w:left="140"/>
              <w:spacing w:after="0" w:line="165" w:lineRule="exact"/>
              <w:rPr>
                <w:sz w:val="20"/>
                <w:szCs w:val="20"/>
                <w:color w:val="auto"/>
              </w:rPr>
            </w:pPr>
            <w:r>
              <w:rPr>
                <w:rFonts w:ascii="Verdana" w:cs="Verdana" w:eastAsia="Verdana" w:hAnsi="Verdana"/>
                <w:sz w:val="17"/>
                <w:szCs w:val="17"/>
                <w:color w:val="auto"/>
              </w:rPr>
              <w:t>фактор</w:t>
            </w:r>
          </w:p>
        </w:tc>
        <w:tc>
          <w:tcPr>
            <w:tcW w:w="740" w:type="dxa"/>
            <w:vAlign w:val="bottom"/>
          </w:tcPr>
          <w:p>
            <w:pPr>
              <w:ind w:left="280"/>
              <w:spacing w:after="0" w:line="165" w:lineRule="exact"/>
              <w:rPr>
                <w:sz w:val="20"/>
                <w:szCs w:val="20"/>
                <w:color w:val="auto"/>
              </w:rPr>
            </w:pPr>
            <w:r>
              <w:rPr>
                <w:rFonts w:ascii="Verdana" w:cs="Verdana" w:eastAsia="Verdana" w:hAnsi="Verdana"/>
                <w:sz w:val="17"/>
                <w:szCs w:val="17"/>
                <w:color w:val="auto"/>
                <w:w w:val="90"/>
              </w:rPr>
              <w:t>роста</w:t>
            </w: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720" w:type="dxa"/>
            <w:vAlign w:val="bottom"/>
          </w:tcPr>
          <w:p>
            <w:pPr>
              <w:ind w:left="140"/>
              <w:spacing w:after="0" w:line="165" w:lineRule="exact"/>
              <w:rPr>
                <w:sz w:val="20"/>
                <w:szCs w:val="20"/>
                <w:color w:val="auto"/>
              </w:rPr>
            </w:pPr>
            <w:r>
              <w:rPr>
                <w:rFonts w:ascii="Verdana" w:cs="Verdana" w:eastAsia="Verdana" w:hAnsi="Verdana"/>
                <w:sz w:val="17"/>
                <w:szCs w:val="17"/>
                <w:color w:val="auto"/>
              </w:rPr>
              <w:t>тела</w:t>
            </w:r>
            <w:r>
              <w:rPr>
                <w:rFonts w:ascii="Verdana" w:cs="Verdana" w:eastAsia="Verdana" w:hAnsi="Verdana"/>
                <w:sz w:val="17"/>
                <w:szCs w:val="17"/>
                <w:color w:val="auto"/>
              </w:rPr>
              <w:t>,</w:t>
            </w:r>
          </w:p>
        </w:tc>
        <w:tc>
          <w:tcPr>
            <w:tcW w:w="158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укрупнение  и</w:t>
            </w:r>
          </w:p>
        </w:tc>
        <w:tc>
          <w:tcPr>
            <w:tcW w:w="18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6"/>
              </w:rPr>
              <w:t>(</w:t>
            </w:r>
            <w:r>
              <w:rPr>
                <w:rFonts w:ascii="Verdana" w:cs="Verdana" w:eastAsia="Verdana" w:hAnsi="Verdana"/>
                <w:sz w:val="17"/>
                <w:szCs w:val="17"/>
                <w:color w:val="auto"/>
                <w:w w:val="96"/>
              </w:rPr>
              <w:t>ИФР</w:t>
            </w:r>
            <w:r>
              <w:rPr>
                <w:rFonts w:ascii="Verdana" w:cs="Verdana" w:eastAsia="Verdana" w:hAnsi="Verdana"/>
                <w:sz w:val="17"/>
                <w:szCs w:val="17"/>
                <w:color w:val="auto"/>
                <w:w w:val="96"/>
              </w:rPr>
              <w:t xml:space="preserve">-1) </w:t>
            </w:r>
            <w:r>
              <w:rPr>
                <w:rFonts w:ascii="Verdana" w:cs="Verdana" w:eastAsia="Verdana" w:hAnsi="Verdana"/>
                <w:sz w:val="17"/>
                <w:szCs w:val="17"/>
                <w:color w:val="auto"/>
                <w:w w:val="96"/>
              </w:rPr>
              <w:t>сыворотки</w:t>
            </w: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огрубление черт лица</w:t>
            </w:r>
            <w:r>
              <w:rPr>
                <w:rFonts w:ascii="Verdana" w:cs="Verdana" w:eastAsia="Verdana" w:hAnsi="Verdana"/>
                <w:sz w:val="17"/>
                <w:szCs w:val="17"/>
                <w:color w:val="auto"/>
              </w:rPr>
              <w:t>,</w:t>
            </w:r>
          </w:p>
        </w:tc>
        <w:tc>
          <w:tcPr>
            <w:tcW w:w="1060" w:type="dxa"/>
            <w:vAlign w:val="bottom"/>
          </w:tcPr>
          <w:p>
            <w:pPr>
              <w:ind w:left="140"/>
              <w:spacing w:after="0" w:line="165" w:lineRule="exact"/>
              <w:rPr>
                <w:sz w:val="20"/>
                <w:szCs w:val="20"/>
                <w:color w:val="auto"/>
              </w:rPr>
            </w:pPr>
            <w:r>
              <w:rPr>
                <w:rFonts w:ascii="Verdana" w:cs="Verdana" w:eastAsia="Verdana" w:hAnsi="Verdana"/>
                <w:sz w:val="17"/>
                <w:szCs w:val="17"/>
                <w:color w:val="auto"/>
              </w:rPr>
              <w:t>крови</w:t>
            </w: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80" w:type="dxa"/>
            <w:vAlign w:val="bottom"/>
            <w:tcBorders>
              <w:left w:val="single" w:sz="8" w:color="auto"/>
              <w:right w:val="single" w:sz="8" w:color="auto"/>
            </w:tcBorders>
          </w:tcPr>
          <w:p>
            <w:pPr>
              <w:spacing w:after="0"/>
              <w:rPr>
                <w:sz w:val="19"/>
                <w:szCs w:val="19"/>
                <w:color w:val="auto"/>
              </w:rPr>
            </w:pPr>
          </w:p>
        </w:tc>
        <w:tc>
          <w:tcPr>
            <w:tcW w:w="2060" w:type="dxa"/>
            <w:vAlign w:val="bottom"/>
            <w:tcBorders>
              <w:right w:val="single" w:sz="8" w:color="auto"/>
            </w:tcBorders>
          </w:tcPr>
          <w:p>
            <w:pPr>
              <w:spacing w:after="0"/>
              <w:rPr>
                <w:sz w:val="19"/>
                <w:szCs w:val="19"/>
                <w:color w:val="auto"/>
              </w:rPr>
            </w:pPr>
          </w:p>
        </w:tc>
        <w:tc>
          <w:tcPr>
            <w:tcW w:w="1300" w:type="dxa"/>
            <w:vAlign w:val="bottom"/>
            <w:gridSpan w:val="3"/>
          </w:tcPr>
          <w:p>
            <w:pPr>
              <w:ind w:left="140"/>
              <w:spacing w:after="0"/>
              <w:rPr>
                <w:sz w:val="20"/>
                <w:szCs w:val="20"/>
                <w:color w:val="auto"/>
              </w:rPr>
            </w:pPr>
            <w:r>
              <w:rPr>
                <w:rFonts w:ascii="Verdana" w:cs="Verdana" w:eastAsia="Verdana" w:hAnsi="Verdana"/>
                <w:sz w:val="17"/>
                <w:szCs w:val="17"/>
                <w:color w:val="auto"/>
              </w:rPr>
              <w:t>потливость</w:t>
            </w:r>
          </w:p>
        </w:tc>
        <w:tc>
          <w:tcPr>
            <w:tcW w:w="1000" w:type="dxa"/>
            <w:vAlign w:val="bottom"/>
            <w:tcBorders>
              <w:right w:val="single" w:sz="8" w:color="auto"/>
            </w:tcBorders>
          </w:tcPr>
          <w:p>
            <w:pPr>
              <w:spacing w:after="0"/>
              <w:rPr>
                <w:sz w:val="19"/>
                <w:szCs w:val="19"/>
                <w:color w:val="auto"/>
              </w:rPr>
            </w:pPr>
          </w:p>
        </w:tc>
        <w:tc>
          <w:tcPr>
            <w:tcW w:w="1060" w:type="dxa"/>
            <w:vAlign w:val="bottom"/>
          </w:tcPr>
          <w:p>
            <w:pPr>
              <w:spacing w:after="0"/>
              <w:rPr>
                <w:sz w:val="19"/>
                <w:szCs w:val="19"/>
                <w:color w:val="auto"/>
              </w:rPr>
            </w:pPr>
          </w:p>
        </w:tc>
        <w:tc>
          <w:tcPr>
            <w:tcW w:w="74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tcPr>
          <w:p>
            <w:pPr>
              <w:spacing w:after="0"/>
              <w:rPr>
                <w:sz w:val="9"/>
                <w:szCs w:val="9"/>
                <w:color w:val="auto"/>
              </w:rPr>
            </w:pPr>
          </w:p>
        </w:tc>
        <w:tc>
          <w:tcPr>
            <w:tcW w:w="2060" w:type="dxa"/>
            <w:vAlign w:val="bottom"/>
            <w:tcBorders>
              <w:bottom w:val="single" w:sz="8" w:color="auto"/>
              <w:right w:val="single" w:sz="8" w:color="auto"/>
            </w:tcBorders>
          </w:tcPr>
          <w:p>
            <w:pPr>
              <w:spacing w:after="0"/>
              <w:rPr>
                <w:sz w:val="9"/>
                <w:szCs w:val="9"/>
                <w:color w:val="auto"/>
              </w:rPr>
            </w:pPr>
          </w:p>
        </w:tc>
        <w:tc>
          <w:tcPr>
            <w:tcW w:w="720" w:type="dxa"/>
            <w:vAlign w:val="bottom"/>
            <w:tcBorders>
              <w:bottom w:val="single" w:sz="8" w:color="auto"/>
            </w:tcBorders>
          </w:tcPr>
          <w:p>
            <w:pPr>
              <w:spacing w:after="0"/>
              <w:rPr>
                <w:sz w:val="9"/>
                <w:szCs w:val="9"/>
                <w:color w:val="auto"/>
              </w:rPr>
            </w:pPr>
          </w:p>
        </w:tc>
        <w:tc>
          <w:tcPr>
            <w:tcW w:w="28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10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74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343"/>
        </w:trPr>
        <w:tc>
          <w:tcPr>
            <w:tcW w:w="228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Другие причины</w:t>
            </w:r>
          </w:p>
        </w:tc>
        <w:tc>
          <w:tcPr>
            <w:tcW w:w="2060" w:type="dxa"/>
            <w:vAlign w:val="bottom"/>
          </w:tcPr>
          <w:p>
            <w:pPr>
              <w:spacing w:after="0"/>
              <w:rPr>
                <w:sz w:val="24"/>
                <w:szCs w:val="24"/>
                <w:color w:val="auto"/>
              </w:rPr>
            </w:pPr>
          </w:p>
        </w:tc>
        <w:tc>
          <w:tcPr>
            <w:tcW w:w="720" w:type="dxa"/>
            <w:vAlign w:val="bottom"/>
          </w:tcPr>
          <w:p>
            <w:pPr>
              <w:spacing w:after="0"/>
              <w:rPr>
                <w:sz w:val="24"/>
                <w:szCs w:val="24"/>
                <w:color w:val="auto"/>
              </w:rPr>
            </w:pPr>
          </w:p>
        </w:tc>
        <w:tc>
          <w:tcPr>
            <w:tcW w:w="280" w:type="dxa"/>
            <w:vAlign w:val="bottom"/>
          </w:tcPr>
          <w:p>
            <w:pPr>
              <w:spacing w:after="0"/>
              <w:rPr>
                <w:sz w:val="24"/>
                <w:szCs w:val="24"/>
                <w:color w:val="auto"/>
              </w:rPr>
            </w:pPr>
          </w:p>
        </w:tc>
        <w:tc>
          <w:tcPr>
            <w:tcW w:w="30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1060" w:type="dxa"/>
            <w:vAlign w:val="bottom"/>
          </w:tcPr>
          <w:p>
            <w:pPr>
              <w:spacing w:after="0"/>
              <w:rPr>
                <w:sz w:val="24"/>
                <w:szCs w:val="24"/>
                <w:color w:val="auto"/>
              </w:rPr>
            </w:pPr>
          </w:p>
        </w:tc>
        <w:tc>
          <w:tcPr>
            <w:tcW w:w="74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2280" w:type="dxa"/>
            <w:vAlign w:val="bottom"/>
            <w:tcBorders>
              <w:left w:val="single" w:sz="8" w:color="auto"/>
              <w:bottom w:val="single" w:sz="8" w:color="auto"/>
            </w:tcBorders>
          </w:tcPr>
          <w:p>
            <w:pPr>
              <w:spacing w:after="0"/>
              <w:rPr>
                <w:sz w:val="10"/>
                <w:szCs w:val="10"/>
                <w:color w:val="auto"/>
              </w:rPr>
            </w:pPr>
          </w:p>
        </w:tc>
        <w:tc>
          <w:tcPr>
            <w:tcW w:w="2060" w:type="dxa"/>
            <w:vAlign w:val="bottom"/>
            <w:tcBorders>
              <w:bottom w:val="single" w:sz="8" w:color="auto"/>
            </w:tcBorders>
          </w:tcPr>
          <w:p>
            <w:pPr>
              <w:spacing w:after="0"/>
              <w:rPr>
                <w:sz w:val="10"/>
                <w:szCs w:val="10"/>
                <w:color w:val="auto"/>
              </w:rPr>
            </w:pPr>
          </w:p>
        </w:tc>
        <w:tc>
          <w:tcPr>
            <w:tcW w:w="2300" w:type="dxa"/>
            <w:vAlign w:val="bottom"/>
            <w:tcBorders>
              <w:bottom w:val="single" w:sz="8" w:color="auto"/>
            </w:tcBorders>
            <w:gridSpan w:val="4"/>
          </w:tcPr>
          <w:p>
            <w:pPr>
              <w:spacing w:after="0"/>
              <w:rPr>
                <w:sz w:val="10"/>
                <w:szCs w:val="10"/>
                <w:color w:val="auto"/>
              </w:rPr>
            </w:pPr>
          </w:p>
        </w:tc>
        <w:tc>
          <w:tcPr>
            <w:tcW w:w="1800" w:type="dxa"/>
            <w:vAlign w:val="bottom"/>
            <w:tcBorders>
              <w:bottom w:val="single" w:sz="8" w:color="auto"/>
            </w:tcBorders>
            <w:gridSpan w:val="2"/>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228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Коарктация аорты</w:t>
            </w:r>
          </w:p>
        </w:tc>
        <w:tc>
          <w:tcPr>
            <w:tcW w:w="2060" w:type="dxa"/>
            <w:vAlign w:val="bottom"/>
            <w:tcBorders>
              <w:right w:val="single" w:sz="8" w:color="auto"/>
            </w:tcBorders>
          </w:tcPr>
          <w:p>
            <w:pPr>
              <w:jc w:val="right"/>
              <w:ind w:right="1417"/>
              <w:spacing w:after="0"/>
              <w:rPr>
                <w:sz w:val="20"/>
                <w:szCs w:val="20"/>
                <w:color w:val="auto"/>
              </w:rPr>
            </w:pPr>
            <w:r>
              <w:rPr>
                <w:rFonts w:ascii="Verdana" w:cs="Verdana" w:eastAsia="Verdana" w:hAnsi="Verdana"/>
                <w:sz w:val="17"/>
                <w:szCs w:val="17"/>
                <w:color w:val="auto"/>
              </w:rPr>
              <w:t>&lt;1%</w:t>
            </w:r>
          </w:p>
        </w:tc>
        <w:tc>
          <w:tcPr>
            <w:tcW w:w="2300" w:type="dxa"/>
            <w:vAlign w:val="bottom"/>
            <w:tcBorders>
              <w:right w:val="single" w:sz="8" w:color="auto"/>
            </w:tcBorders>
            <w:gridSpan w:val="4"/>
          </w:tcPr>
          <w:p>
            <w:pPr>
              <w:ind w:left="140"/>
              <w:spacing w:after="0"/>
              <w:rPr>
                <w:sz w:val="20"/>
                <w:szCs w:val="20"/>
                <w:color w:val="auto"/>
              </w:rPr>
            </w:pPr>
            <w:r>
              <w:rPr>
                <w:rFonts w:ascii="Verdana" w:cs="Verdana" w:eastAsia="Verdana" w:hAnsi="Verdana"/>
                <w:sz w:val="17"/>
                <w:szCs w:val="17"/>
                <w:color w:val="auto"/>
              </w:rPr>
              <w:t>Обычно выявляется у</w:t>
            </w:r>
          </w:p>
        </w:tc>
        <w:tc>
          <w:tcPr>
            <w:tcW w:w="1800" w:type="dxa"/>
            <w:vAlign w:val="bottom"/>
            <w:gridSpan w:val="2"/>
          </w:tcPr>
          <w:p>
            <w:pPr>
              <w:ind w:left="140"/>
              <w:spacing w:after="0"/>
              <w:rPr>
                <w:sz w:val="20"/>
                <w:szCs w:val="20"/>
                <w:color w:val="auto"/>
              </w:rPr>
            </w:pPr>
            <w:r>
              <w:rPr>
                <w:rFonts w:ascii="Verdana" w:cs="Verdana" w:eastAsia="Verdana" w:hAnsi="Verdana"/>
                <w:sz w:val="17"/>
                <w:szCs w:val="17"/>
                <w:color w:val="auto"/>
              </w:rPr>
              <w:t>Эхокардиография</w:t>
            </w: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детей или подростков</w:t>
            </w:r>
            <w:r>
              <w:rPr>
                <w:rFonts w:ascii="Verdana" w:cs="Verdana" w:eastAsia="Verdana" w:hAnsi="Verdana"/>
                <w:sz w:val="17"/>
                <w:szCs w:val="17"/>
                <w:color w:val="auto"/>
              </w:rPr>
              <w:t>;</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0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разница</w:t>
            </w:r>
          </w:p>
        </w:tc>
        <w:tc>
          <w:tcPr>
            <w:tcW w:w="300" w:type="dxa"/>
            <w:vAlign w:val="bottom"/>
          </w:tcPr>
          <w:p>
            <w:pPr>
              <w:ind w:left="20"/>
              <w:spacing w:after="0" w:line="165" w:lineRule="exact"/>
              <w:rPr>
                <w:sz w:val="20"/>
                <w:szCs w:val="20"/>
                <w:color w:val="auto"/>
              </w:rPr>
            </w:pPr>
            <w:r>
              <w:rPr>
                <w:rFonts w:ascii="Verdana" w:cs="Verdana" w:eastAsia="Verdana" w:hAnsi="Verdana"/>
                <w:sz w:val="17"/>
                <w:szCs w:val="17"/>
                <w:color w:val="auto"/>
              </w:rPr>
              <w:t>АД</w:t>
            </w:r>
          </w:p>
        </w:tc>
        <w:tc>
          <w:tcPr>
            <w:tcW w:w="10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(≥20/10</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r>
              <w:rPr>
                <w:rFonts w:ascii="Verdana" w:cs="Verdana" w:eastAsia="Verdana" w:hAnsi="Verdana"/>
                <w:sz w:val="17"/>
                <w:szCs w:val="17"/>
                <w:color w:val="auto"/>
              </w:rPr>
              <w:t xml:space="preserve">  между</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0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8"/>
              </w:rPr>
              <w:t>верхними</w:t>
            </w:r>
          </w:p>
        </w:tc>
        <w:tc>
          <w:tcPr>
            <w:tcW w:w="300" w:type="dxa"/>
            <w:vAlign w:val="bottom"/>
          </w:tcPr>
          <w:p>
            <w:pPr>
              <w:ind w:left="100"/>
              <w:spacing w:after="0" w:line="165" w:lineRule="exact"/>
              <w:rPr>
                <w:sz w:val="20"/>
                <w:szCs w:val="20"/>
                <w:color w:val="auto"/>
              </w:rPr>
            </w:pPr>
            <w:r>
              <w:rPr>
                <w:rFonts w:ascii="Verdana" w:cs="Verdana" w:eastAsia="Verdana" w:hAnsi="Verdana"/>
                <w:sz w:val="17"/>
                <w:szCs w:val="17"/>
                <w:color w:val="auto"/>
              </w:rPr>
              <w:t>и</w:t>
            </w:r>
          </w:p>
        </w:tc>
        <w:tc>
          <w:tcPr>
            <w:tcW w:w="10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нижними</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конечностями   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между правой и левой</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720" w:type="dxa"/>
            <w:vAlign w:val="bottom"/>
          </w:tcPr>
          <w:p>
            <w:pPr>
              <w:ind w:left="140"/>
              <w:spacing w:after="0" w:line="165" w:lineRule="exact"/>
              <w:rPr>
                <w:sz w:val="20"/>
                <w:szCs w:val="20"/>
                <w:color w:val="auto"/>
              </w:rPr>
            </w:pPr>
            <w:r>
              <w:rPr>
                <w:rFonts w:ascii="Verdana" w:cs="Verdana" w:eastAsia="Verdana" w:hAnsi="Verdana"/>
                <w:sz w:val="17"/>
                <w:szCs w:val="17"/>
                <w:color w:val="auto"/>
              </w:rPr>
              <w:t>рукой</w:t>
            </w:r>
          </w:p>
        </w:tc>
        <w:tc>
          <w:tcPr>
            <w:tcW w:w="580" w:type="dxa"/>
            <w:vAlign w:val="bottom"/>
            <w:gridSpan w:val="2"/>
          </w:tcPr>
          <w:p>
            <w:pPr>
              <w:ind w:left="200"/>
              <w:spacing w:after="0" w:line="165" w:lineRule="exact"/>
              <w:rPr>
                <w:sz w:val="20"/>
                <w:szCs w:val="20"/>
                <w:color w:val="auto"/>
              </w:rPr>
            </w:pPr>
            <w:r>
              <w:rPr>
                <w:rFonts w:ascii="Verdana" w:cs="Verdana" w:eastAsia="Verdana" w:hAnsi="Verdana"/>
                <w:sz w:val="17"/>
                <w:szCs w:val="17"/>
                <w:color w:val="auto"/>
              </w:rPr>
              <w:t>и</w:t>
            </w:r>
          </w:p>
        </w:tc>
        <w:tc>
          <w:tcPr>
            <w:tcW w:w="10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4"/>
              </w:rPr>
              <w:t>задержка</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3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радиально</w:t>
            </w:r>
            <w:r>
              <w:rPr>
                <w:rFonts w:ascii="Verdana" w:cs="Verdana" w:eastAsia="Verdana" w:hAnsi="Verdana"/>
                <w:sz w:val="17"/>
                <w:szCs w:val="17"/>
                <w:color w:val="auto"/>
              </w:rPr>
              <w:t>-</w:t>
            </w:r>
          </w:p>
        </w:tc>
        <w:tc>
          <w:tcPr>
            <w:tcW w:w="1000" w:type="dxa"/>
            <w:vAlign w:val="bottom"/>
            <w:tcBorders>
              <w:right w:val="single" w:sz="8" w:color="auto"/>
            </w:tcBorders>
          </w:tcPr>
          <w:p>
            <w:pPr>
              <w:spacing w:after="0"/>
              <w:rPr>
                <w:sz w:val="14"/>
                <w:szCs w:val="14"/>
                <w:color w:val="auto"/>
              </w:rPr>
            </w:pP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3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5"/>
              </w:rPr>
              <w:t>феморальной</w:t>
            </w:r>
          </w:p>
        </w:tc>
        <w:tc>
          <w:tcPr>
            <w:tcW w:w="10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низкий</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3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пульсации</w:t>
            </w:r>
            <w:r>
              <w:rPr>
                <w:rFonts w:ascii="Verdana" w:cs="Verdana" w:eastAsia="Verdana" w:hAnsi="Verdana"/>
                <w:sz w:val="17"/>
                <w:szCs w:val="17"/>
                <w:color w:val="auto"/>
              </w:rPr>
              <w:t>;</w:t>
            </w:r>
          </w:p>
        </w:tc>
        <w:tc>
          <w:tcPr>
            <w:tcW w:w="1000" w:type="dxa"/>
            <w:vAlign w:val="bottom"/>
            <w:tcBorders>
              <w:right w:val="single" w:sz="8" w:color="auto"/>
            </w:tcBorders>
            <w:vMerge w:val="continue"/>
          </w:tcPr>
          <w:p>
            <w:pPr>
              <w:spacing w:after="0"/>
              <w:rPr>
                <w:sz w:val="14"/>
                <w:szCs w:val="14"/>
                <w:color w:val="auto"/>
              </w:rPr>
            </w:pP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720" w:type="dxa"/>
            <w:vAlign w:val="bottom"/>
          </w:tcPr>
          <w:p>
            <w:pPr>
              <w:ind w:left="140"/>
              <w:spacing w:after="0" w:line="165" w:lineRule="exact"/>
              <w:rPr>
                <w:sz w:val="20"/>
                <w:szCs w:val="20"/>
                <w:color w:val="auto"/>
              </w:rPr>
            </w:pPr>
            <w:r>
              <w:rPr>
                <w:rFonts w:ascii="Verdana" w:cs="Verdana" w:eastAsia="Verdana" w:hAnsi="Verdana"/>
                <w:sz w:val="17"/>
                <w:szCs w:val="17"/>
                <w:color w:val="auto"/>
              </w:rPr>
              <w:t>ЛПИ</w:t>
            </w:r>
            <w:r>
              <w:rPr>
                <w:rFonts w:ascii="Verdana" w:cs="Verdana" w:eastAsia="Verdana" w:hAnsi="Verdana"/>
                <w:sz w:val="17"/>
                <w:szCs w:val="17"/>
                <w:color w:val="auto"/>
              </w:rPr>
              <w:t>;</w:t>
            </w:r>
          </w:p>
        </w:tc>
        <w:tc>
          <w:tcPr>
            <w:tcW w:w="158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систолический</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230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шум в межлопаточной</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10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области</w:t>
            </w:r>
            <w:r>
              <w:rPr>
                <w:rFonts w:ascii="Verdana" w:cs="Verdana" w:eastAsia="Verdana" w:hAnsi="Verdana"/>
                <w:sz w:val="17"/>
                <w:szCs w:val="17"/>
                <w:color w:val="auto"/>
              </w:rPr>
              <w:t>;</w:t>
            </w:r>
          </w:p>
        </w:tc>
        <w:tc>
          <w:tcPr>
            <w:tcW w:w="300" w:type="dxa"/>
            <w:vAlign w:val="bottom"/>
          </w:tcPr>
          <w:p>
            <w:pPr>
              <w:spacing w:after="0"/>
              <w:rPr>
                <w:sz w:val="14"/>
                <w:szCs w:val="14"/>
                <w:color w:val="auto"/>
              </w:rPr>
            </w:pPr>
          </w:p>
        </w:tc>
        <w:tc>
          <w:tcPr>
            <w:tcW w:w="10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7"/>
              </w:rPr>
              <w:t>узурация</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80" w:type="dxa"/>
            <w:vAlign w:val="bottom"/>
            <w:tcBorders>
              <w:left w:val="single" w:sz="8" w:color="auto"/>
              <w:right w:val="single" w:sz="8" w:color="auto"/>
            </w:tcBorders>
          </w:tcPr>
          <w:p>
            <w:pPr>
              <w:spacing w:after="0"/>
              <w:rPr>
                <w:sz w:val="14"/>
                <w:szCs w:val="14"/>
                <w:color w:val="auto"/>
              </w:rPr>
            </w:pPr>
          </w:p>
        </w:tc>
        <w:tc>
          <w:tcPr>
            <w:tcW w:w="2060" w:type="dxa"/>
            <w:vAlign w:val="bottom"/>
            <w:tcBorders>
              <w:right w:val="single" w:sz="8" w:color="auto"/>
            </w:tcBorders>
          </w:tcPr>
          <w:p>
            <w:pPr>
              <w:spacing w:after="0"/>
              <w:rPr>
                <w:sz w:val="14"/>
                <w:szCs w:val="14"/>
                <w:color w:val="auto"/>
              </w:rPr>
            </w:pPr>
          </w:p>
        </w:tc>
        <w:tc>
          <w:tcPr>
            <w:tcW w:w="720" w:type="dxa"/>
            <w:vAlign w:val="bottom"/>
          </w:tcPr>
          <w:p>
            <w:pPr>
              <w:ind w:left="140"/>
              <w:spacing w:after="0" w:line="165" w:lineRule="exact"/>
              <w:rPr>
                <w:sz w:val="20"/>
                <w:szCs w:val="20"/>
                <w:color w:val="auto"/>
              </w:rPr>
            </w:pPr>
            <w:r>
              <w:rPr>
                <w:rFonts w:ascii="Verdana" w:cs="Verdana" w:eastAsia="Verdana" w:hAnsi="Verdana"/>
                <w:sz w:val="17"/>
                <w:szCs w:val="17"/>
                <w:color w:val="auto"/>
              </w:rPr>
              <w:t>ребер</w:t>
            </w:r>
          </w:p>
        </w:tc>
        <w:tc>
          <w:tcPr>
            <w:tcW w:w="28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10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при</w:t>
            </w:r>
          </w:p>
        </w:tc>
        <w:tc>
          <w:tcPr>
            <w:tcW w:w="1060" w:type="dxa"/>
            <w:vAlign w:val="bottom"/>
          </w:tcPr>
          <w:p>
            <w:pPr>
              <w:spacing w:after="0"/>
              <w:rPr>
                <w:sz w:val="14"/>
                <w:szCs w:val="14"/>
                <w:color w:val="auto"/>
              </w:rPr>
            </w:pPr>
          </w:p>
        </w:tc>
        <w:tc>
          <w:tcPr>
            <w:tcW w:w="74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80" w:type="dxa"/>
            <w:vAlign w:val="bottom"/>
            <w:tcBorders>
              <w:left w:val="single" w:sz="8" w:color="auto"/>
              <w:right w:val="single" w:sz="8" w:color="auto"/>
            </w:tcBorders>
          </w:tcPr>
          <w:p>
            <w:pPr>
              <w:spacing w:after="0"/>
              <w:rPr>
                <w:sz w:val="19"/>
                <w:szCs w:val="19"/>
                <w:color w:val="auto"/>
              </w:rPr>
            </w:pPr>
          </w:p>
        </w:tc>
        <w:tc>
          <w:tcPr>
            <w:tcW w:w="2060" w:type="dxa"/>
            <w:vAlign w:val="bottom"/>
            <w:tcBorders>
              <w:right w:val="single" w:sz="8" w:color="auto"/>
            </w:tcBorders>
          </w:tcPr>
          <w:p>
            <w:pPr>
              <w:spacing w:after="0"/>
              <w:rPr>
                <w:sz w:val="19"/>
                <w:szCs w:val="19"/>
                <w:color w:val="auto"/>
              </w:rPr>
            </w:pPr>
          </w:p>
        </w:tc>
        <w:tc>
          <w:tcPr>
            <w:tcW w:w="2300" w:type="dxa"/>
            <w:vAlign w:val="bottom"/>
            <w:tcBorders>
              <w:right w:val="single" w:sz="8" w:color="auto"/>
            </w:tcBorders>
            <w:gridSpan w:val="4"/>
          </w:tcPr>
          <w:p>
            <w:pPr>
              <w:ind w:left="140"/>
              <w:spacing w:after="0"/>
              <w:rPr>
                <w:sz w:val="20"/>
                <w:szCs w:val="20"/>
                <w:color w:val="auto"/>
              </w:rPr>
            </w:pPr>
            <w:r>
              <w:rPr>
                <w:rFonts w:ascii="Verdana" w:cs="Verdana" w:eastAsia="Verdana" w:hAnsi="Verdana"/>
                <w:sz w:val="17"/>
                <w:szCs w:val="17"/>
                <w:color w:val="auto"/>
              </w:rPr>
              <w:t>рентгенографии</w:t>
            </w:r>
          </w:p>
        </w:tc>
        <w:tc>
          <w:tcPr>
            <w:tcW w:w="1060" w:type="dxa"/>
            <w:vAlign w:val="bottom"/>
          </w:tcPr>
          <w:p>
            <w:pPr>
              <w:spacing w:after="0"/>
              <w:rPr>
                <w:sz w:val="19"/>
                <w:szCs w:val="19"/>
                <w:color w:val="auto"/>
              </w:rPr>
            </w:pPr>
          </w:p>
        </w:tc>
        <w:tc>
          <w:tcPr>
            <w:tcW w:w="74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80" w:type="dxa"/>
            <w:vAlign w:val="bottom"/>
            <w:tcBorders>
              <w:left w:val="single" w:sz="8" w:color="auto"/>
              <w:bottom w:val="single" w:sz="8" w:color="auto"/>
              <w:right w:val="single" w:sz="8" w:color="auto"/>
            </w:tcBorders>
          </w:tcPr>
          <w:p>
            <w:pPr>
              <w:spacing w:after="0"/>
              <w:rPr>
                <w:sz w:val="9"/>
                <w:szCs w:val="9"/>
                <w:color w:val="auto"/>
              </w:rPr>
            </w:pPr>
          </w:p>
        </w:tc>
        <w:tc>
          <w:tcPr>
            <w:tcW w:w="2060" w:type="dxa"/>
            <w:vAlign w:val="bottom"/>
            <w:tcBorders>
              <w:bottom w:val="single" w:sz="8" w:color="auto"/>
              <w:right w:val="single" w:sz="8" w:color="auto"/>
            </w:tcBorders>
          </w:tcPr>
          <w:p>
            <w:pPr>
              <w:spacing w:after="0"/>
              <w:rPr>
                <w:sz w:val="9"/>
                <w:szCs w:val="9"/>
                <w:color w:val="auto"/>
              </w:rPr>
            </w:pPr>
          </w:p>
        </w:tc>
        <w:tc>
          <w:tcPr>
            <w:tcW w:w="720" w:type="dxa"/>
            <w:vAlign w:val="bottom"/>
            <w:tcBorders>
              <w:bottom w:val="single" w:sz="8" w:color="auto"/>
            </w:tcBorders>
          </w:tcPr>
          <w:p>
            <w:pPr>
              <w:spacing w:after="0"/>
              <w:rPr>
                <w:sz w:val="9"/>
                <w:szCs w:val="9"/>
                <w:color w:val="auto"/>
              </w:rPr>
            </w:pPr>
          </w:p>
        </w:tc>
        <w:tc>
          <w:tcPr>
            <w:tcW w:w="280" w:type="dxa"/>
            <w:vAlign w:val="bottom"/>
            <w:tcBorders>
              <w:bottom w:val="single" w:sz="8" w:color="auto"/>
            </w:tcBorders>
          </w:tcPr>
          <w:p>
            <w:pPr>
              <w:spacing w:after="0"/>
              <w:rPr>
                <w:sz w:val="9"/>
                <w:szCs w:val="9"/>
                <w:color w:val="auto"/>
              </w:rPr>
            </w:pPr>
          </w:p>
        </w:tc>
        <w:tc>
          <w:tcPr>
            <w:tcW w:w="300" w:type="dxa"/>
            <w:vAlign w:val="bottom"/>
            <w:tcBorders>
              <w:bottom w:val="single" w:sz="8" w:color="auto"/>
            </w:tcBorders>
          </w:tcPr>
          <w:p>
            <w:pPr>
              <w:spacing w:after="0"/>
              <w:rPr>
                <w:sz w:val="9"/>
                <w:szCs w:val="9"/>
                <w:color w:val="auto"/>
              </w:rPr>
            </w:pPr>
          </w:p>
        </w:tc>
        <w:tc>
          <w:tcPr>
            <w:tcW w:w="10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74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u w:val="single" w:color="auto"/>
          <w:color w:val="auto"/>
        </w:rPr>
        <w:t>Таблица П</w:t>
      </w:r>
      <w:r>
        <w:rPr>
          <w:rFonts w:ascii="Arial" w:cs="Arial" w:eastAsia="Arial" w:hAnsi="Arial"/>
          <w:sz w:val="27"/>
          <w:szCs w:val="27"/>
          <w:b w:val="1"/>
          <w:bCs w:val="1"/>
          <w:u w:val="single" w:color="auto"/>
          <w:color w:val="auto"/>
        </w:rPr>
        <w:t>3/</w:t>
      </w:r>
      <w:r>
        <w:rPr>
          <w:rFonts w:ascii="Arial" w:cs="Arial" w:eastAsia="Arial" w:hAnsi="Arial"/>
          <w:sz w:val="27"/>
          <w:szCs w:val="27"/>
          <w:b w:val="1"/>
          <w:bCs w:val="1"/>
          <w:u w:val="single" w:color="auto"/>
          <w:color w:val="auto"/>
        </w:rPr>
        <w:t>Г</w:t>
      </w:r>
      <w:r>
        <w:rPr>
          <w:rFonts w:ascii="Arial" w:cs="Arial" w:eastAsia="Arial" w:hAnsi="Arial"/>
          <w:sz w:val="27"/>
          <w:szCs w:val="27"/>
          <w:b w:val="1"/>
          <w:bCs w:val="1"/>
          <w:u w:val="single" w:color="auto"/>
          <w:color w:val="auto"/>
        </w:rPr>
        <w:t>2.</w:t>
      </w:r>
      <w:r>
        <w:rPr>
          <w:rFonts w:ascii="Arial" w:cs="Arial" w:eastAsia="Arial" w:hAnsi="Arial"/>
          <w:sz w:val="27"/>
          <w:szCs w:val="27"/>
          <w:b w:val="1"/>
          <w:bCs w:val="1"/>
          <w:u w:val="single" w:color="auto"/>
          <w:color w:val="auto"/>
        </w:rPr>
        <w:t xml:space="preserve"> Основные требования к физическому обследованию</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4488180"/>
            <wp:wrapNone/>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62">
                      <a:extLst>
                        <a:ext uri="{28A0092B-C50C-407E-A947-70E740481C1C}"/>
                      </a:extLst>
                    </a:blip>
                    <a:srcRect/>
                    <a:stretch>
                      <a:fillRect/>
                    </a:stretch>
                  </pic:blipFill>
                  <pic:spPr bwMode="auto">
                    <a:xfrm>
                      <a:off x="0" y="0"/>
                      <a:ext cx="5365115" cy="4488180"/>
                    </a:xfrm>
                    <a:prstGeom prst="rect">
                      <a:avLst/>
                    </a:prstGeom>
                    <a:noFill/>
                  </pic:spPr>
                </pic:pic>
              </a:graphicData>
            </a:graphic>
          </wp:anchor>
        </w:drawing>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Антропометрические показатели</w:t>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Определение веса и роста с помощью калиброванных приборов</w:t>
      </w:r>
      <w:r>
        <w:rPr>
          <w:rFonts w:ascii="Verdana" w:cs="Verdana" w:eastAsia="Verdana" w:hAnsi="Verdana"/>
          <w:sz w:val="17"/>
          <w:szCs w:val="17"/>
          <w:color w:val="auto"/>
        </w:rPr>
        <w:t>,</w:t>
      </w:r>
      <w:r>
        <w:rPr>
          <w:rFonts w:ascii="Verdana" w:cs="Verdana" w:eastAsia="Verdana" w:hAnsi="Verdana"/>
          <w:sz w:val="17"/>
          <w:szCs w:val="17"/>
          <w:color w:val="auto"/>
        </w:rPr>
        <w:t xml:space="preserve"> расчет ИМТ</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Окружность талии</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Признаки ПОМ</w:t>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Неврологическое обследование и оценка когнитивного статуса</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Фундоскопия для выявления гипертонической ретинопатии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Пальпация и аускультация сердца</w:t>
      </w:r>
      <w:r>
        <w:rPr>
          <w:rFonts w:ascii="Verdana" w:cs="Verdana" w:eastAsia="Verdana" w:hAnsi="Verdana"/>
          <w:sz w:val="17"/>
          <w:szCs w:val="17"/>
          <w:color w:val="auto"/>
        </w:rPr>
        <w:t>,</w:t>
      </w:r>
      <w:r>
        <w:rPr>
          <w:rFonts w:ascii="Verdana" w:cs="Verdana" w:eastAsia="Verdana" w:hAnsi="Verdana"/>
          <w:sz w:val="17"/>
          <w:szCs w:val="17"/>
          <w:color w:val="auto"/>
        </w:rPr>
        <w:t xml:space="preserve"> сонных и почечных артерий</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Пальпация периферических артерий</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Определение АД на обеих руках </w:t>
      </w:r>
      <w:r>
        <w:rPr>
          <w:rFonts w:ascii="Verdana" w:cs="Verdana" w:eastAsia="Verdana" w:hAnsi="Verdana"/>
          <w:sz w:val="17"/>
          <w:szCs w:val="17"/>
          <w:color w:val="auto"/>
        </w:rPr>
        <w:t>(</w:t>
      </w:r>
      <w:r>
        <w:rPr>
          <w:rFonts w:ascii="Verdana" w:cs="Verdana" w:eastAsia="Verdana" w:hAnsi="Verdana"/>
          <w:sz w:val="17"/>
          <w:szCs w:val="17"/>
          <w:color w:val="auto"/>
        </w:rPr>
        <w:t>как минимум однократно</w:t>
      </w:r>
      <w:r>
        <w:rPr>
          <w:rFonts w:ascii="Verdana" w:cs="Verdana" w:eastAsia="Verdana" w:hAnsi="Verdana"/>
          <w:sz w:val="17"/>
          <w:szCs w:val="17"/>
          <w:color w:val="auto"/>
        </w:rPr>
        <w:t>)</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Вторичные гипертензии</w:t>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Осмотр кожных покровов</w:t>
      </w:r>
      <w:r>
        <w:rPr>
          <w:rFonts w:ascii="Verdana" w:cs="Verdana" w:eastAsia="Verdana" w:hAnsi="Verdana"/>
          <w:sz w:val="17"/>
          <w:szCs w:val="17"/>
          <w:color w:val="auto"/>
        </w:rPr>
        <w:t>:</w:t>
      </w:r>
      <w:r>
        <w:rPr>
          <w:rFonts w:ascii="Verdana" w:cs="Verdana" w:eastAsia="Verdana" w:hAnsi="Verdana"/>
          <w:sz w:val="17"/>
          <w:szCs w:val="17"/>
          <w:color w:val="auto"/>
        </w:rPr>
        <w:t xml:space="preserve"> признаки нейрофиброматоза </w:t>
      </w:r>
      <w:r>
        <w:rPr>
          <w:rFonts w:ascii="Verdana" w:cs="Verdana" w:eastAsia="Verdana" w:hAnsi="Verdana"/>
          <w:sz w:val="17"/>
          <w:szCs w:val="17"/>
          <w:color w:val="auto"/>
        </w:rPr>
        <w:t>(</w:t>
      </w:r>
      <w:r>
        <w:rPr>
          <w:rFonts w:ascii="Verdana" w:cs="Verdana" w:eastAsia="Verdana" w:hAnsi="Verdana"/>
          <w:sz w:val="17"/>
          <w:szCs w:val="17"/>
          <w:color w:val="auto"/>
        </w:rPr>
        <w:t>феохромоцитома</w:t>
      </w:r>
      <w:r>
        <w:rPr>
          <w:rFonts w:ascii="Verdana" w:cs="Verdana" w:eastAsia="Verdana" w:hAnsi="Verdana"/>
          <w:sz w:val="17"/>
          <w:szCs w:val="17"/>
          <w:color w:val="auto"/>
        </w:rPr>
        <w:t>)</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Пальпация почек для исключения их увеличения при поликистозе</w:t>
      </w:r>
    </w:p>
    <w:p>
      <w:pPr>
        <w:spacing w:after="0" w:line="274"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Аускультация сердца и почечных артерий для выявления шумов</w:t>
      </w:r>
      <w:r>
        <w:rPr>
          <w:rFonts w:ascii="Verdana" w:cs="Verdana" w:eastAsia="Verdana" w:hAnsi="Verdana"/>
          <w:sz w:val="17"/>
          <w:szCs w:val="17"/>
          <w:color w:val="auto"/>
        </w:rPr>
        <w:t>,</w:t>
      </w:r>
      <w:r>
        <w:rPr>
          <w:rFonts w:ascii="Verdana" w:cs="Verdana" w:eastAsia="Verdana" w:hAnsi="Verdana"/>
          <w:sz w:val="17"/>
          <w:szCs w:val="17"/>
          <w:color w:val="auto"/>
        </w:rPr>
        <w:t xml:space="preserve"> являющихся признаком коарктации аорты или реноваскулярной гипертензии</w:t>
      </w:r>
    </w:p>
    <w:p>
      <w:pPr>
        <w:spacing w:after="0" w:line="261"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Сравнение пульсации на радиальных и бедренных артериях для выявления задержки пульсовой волны при коарктации аорты</w:t>
      </w:r>
    </w:p>
    <w:p>
      <w:pPr>
        <w:spacing w:after="0" w:line="20" w:lineRule="exact"/>
        <w:rPr>
          <w:sz w:val="20"/>
          <w:szCs w:val="20"/>
          <w:color w:val="auto"/>
        </w:rPr>
      </w:pPr>
    </w:p>
    <w:p>
      <w:pPr>
        <w:sectPr>
          <w:pgSz w:w="11900" w:h="16840" w:orient="portrait"/>
          <w:cols w:equalWidth="0" w:num="1">
            <w:col w:w="9020"/>
          </w:cols>
          <w:pgMar w:left="1440" w:top="0" w:right="1440" w:bottom="1440" w:gutter="0" w:footer="0" w:header="0"/>
        </w:sectPr>
      </w:pPr>
    </w:p>
    <w:bookmarkStart w:id="137" w:name="page138"/>
    <w:bookmarkEnd w:id="137"/>
    <w:p>
      <w:pPr>
        <w:ind w:left="520"/>
        <w:spacing w:after="0"/>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10634345"/>
            <wp:wrapNone/>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63">
                      <a:extLst>
                        <a:ext uri="{28A0092B-C50C-407E-A947-70E740481C1C}"/>
                      </a:extLst>
                    </a:blip>
                    <a:srcRect/>
                    <a:stretch>
                      <a:fillRect/>
                    </a:stretch>
                  </pic:blipFill>
                  <pic:spPr bwMode="auto">
                    <a:xfrm>
                      <a:off x="0" y="0"/>
                      <a:ext cx="5365115" cy="10634345"/>
                    </a:xfrm>
                    <a:prstGeom prst="rect">
                      <a:avLst/>
                    </a:prstGeom>
                    <a:noFill/>
                  </pic:spPr>
                </pic:pic>
              </a:graphicData>
            </a:graphic>
          </wp:anchor>
        </w:drawing>
        <w:t xml:space="preserve">Признаки синдрома Кушинга </w:t>
      </w:r>
      <w:r>
        <w:rPr>
          <w:rFonts w:ascii="Verdana" w:cs="Verdana" w:eastAsia="Verdana" w:hAnsi="Verdana"/>
          <w:sz w:val="17"/>
          <w:szCs w:val="17"/>
          <w:color w:val="auto"/>
        </w:rPr>
        <w:t>(</w:t>
      </w:r>
      <w:r>
        <w:rPr>
          <w:rFonts w:ascii="Verdana" w:cs="Verdana" w:eastAsia="Verdana" w:hAnsi="Verdana"/>
          <w:sz w:val="17"/>
          <w:szCs w:val="17"/>
          <w:color w:val="auto"/>
        </w:rPr>
        <w:t xml:space="preserve">сочетание </w:t>
      </w:r>
      <w:r>
        <w:rPr>
          <w:rFonts w:ascii="Verdana" w:cs="Verdana" w:eastAsia="Verdana" w:hAnsi="Verdana"/>
          <w:sz w:val="17"/>
          <w:szCs w:val="17"/>
          <w:color w:val="auto"/>
        </w:rPr>
        <w:t>2</w:t>
      </w:r>
      <w:r>
        <w:rPr>
          <w:rFonts w:ascii="Verdana" w:cs="Verdana" w:eastAsia="Verdana" w:hAnsi="Verdana"/>
          <w:sz w:val="17"/>
          <w:szCs w:val="17"/>
          <w:color w:val="auto"/>
        </w:rPr>
        <w:t xml:space="preserve"> или более симптомов</w:t>
      </w:r>
      <w:r>
        <w:rPr>
          <w:rFonts w:ascii="Verdana" w:cs="Verdana" w:eastAsia="Verdana" w:hAnsi="Verdana"/>
          <w:sz w:val="17"/>
          <w:szCs w:val="17"/>
          <w:color w:val="auto"/>
        </w:rPr>
        <w:t>):</w:t>
      </w:r>
    </w:p>
    <w:p>
      <w:pPr>
        <w:spacing w:after="0" w:line="6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центральное ожирение</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проксимальная мышечная слабость</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подкожные кровоизлияния</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широкие и глубокие стрии</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необъяснимый остеопороз</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вновь начавшийся СД</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аменорея</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инсиденталома надпочечника</w:t>
      </w:r>
    </w:p>
    <w:p>
      <w:pPr>
        <w:spacing w:after="0" w:line="39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Признаки акромегалии</w:t>
      </w:r>
    </w:p>
    <w:p>
      <w:pPr>
        <w:spacing w:after="0" w:line="6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увеличение акральных частей тела</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укрупнение и огрубление черт лица</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потливость</w:t>
      </w:r>
    </w:p>
    <w:p>
      <w:pPr>
        <w:spacing w:after="0" w:line="39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Признаки заболеваний щитовидной железы </w:t>
      </w:r>
      <w:r>
        <w:rPr>
          <w:rFonts w:ascii="Verdana" w:cs="Verdana" w:eastAsia="Verdana" w:hAnsi="Verdana"/>
          <w:sz w:val="17"/>
          <w:szCs w:val="17"/>
          <w:color w:val="auto"/>
        </w:rPr>
        <w:t>(</w:t>
      </w:r>
      <w:r>
        <w:rPr>
          <w:rFonts w:ascii="Verdana" w:cs="Verdana" w:eastAsia="Verdana" w:hAnsi="Verdana"/>
          <w:sz w:val="17"/>
          <w:szCs w:val="17"/>
          <w:color w:val="auto"/>
        </w:rPr>
        <w:t>синдром гипотиреоза</w:t>
      </w:r>
      <w:r>
        <w:rPr>
          <w:rFonts w:ascii="Verdana" w:cs="Verdana" w:eastAsia="Verdana" w:hAnsi="Verdana"/>
          <w:sz w:val="17"/>
          <w:szCs w:val="17"/>
          <w:color w:val="auto"/>
        </w:rPr>
        <w:t>):</w:t>
      </w:r>
    </w:p>
    <w:p>
      <w:pPr>
        <w:spacing w:after="0" w:line="64" w:lineRule="exact"/>
        <w:rPr>
          <w:sz w:val="20"/>
          <w:szCs w:val="20"/>
          <w:color w:val="auto"/>
        </w:rPr>
      </w:pPr>
    </w:p>
    <w:tbl>
      <w:tblPr>
        <w:tblLayout w:type="fixed"/>
        <w:tblInd w:w="360" w:type="dxa"/>
        <w:tblCellMar>
          <w:top w:w="0" w:type="dxa"/>
          <w:left w:w="0" w:type="dxa"/>
          <w:bottom w:w="0" w:type="dxa"/>
          <w:right w:w="0" w:type="dxa"/>
        </w:tblCellMar>
      </w:tblPr>
      <w:tr>
        <w:trPr>
          <w:trHeight w:val="220"/>
        </w:trPr>
        <w:tc>
          <w:tcPr>
            <w:tcW w:w="360" w:type="dxa"/>
            <w:vAlign w:val="bottom"/>
          </w:tcPr>
          <w:p>
            <w:pPr>
              <w:spacing w:after="0"/>
              <w:rPr>
                <w:sz w:val="19"/>
                <w:szCs w:val="19"/>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склонность к брадикардии</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 xml:space="preserve">плохая переносимость холода </w:t>
            </w:r>
            <w:r>
              <w:rPr>
                <w:rFonts w:ascii="Verdana" w:cs="Verdana" w:eastAsia="Verdana" w:hAnsi="Verdana"/>
                <w:sz w:val="17"/>
                <w:szCs w:val="17"/>
                <w:color w:val="auto"/>
              </w:rPr>
              <w:t>(</w:t>
            </w:r>
            <w:r>
              <w:rPr>
                <w:rFonts w:ascii="Verdana" w:cs="Verdana" w:eastAsia="Verdana" w:hAnsi="Verdana"/>
                <w:sz w:val="17"/>
                <w:szCs w:val="17"/>
                <w:color w:val="auto"/>
              </w:rPr>
              <w:t>зябкость</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нарушения стула по типу запора</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диффузная алопеция</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раннее поседение волос</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 xml:space="preserve">дистрофии ногтевых пластин </w:t>
            </w:r>
            <w:r>
              <w:rPr>
                <w:rFonts w:ascii="Verdana" w:cs="Verdana" w:eastAsia="Verdana" w:hAnsi="Verdana"/>
                <w:sz w:val="17"/>
                <w:szCs w:val="17"/>
                <w:color w:val="auto"/>
              </w:rPr>
              <w:t>(</w:t>
            </w:r>
            <w:r>
              <w:rPr>
                <w:rFonts w:ascii="Verdana" w:cs="Verdana" w:eastAsia="Verdana" w:hAnsi="Verdana"/>
                <w:sz w:val="17"/>
                <w:szCs w:val="17"/>
                <w:color w:val="auto"/>
              </w:rPr>
              <w:t>важен факт появления в недавнем анамнезе</w:t>
            </w:r>
            <w:r>
              <w:rPr>
                <w:rFonts w:ascii="Verdana" w:cs="Verdana" w:eastAsia="Verdana" w:hAnsi="Verdana"/>
                <w:sz w:val="17"/>
                <w:szCs w:val="17"/>
                <w:color w:val="auto"/>
              </w:rPr>
              <w:t>,</w:t>
            </w:r>
            <w:r>
              <w:rPr>
                <w:rFonts w:ascii="Verdana" w:cs="Verdana" w:eastAsia="Verdana" w:hAnsi="Verdana"/>
                <w:sz w:val="17"/>
                <w:szCs w:val="17"/>
                <w:color w:val="auto"/>
              </w:rPr>
              <w:t xml:space="preserve"> возможен</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неудачный опыт лечения у дерматолога</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 xml:space="preserve">нарушения  менструальной  функции  у  женщин  </w:t>
            </w:r>
            <w:r>
              <w:rPr>
                <w:rFonts w:ascii="Verdana" w:cs="Verdana" w:eastAsia="Verdana" w:hAnsi="Verdana"/>
                <w:sz w:val="17"/>
                <w:szCs w:val="17"/>
                <w:color w:val="auto"/>
              </w:rPr>
              <w:t>(</w:t>
            </w:r>
            <w:r>
              <w:rPr>
                <w:rFonts w:ascii="Verdana" w:cs="Verdana" w:eastAsia="Verdana" w:hAnsi="Verdana"/>
                <w:sz w:val="17"/>
                <w:szCs w:val="17"/>
                <w:color w:val="auto"/>
              </w:rPr>
              <w:t>по  типу  олиго</w:t>
            </w:r>
            <w:r>
              <w:rPr>
                <w:rFonts w:ascii="Verdana" w:cs="Verdana" w:eastAsia="Verdana" w:hAnsi="Verdana"/>
                <w:sz w:val="17"/>
                <w:szCs w:val="17"/>
                <w:color w:val="auto"/>
              </w:rPr>
              <w:t>-,</w:t>
            </w:r>
            <w:r>
              <w:rPr>
                <w:rFonts w:ascii="Verdana" w:cs="Verdana" w:eastAsia="Verdana" w:hAnsi="Verdana"/>
                <w:sz w:val="17"/>
                <w:szCs w:val="17"/>
                <w:color w:val="auto"/>
              </w:rPr>
              <w:t xml:space="preserve">  опсо</w:t>
            </w:r>
            <w:r>
              <w:rPr>
                <w:rFonts w:ascii="Verdana" w:cs="Verdana" w:eastAsia="Verdana" w:hAnsi="Verdana"/>
                <w:sz w:val="17"/>
                <w:szCs w:val="17"/>
                <w:color w:val="auto"/>
              </w:rPr>
              <w:t>-,</w:t>
            </w:r>
            <w:r>
              <w:rPr>
                <w:rFonts w:ascii="Verdana" w:cs="Verdana" w:eastAsia="Verdana" w:hAnsi="Verdana"/>
                <w:sz w:val="17"/>
                <w:szCs w:val="17"/>
                <w:color w:val="auto"/>
              </w:rPr>
              <w:t xml:space="preserve">  аменореи</w:t>
            </w:r>
            <w:r>
              <w:rPr>
                <w:rFonts w:ascii="Verdana" w:cs="Verdana" w:eastAsia="Verdana" w:hAnsi="Verdana"/>
                <w:sz w:val="17"/>
                <w:szCs w:val="17"/>
                <w:color w:val="auto"/>
              </w:rPr>
              <w:t>),</w:t>
            </w:r>
          </w:p>
        </w:tc>
      </w:tr>
      <w:tr>
        <w:trPr>
          <w:trHeight w:val="390"/>
        </w:trPr>
        <w:tc>
          <w:tcPr>
            <w:tcW w:w="360" w:type="dxa"/>
            <w:vAlign w:val="bottom"/>
          </w:tcPr>
          <w:p>
            <w:pPr>
              <w:spacing w:after="0"/>
              <w:rPr>
                <w:sz w:val="24"/>
                <w:szCs w:val="24"/>
                <w:color w:val="auto"/>
              </w:rPr>
            </w:pPr>
          </w:p>
        </w:tc>
        <w:tc>
          <w:tcPr>
            <w:tcW w:w="8080" w:type="dxa"/>
            <w:vAlign w:val="bottom"/>
          </w:tcPr>
          <w:p>
            <w:pPr>
              <w:ind w:left="120"/>
              <w:spacing w:after="0"/>
              <w:rPr>
                <w:sz w:val="20"/>
                <w:szCs w:val="20"/>
                <w:color w:val="auto"/>
              </w:rPr>
            </w:pPr>
            <w:r>
              <w:rPr>
                <w:rFonts w:ascii="Verdana" w:cs="Verdana" w:eastAsia="Verdana" w:hAnsi="Verdana"/>
                <w:sz w:val="17"/>
                <w:szCs w:val="17"/>
                <w:color w:val="auto"/>
              </w:rPr>
              <w:t>анамнез бесплодия</w:t>
            </w:r>
            <w:r>
              <w:rPr>
                <w:rFonts w:ascii="Verdana" w:cs="Verdana" w:eastAsia="Verdana" w:hAnsi="Verdana"/>
                <w:sz w:val="17"/>
                <w:szCs w:val="17"/>
                <w:color w:val="auto"/>
              </w:rPr>
              <w:t>,</w:t>
            </w:r>
            <w:r>
              <w:rPr>
                <w:rFonts w:ascii="Verdana" w:cs="Verdana" w:eastAsia="Verdana" w:hAnsi="Verdana"/>
                <w:sz w:val="17"/>
                <w:szCs w:val="17"/>
                <w:color w:val="auto"/>
              </w:rPr>
              <w:t xml:space="preserve"> невынашивания беременности</w:t>
            </w:r>
            <w:r>
              <w:rPr>
                <w:rFonts w:ascii="Verdana" w:cs="Verdana" w:eastAsia="Verdana" w:hAnsi="Verdana"/>
                <w:sz w:val="17"/>
                <w:szCs w:val="17"/>
                <w:color w:val="auto"/>
              </w:rPr>
              <w:t>)</w:t>
            </w:r>
          </w:p>
        </w:tc>
      </w:tr>
      <w:tr>
        <w:trPr>
          <w:trHeight w:val="237"/>
        </w:trPr>
        <w:tc>
          <w:tcPr>
            <w:tcW w:w="8440" w:type="dxa"/>
            <w:vAlign w:val="bottom"/>
            <w:tcBorders>
              <w:bottom w:val="single" w:sz="8" w:color="auto"/>
            </w:tcBorders>
            <w:gridSpan w:val="2"/>
          </w:tcPr>
          <w:p>
            <w:pPr>
              <w:spacing w:after="0"/>
              <w:rPr>
                <w:sz w:val="20"/>
                <w:szCs w:val="20"/>
                <w:color w:val="auto"/>
              </w:rPr>
            </w:pPr>
          </w:p>
        </w:tc>
      </w:tr>
      <w:tr>
        <w:trPr>
          <w:trHeight w:val="295"/>
        </w:trPr>
        <w:tc>
          <w:tcPr>
            <w:tcW w:w="8440" w:type="dxa"/>
            <w:vAlign w:val="bottom"/>
            <w:gridSpan w:val="2"/>
          </w:tcPr>
          <w:p>
            <w:pPr>
              <w:ind w:left="160"/>
              <w:spacing w:after="0"/>
              <w:rPr>
                <w:sz w:val="20"/>
                <w:szCs w:val="20"/>
                <w:color w:val="auto"/>
              </w:rPr>
            </w:pPr>
            <w:r>
              <w:rPr>
                <w:rFonts w:ascii="Verdana" w:cs="Verdana" w:eastAsia="Verdana" w:hAnsi="Verdana"/>
                <w:sz w:val="17"/>
                <w:szCs w:val="17"/>
                <w:color w:val="auto"/>
              </w:rPr>
              <w:t xml:space="preserve">Признаки заболеваний щитовидной железы </w:t>
            </w:r>
            <w:r>
              <w:rPr>
                <w:rFonts w:ascii="Verdana" w:cs="Verdana" w:eastAsia="Verdana" w:hAnsi="Verdana"/>
                <w:sz w:val="17"/>
                <w:szCs w:val="17"/>
                <w:color w:val="auto"/>
              </w:rPr>
              <w:t>(</w:t>
            </w:r>
            <w:r>
              <w:rPr>
                <w:rFonts w:ascii="Verdana" w:cs="Verdana" w:eastAsia="Verdana" w:hAnsi="Verdana"/>
                <w:sz w:val="17"/>
                <w:szCs w:val="17"/>
                <w:color w:val="auto"/>
              </w:rPr>
              <w:t>синдром тиреотоксикоза</w:t>
            </w:r>
            <w:r>
              <w:rPr>
                <w:rFonts w:ascii="Verdana" w:cs="Verdana" w:eastAsia="Verdana" w:hAnsi="Verdana"/>
                <w:sz w:val="17"/>
                <w:szCs w:val="17"/>
                <w:color w:val="auto"/>
              </w:rPr>
              <w:t>):</w:t>
            </w:r>
          </w:p>
        </w:tc>
      </w:tr>
      <w:tr>
        <w:trPr>
          <w:trHeight w:val="164"/>
        </w:trPr>
        <w:tc>
          <w:tcPr>
            <w:tcW w:w="360" w:type="dxa"/>
            <w:vAlign w:val="bottom"/>
          </w:tcPr>
          <w:p>
            <w:pPr>
              <w:ind w:left="160"/>
              <w:spacing w:after="0" w:line="164" w:lineRule="exact"/>
              <w:rPr>
                <w:sz w:val="20"/>
                <w:szCs w:val="20"/>
                <w:color w:val="auto"/>
              </w:rPr>
            </w:pPr>
            <w:r>
              <w:rPr>
                <w:rFonts w:ascii="Verdana" w:cs="Verdana" w:eastAsia="Verdana" w:hAnsi="Verdana"/>
                <w:sz w:val="17"/>
                <w:szCs w:val="17"/>
                <w:color w:val="auto"/>
              </w:rPr>
              <w:t>•</w:t>
            </w:r>
          </w:p>
        </w:tc>
        <w:tc>
          <w:tcPr>
            <w:tcW w:w="8080" w:type="dxa"/>
            <w:vAlign w:val="bottom"/>
          </w:tcPr>
          <w:p>
            <w:pPr>
              <w:ind w:left="1040"/>
              <w:spacing w:after="0" w:line="164" w:lineRule="exact"/>
              <w:rPr>
                <w:sz w:val="20"/>
                <w:szCs w:val="20"/>
                <w:color w:val="auto"/>
              </w:rPr>
            </w:pPr>
            <w:r>
              <w:rPr>
                <w:rFonts w:ascii="Verdana" w:cs="Verdana" w:eastAsia="Verdana" w:hAnsi="Verdana"/>
                <w:sz w:val="17"/>
                <w:szCs w:val="17"/>
                <w:color w:val="auto"/>
              </w:rPr>
              <w:t xml:space="preserve">склонность к тахикардии </w:t>
            </w:r>
            <w:r>
              <w:rPr>
                <w:rFonts w:ascii="Verdana" w:cs="Verdana" w:eastAsia="Verdana" w:hAnsi="Verdana"/>
                <w:sz w:val="17"/>
                <w:szCs w:val="17"/>
                <w:color w:val="auto"/>
              </w:rPr>
              <w:t>(</w:t>
            </w:r>
            <w:r>
              <w:rPr>
                <w:rFonts w:ascii="Verdana" w:cs="Verdana" w:eastAsia="Verdana" w:hAnsi="Verdana"/>
                <w:sz w:val="17"/>
                <w:szCs w:val="17"/>
                <w:color w:val="auto"/>
              </w:rPr>
              <w:t xml:space="preserve">нарушения ритма в анамнезе </w:t>
            </w:r>
            <w:r>
              <w:rPr>
                <w:rFonts w:ascii="Verdana" w:cs="Verdana" w:eastAsia="Verdana" w:hAnsi="Verdana"/>
                <w:sz w:val="17"/>
                <w:szCs w:val="17"/>
                <w:color w:val="auto"/>
              </w:rPr>
              <w:t>—</w:t>
            </w:r>
            <w:r>
              <w:rPr>
                <w:rFonts w:ascii="Verdana" w:cs="Verdana" w:eastAsia="Verdana" w:hAnsi="Verdana"/>
                <w:sz w:val="17"/>
                <w:szCs w:val="17"/>
                <w:color w:val="auto"/>
              </w:rPr>
              <w:t xml:space="preserve"> фибрилляция и</w:t>
            </w:r>
          </w:p>
        </w:tc>
      </w:tr>
    </w:tbl>
    <w:p>
      <w:pPr>
        <w:jc w:val="both"/>
        <w:ind w:left="520" w:right="380"/>
        <w:spacing w:after="0" w:line="191" w:lineRule="auto"/>
        <w:rPr>
          <w:sz w:val="20"/>
          <w:szCs w:val="20"/>
          <w:color w:val="auto"/>
        </w:rPr>
      </w:pPr>
      <w:r>
        <w:rPr>
          <w:rFonts w:ascii="Verdana" w:cs="Verdana" w:eastAsia="Verdana" w:hAnsi="Verdana"/>
          <w:sz w:val="17"/>
          <w:szCs w:val="17"/>
          <w:color w:val="auto"/>
        </w:rPr>
        <w:t>трепетание предсердий</w:t>
      </w:r>
      <w:r>
        <w:rPr>
          <w:rFonts w:ascii="Verdana" w:cs="Verdana" w:eastAsia="Verdana" w:hAnsi="Verdana"/>
          <w:sz w:val="17"/>
          <w:szCs w:val="17"/>
          <w:color w:val="auto"/>
        </w:rPr>
        <w:t>,</w:t>
      </w:r>
      <w:r>
        <w:rPr>
          <w:rFonts w:ascii="Verdana" w:cs="Verdana" w:eastAsia="Verdana" w:hAnsi="Verdana"/>
          <w:sz w:val="17"/>
          <w:szCs w:val="17"/>
          <w:color w:val="auto"/>
        </w:rPr>
        <w:t xml:space="preserve"> суправентрикулярные тахикардии</w:t>
      </w:r>
      <w:r>
        <w:rPr>
          <w:rFonts w:ascii="Verdana" w:cs="Verdana" w:eastAsia="Verdana" w:hAnsi="Verdana"/>
          <w:sz w:val="17"/>
          <w:szCs w:val="17"/>
          <w:color w:val="auto"/>
        </w:rPr>
        <w:t>,</w:t>
      </w:r>
      <w:r>
        <w:rPr>
          <w:rFonts w:ascii="Verdana" w:cs="Verdana" w:eastAsia="Verdana" w:hAnsi="Verdana"/>
          <w:sz w:val="17"/>
          <w:szCs w:val="17"/>
          <w:color w:val="auto"/>
        </w:rPr>
        <w:t xml:space="preserve"> частые наджелудочковые и желудочковые экстрасистолии</w:t>
      </w:r>
      <w:r>
        <w:rPr>
          <w:rFonts w:ascii="Verdana" w:cs="Verdana" w:eastAsia="Verdana" w:hAnsi="Verdana"/>
          <w:sz w:val="17"/>
          <w:szCs w:val="17"/>
          <w:color w:val="auto"/>
        </w:rPr>
        <w:t>);</w:t>
      </w:r>
    </w:p>
    <w:p>
      <w:pPr>
        <w:spacing w:after="0" w:line="1" w:lineRule="exact"/>
        <w:rPr>
          <w:sz w:val="20"/>
          <w:szCs w:val="20"/>
          <w:color w:val="auto"/>
        </w:rPr>
      </w:pPr>
    </w:p>
    <w:p>
      <w:pPr>
        <w:ind w:left="520"/>
        <w:spacing w:after="0"/>
        <w:tabs>
          <w:tab w:leader="none" w:pos="124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плохая переносимость тепла</w:t>
      </w:r>
      <w:r>
        <w:rPr>
          <w:rFonts w:ascii="Verdana" w:cs="Verdana" w:eastAsia="Verdana" w:hAnsi="Verdana"/>
          <w:sz w:val="17"/>
          <w:szCs w:val="17"/>
          <w:color w:val="auto"/>
        </w:rPr>
        <w:t>;</w:t>
      </w:r>
    </w:p>
    <w:p>
      <w:pPr>
        <w:spacing w:after="0" w:line="58" w:lineRule="exact"/>
        <w:rPr>
          <w:sz w:val="20"/>
          <w:szCs w:val="20"/>
          <w:color w:val="auto"/>
        </w:rPr>
      </w:pPr>
    </w:p>
    <w:p>
      <w:pPr>
        <w:ind w:left="1180"/>
        <w:spacing w:after="0"/>
        <w:rPr>
          <w:sz w:val="20"/>
          <w:szCs w:val="20"/>
          <w:color w:val="auto"/>
        </w:rPr>
      </w:pPr>
      <w:r>
        <w:rPr>
          <w:rFonts w:ascii="Verdana" w:cs="Verdana" w:eastAsia="Verdana" w:hAnsi="Verdana"/>
          <w:sz w:val="17"/>
          <w:szCs w:val="17"/>
          <w:color w:val="auto"/>
        </w:rPr>
        <w:t>потливость</w:t>
      </w:r>
      <w:r>
        <w:rPr>
          <w:rFonts w:ascii="Verdana" w:cs="Verdana" w:eastAsia="Verdana" w:hAnsi="Verdana"/>
          <w:sz w:val="17"/>
          <w:szCs w:val="17"/>
          <w:color w:val="auto"/>
        </w:rPr>
        <w:t>,</w:t>
      </w:r>
      <w:r>
        <w:rPr>
          <w:rFonts w:ascii="Verdana" w:cs="Verdana" w:eastAsia="Verdana" w:hAnsi="Verdana"/>
          <w:sz w:val="17"/>
          <w:szCs w:val="17"/>
          <w:color w:val="auto"/>
        </w:rPr>
        <w:t xml:space="preserve"> кожа влажная</w:t>
      </w:r>
      <w:r>
        <w:rPr>
          <w:rFonts w:ascii="Verdana" w:cs="Verdana" w:eastAsia="Verdana" w:hAnsi="Verdana"/>
          <w:sz w:val="17"/>
          <w:szCs w:val="17"/>
          <w:color w:val="auto"/>
        </w:rPr>
        <w:t>,</w:t>
      </w:r>
      <w:r>
        <w:rPr>
          <w:rFonts w:ascii="Verdana" w:cs="Verdana" w:eastAsia="Verdana" w:hAnsi="Verdana"/>
          <w:sz w:val="17"/>
          <w:szCs w:val="17"/>
          <w:color w:val="auto"/>
        </w:rPr>
        <w:t xml:space="preserve"> горячая</w:t>
      </w:r>
    </w:p>
    <w:p>
      <w:pPr>
        <w:spacing w:after="0" w:line="184" w:lineRule="exact"/>
        <w:rPr>
          <w:sz w:val="20"/>
          <w:szCs w:val="20"/>
          <w:color w:val="auto"/>
        </w:rPr>
      </w:pPr>
    </w:p>
    <w:p>
      <w:pPr>
        <w:ind w:left="1180"/>
        <w:spacing w:after="0"/>
        <w:rPr>
          <w:sz w:val="20"/>
          <w:szCs w:val="20"/>
          <w:color w:val="auto"/>
        </w:rPr>
      </w:pPr>
      <w:r>
        <w:rPr>
          <w:rFonts w:ascii="Verdana" w:cs="Verdana" w:eastAsia="Verdana" w:hAnsi="Verdana"/>
          <w:sz w:val="17"/>
          <w:szCs w:val="17"/>
          <w:color w:val="auto"/>
        </w:rPr>
        <w:t>потеря массы тела</w:t>
      </w:r>
    </w:p>
    <w:p>
      <w:pPr>
        <w:spacing w:after="0" w:line="43" w:lineRule="exact"/>
        <w:rPr>
          <w:sz w:val="20"/>
          <w:szCs w:val="20"/>
          <w:color w:val="auto"/>
        </w:rPr>
      </w:pPr>
    </w:p>
    <w:p>
      <w:pPr>
        <w:ind w:left="1260" w:hanging="734"/>
        <w:spacing w:after="0"/>
        <w:tabs>
          <w:tab w:leader="none" w:pos="1260" w:val="left"/>
        </w:tabs>
        <w:numPr>
          <w:ilvl w:val="0"/>
          <w:numId w:val="102"/>
        </w:numPr>
        <w:rPr>
          <w:rFonts w:ascii="Verdana" w:cs="Verdana" w:eastAsia="Verdana" w:hAnsi="Verdana"/>
          <w:sz w:val="17"/>
          <w:szCs w:val="17"/>
          <w:color w:val="auto"/>
        </w:rPr>
      </w:pPr>
      <w:r>
        <w:rPr>
          <w:rFonts w:ascii="Verdana" w:cs="Verdana" w:eastAsia="Verdana" w:hAnsi="Verdana"/>
          <w:sz w:val="17"/>
          <w:szCs w:val="17"/>
          <w:color w:val="auto"/>
        </w:rPr>
        <w:t>диарея</w:t>
      </w:r>
      <w:r>
        <w:rPr>
          <w:rFonts w:ascii="Verdana" w:cs="Verdana" w:eastAsia="Verdana" w:hAnsi="Verdana"/>
          <w:sz w:val="17"/>
          <w:szCs w:val="17"/>
          <w:color w:val="auto"/>
        </w:rPr>
        <w:t>;</w:t>
      </w:r>
    </w:p>
    <w:p>
      <w:pPr>
        <w:ind w:left="520" w:right="380" w:firstLine="6"/>
        <w:spacing w:after="0" w:line="220" w:lineRule="auto"/>
        <w:tabs>
          <w:tab w:leader="none" w:pos="1405" w:val="left"/>
        </w:tabs>
        <w:numPr>
          <w:ilvl w:val="0"/>
          <w:numId w:val="102"/>
        </w:numPr>
        <w:rPr>
          <w:rFonts w:ascii="Verdana" w:cs="Verdana" w:eastAsia="Verdana" w:hAnsi="Verdana"/>
          <w:sz w:val="17"/>
          <w:szCs w:val="17"/>
          <w:color w:val="auto"/>
        </w:rPr>
      </w:pPr>
      <w:r>
        <w:rPr>
          <w:rFonts w:ascii="Verdana" w:cs="Verdana" w:eastAsia="Verdana" w:hAnsi="Verdana"/>
          <w:sz w:val="17"/>
          <w:szCs w:val="17"/>
          <w:color w:val="auto"/>
        </w:rPr>
        <w:t xml:space="preserve">нарушения менструальной функции у женщин </w:t>
      </w:r>
      <w:r>
        <w:rPr>
          <w:rFonts w:ascii="Verdana" w:cs="Verdana" w:eastAsia="Verdana" w:hAnsi="Verdana"/>
          <w:sz w:val="17"/>
          <w:szCs w:val="17"/>
          <w:color w:val="auto"/>
        </w:rPr>
        <w:t>(</w:t>
      </w:r>
      <w:r>
        <w:rPr>
          <w:rFonts w:ascii="Verdana" w:cs="Verdana" w:eastAsia="Verdana" w:hAnsi="Verdana"/>
          <w:sz w:val="17"/>
          <w:szCs w:val="17"/>
          <w:color w:val="auto"/>
        </w:rPr>
        <w:t>по типу олиго</w:t>
      </w:r>
      <w:r>
        <w:rPr>
          <w:rFonts w:ascii="Verdana" w:cs="Verdana" w:eastAsia="Verdana" w:hAnsi="Verdana"/>
          <w:sz w:val="17"/>
          <w:szCs w:val="17"/>
          <w:color w:val="auto"/>
        </w:rPr>
        <w:t>-,</w:t>
      </w:r>
      <w:r>
        <w:rPr>
          <w:rFonts w:ascii="Verdana" w:cs="Verdana" w:eastAsia="Verdana" w:hAnsi="Verdana"/>
          <w:sz w:val="17"/>
          <w:szCs w:val="17"/>
          <w:color w:val="auto"/>
        </w:rPr>
        <w:t xml:space="preserve"> опсо</w:t>
      </w:r>
      <w:r>
        <w:rPr>
          <w:rFonts w:ascii="Verdana" w:cs="Verdana" w:eastAsia="Verdana" w:hAnsi="Verdana"/>
          <w:sz w:val="17"/>
          <w:szCs w:val="17"/>
          <w:color w:val="auto"/>
        </w:rPr>
        <w:t>-,</w:t>
      </w:r>
      <w:r>
        <w:rPr>
          <w:rFonts w:ascii="Verdana" w:cs="Verdana" w:eastAsia="Verdana" w:hAnsi="Verdana"/>
          <w:sz w:val="17"/>
          <w:szCs w:val="17"/>
          <w:color w:val="auto"/>
        </w:rPr>
        <w:t xml:space="preserve"> аменореи</w:t>
      </w:r>
      <w:r>
        <w:rPr>
          <w:rFonts w:ascii="Verdana" w:cs="Verdana" w:eastAsia="Verdana" w:hAnsi="Verdana"/>
          <w:sz w:val="17"/>
          <w:szCs w:val="17"/>
          <w:color w:val="auto"/>
        </w:rPr>
        <w:t>),</w:t>
      </w:r>
      <w:r>
        <w:rPr>
          <w:rFonts w:ascii="Verdana" w:cs="Verdana" w:eastAsia="Verdana" w:hAnsi="Verdana"/>
          <w:sz w:val="17"/>
          <w:szCs w:val="17"/>
          <w:color w:val="auto"/>
        </w:rPr>
        <w:t xml:space="preserve"> анамнез бесплодия</w:t>
      </w:r>
      <w:r>
        <w:rPr>
          <w:rFonts w:ascii="Verdana" w:cs="Verdana" w:eastAsia="Verdana" w:hAnsi="Verdana"/>
          <w:sz w:val="17"/>
          <w:szCs w:val="17"/>
          <w:color w:val="auto"/>
        </w:rPr>
        <w:t>,</w:t>
      </w:r>
      <w:r>
        <w:rPr>
          <w:rFonts w:ascii="Verdana" w:cs="Verdana" w:eastAsia="Verdana" w:hAnsi="Verdana"/>
          <w:sz w:val="17"/>
          <w:szCs w:val="17"/>
          <w:color w:val="auto"/>
        </w:rPr>
        <w:t xml:space="preserve"> невынашивания беременности</w:t>
      </w:r>
      <w:r>
        <w:rPr>
          <w:rFonts w:ascii="Verdana" w:cs="Verdana" w:eastAsia="Verdana" w:hAnsi="Verdana"/>
          <w:sz w:val="17"/>
          <w:szCs w:val="17"/>
          <w:color w:val="auto"/>
        </w:rPr>
        <w:t>);</w:t>
      </w:r>
    </w:p>
    <w:p>
      <w:pPr>
        <w:spacing w:after="0" w:line="50" w:lineRule="exact"/>
        <w:rPr>
          <w:sz w:val="20"/>
          <w:szCs w:val="20"/>
          <w:color w:val="auto"/>
        </w:rPr>
      </w:pPr>
    </w:p>
    <w:p>
      <w:pPr>
        <w:jc w:val="both"/>
        <w:ind w:left="840" w:right="380" w:firstLine="613"/>
        <w:spacing w:after="0" w:line="513" w:lineRule="auto"/>
        <w:rPr>
          <w:sz w:val="20"/>
          <w:szCs w:val="20"/>
          <w:color w:val="auto"/>
        </w:rPr>
      </w:pPr>
      <w:r>
        <w:rPr>
          <w:rFonts w:ascii="Verdana" w:cs="Verdana" w:eastAsia="Verdana" w:hAnsi="Verdana"/>
          <w:sz w:val="15"/>
          <w:szCs w:val="15"/>
          <w:color w:val="auto"/>
        </w:rPr>
        <w:t>глазные симптомы</w:t>
      </w:r>
      <w:r>
        <w:rPr>
          <w:rFonts w:ascii="Verdana" w:cs="Verdana" w:eastAsia="Verdana" w:hAnsi="Verdana"/>
          <w:sz w:val="15"/>
          <w:szCs w:val="15"/>
          <w:color w:val="auto"/>
        </w:rPr>
        <w:t>:</w:t>
      </w:r>
      <w:r>
        <w:rPr>
          <w:rFonts w:ascii="Verdana" w:cs="Verdana" w:eastAsia="Verdana" w:hAnsi="Verdana"/>
          <w:sz w:val="15"/>
          <w:szCs w:val="15"/>
          <w:color w:val="auto"/>
        </w:rPr>
        <w:t xml:space="preserve"> Грефе </w:t>
      </w:r>
      <w:r>
        <w:rPr>
          <w:rFonts w:ascii="Verdana" w:cs="Verdana" w:eastAsia="Verdana" w:hAnsi="Verdana"/>
          <w:sz w:val="15"/>
          <w:szCs w:val="15"/>
          <w:color w:val="auto"/>
        </w:rPr>
        <w:t>—</w:t>
      </w:r>
      <w:r>
        <w:rPr>
          <w:rFonts w:ascii="Verdana" w:cs="Verdana" w:eastAsia="Verdana" w:hAnsi="Verdana"/>
          <w:sz w:val="15"/>
          <w:szCs w:val="15"/>
          <w:color w:val="auto"/>
        </w:rPr>
        <w:t xml:space="preserve"> отставание верхнего века от края роговицы при движении глазного яблока вниз</w:t>
      </w:r>
      <w:r>
        <w:rPr>
          <w:rFonts w:ascii="Verdana" w:cs="Verdana" w:eastAsia="Verdana" w:hAnsi="Verdana"/>
          <w:sz w:val="15"/>
          <w:szCs w:val="15"/>
          <w:color w:val="auto"/>
        </w:rPr>
        <w:t>.</w:t>
      </w:r>
      <w:r>
        <w:rPr>
          <w:rFonts w:ascii="Verdana" w:cs="Verdana" w:eastAsia="Verdana" w:hAnsi="Verdana"/>
          <w:sz w:val="15"/>
          <w:szCs w:val="15"/>
          <w:color w:val="auto"/>
        </w:rPr>
        <w:t xml:space="preserve"> Кохера </w:t>
      </w:r>
      <w:r>
        <w:rPr>
          <w:rFonts w:ascii="Verdana" w:cs="Verdana" w:eastAsia="Verdana" w:hAnsi="Verdana"/>
          <w:sz w:val="15"/>
          <w:szCs w:val="15"/>
          <w:color w:val="auto"/>
        </w:rPr>
        <w:t>—</w:t>
      </w:r>
      <w:r>
        <w:rPr>
          <w:rFonts w:ascii="Verdana" w:cs="Verdana" w:eastAsia="Verdana" w:hAnsi="Verdana"/>
          <w:sz w:val="15"/>
          <w:szCs w:val="15"/>
          <w:color w:val="auto"/>
        </w:rPr>
        <w:t xml:space="preserve"> отставание движения глазного яблока от такового верхнего века при взгляде вверх</w:t>
      </w:r>
      <w:r>
        <w:rPr>
          <w:rFonts w:ascii="Verdana" w:cs="Verdana" w:eastAsia="Verdana" w:hAnsi="Verdana"/>
          <w:sz w:val="15"/>
          <w:szCs w:val="15"/>
          <w:color w:val="auto"/>
        </w:rPr>
        <w:t>,</w:t>
      </w:r>
      <w:r>
        <w:rPr>
          <w:rFonts w:ascii="Verdana" w:cs="Verdana" w:eastAsia="Verdana" w:hAnsi="Verdana"/>
          <w:sz w:val="15"/>
          <w:szCs w:val="15"/>
          <w:color w:val="auto"/>
        </w:rPr>
        <w:t xml:space="preserve"> в связи с чем обнаруживается участок склеры между верхним веком и радужкой</w:t>
      </w:r>
      <w:r>
        <w:rPr>
          <w:rFonts w:ascii="Verdana" w:cs="Verdana" w:eastAsia="Verdana" w:hAnsi="Verdana"/>
          <w:sz w:val="15"/>
          <w:szCs w:val="15"/>
          <w:color w:val="auto"/>
        </w:rPr>
        <w:t>.</w:t>
      </w:r>
      <w:r>
        <w:rPr>
          <w:rFonts w:ascii="Verdana" w:cs="Verdana" w:eastAsia="Verdana" w:hAnsi="Verdana"/>
          <w:sz w:val="15"/>
          <w:szCs w:val="15"/>
          <w:color w:val="auto"/>
        </w:rPr>
        <w:t xml:space="preserve"> Краузе </w:t>
      </w:r>
      <w:r>
        <w:rPr>
          <w:rFonts w:ascii="Verdana" w:cs="Verdana" w:eastAsia="Verdana" w:hAnsi="Verdana"/>
          <w:sz w:val="15"/>
          <w:szCs w:val="15"/>
          <w:color w:val="auto"/>
        </w:rPr>
        <w:t>—</w:t>
      </w:r>
      <w:r>
        <w:rPr>
          <w:rFonts w:ascii="Verdana" w:cs="Verdana" w:eastAsia="Verdana" w:hAnsi="Verdana"/>
          <w:sz w:val="15"/>
          <w:szCs w:val="15"/>
          <w:color w:val="auto"/>
        </w:rPr>
        <w:t xml:space="preserve"> усиленный блеск глаз</w:t>
      </w:r>
      <w:r>
        <w:rPr>
          <w:rFonts w:ascii="Verdana" w:cs="Verdana" w:eastAsia="Verdana" w:hAnsi="Verdana"/>
          <w:sz w:val="15"/>
          <w:szCs w:val="15"/>
          <w:color w:val="auto"/>
        </w:rPr>
        <w:t>.</w:t>
      </w:r>
      <w:r>
        <w:rPr>
          <w:rFonts w:ascii="Verdana" w:cs="Verdana" w:eastAsia="Verdana" w:hAnsi="Verdana"/>
          <w:sz w:val="15"/>
          <w:szCs w:val="15"/>
          <w:color w:val="auto"/>
        </w:rPr>
        <w:t xml:space="preserve"> Дальримпля</w:t>
      </w:r>
    </w:p>
    <w:p>
      <w:pPr>
        <w:spacing w:after="0" w:line="2" w:lineRule="exact"/>
        <w:rPr>
          <w:sz w:val="20"/>
          <w:szCs w:val="20"/>
          <w:color w:val="auto"/>
        </w:rPr>
      </w:pPr>
    </w:p>
    <w:p>
      <w:pPr>
        <w:jc w:val="both"/>
        <w:ind w:left="840" w:right="380"/>
        <w:spacing w:after="0" w:line="453"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широкое раскрытие глазных щелей</w:t>
      </w:r>
      <w:r>
        <w:rPr>
          <w:rFonts w:ascii="Verdana" w:cs="Verdana" w:eastAsia="Verdana" w:hAnsi="Verdana"/>
          <w:sz w:val="17"/>
          <w:szCs w:val="17"/>
          <w:color w:val="auto"/>
        </w:rPr>
        <w:t xml:space="preserve"> — «</w:t>
      </w:r>
      <w:r>
        <w:rPr>
          <w:rFonts w:ascii="Verdana" w:cs="Verdana" w:eastAsia="Verdana" w:hAnsi="Verdana"/>
          <w:sz w:val="17"/>
          <w:szCs w:val="17"/>
          <w:color w:val="auto"/>
        </w:rPr>
        <w:t>удивленный взгляд</w:t>
      </w:r>
      <w:r>
        <w:rPr>
          <w:rFonts w:ascii="Verdana" w:cs="Verdana" w:eastAsia="Verdana" w:hAnsi="Verdana"/>
          <w:sz w:val="17"/>
          <w:szCs w:val="17"/>
          <w:color w:val="auto"/>
        </w:rPr>
        <w:t xml:space="preserve">». </w:t>
      </w:r>
      <w:r>
        <w:rPr>
          <w:rFonts w:ascii="Verdana" w:cs="Verdana" w:eastAsia="Verdana" w:hAnsi="Verdana"/>
          <w:sz w:val="17"/>
          <w:szCs w:val="17"/>
          <w:color w:val="auto"/>
        </w:rPr>
        <w:t>Розенбаха</w:t>
      </w:r>
      <w:r>
        <w:rPr>
          <w:rFonts w:ascii="Verdana" w:cs="Verdana" w:eastAsia="Verdana" w:hAnsi="Verdana"/>
          <w:sz w:val="17"/>
          <w:szCs w:val="17"/>
          <w:color w:val="auto"/>
        </w:rPr>
        <w:t xml:space="preserve"> — </w:t>
      </w:r>
      <w:r>
        <w:rPr>
          <w:rFonts w:ascii="Verdana" w:cs="Verdana" w:eastAsia="Verdana" w:hAnsi="Verdana"/>
          <w:sz w:val="17"/>
          <w:szCs w:val="17"/>
          <w:color w:val="auto"/>
        </w:rPr>
        <w:t>мелкое и</w:t>
      </w:r>
      <w:r>
        <w:rPr>
          <w:rFonts w:ascii="Verdana" w:cs="Verdana" w:eastAsia="Verdana" w:hAnsi="Verdana"/>
          <w:sz w:val="17"/>
          <w:szCs w:val="17"/>
          <w:color w:val="auto"/>
        </w:rPr>
        <w:t xml:space="preserve"> </w:t>
      </w:r>
      <w:r>
        <w:rPr>
          <w:rFonts w:ascii="Verdana" w:cs="Verdana" w:eastAsia="Verdana" w:hAnsi="Verdana"/>
          <w:sz w:val="17"/>
          <w:szCs w:val="17"/>
          <w:color w:val="auto"/>
        </w:rPr>
        <w:t>быстрое дрожание опущенных или слегка сомкнутых век</w:t>
      </w:r>
      <w:r>
        <w:rPr>
          <w:rFonts w:ascii="Verdana" w:cs="Verdana" w:eastAsia="Verdana" w:hAnsi="Verdana"/>
          <w:sz w:val="17"/>
          <w:szCs w:val="17"/>
          <w:color w:val="auto"/>
        </w:rPr>
        <w:t>.</w:t>
      </w:r>
      <w:r>
        <w:rPr>
          <w:rFonts w:ascii="Verdana" w:cs="Verdana" w:eastAsia="Verdana" w:hAnsi="Verdana"/>
          <w:sz w:val="17"/>
          <w:szCs w:val="17"/>
          <w:color w:val="auto"/>
        </w:rPr>
        <w:t xml:space="preserve"> Штельвага </w:t>
      </w:r>
      <w:r>
        <w:rPr>
          <w:rFonts w:ascii="Verdana" w:cs="Verdana" w:eastAsia="Verdana" w:hAnsi="Verdana"/>
          <w:sz w:val="17"/>
          <w:szCs w:val="17"/>
          <w:color w:val="auto"/>
        </w:rPr>
        <w:t>—</w:t>
      </w:r>
      <w:r>
        <w:rPr>
          <w:rFonts w:ascii="Verdana" w:cs="Verdana" w:eastAsia="Verdana" w:hAnsi="Verdana"/>
          <w:sz w:val="17"/>
          <w:szCs w:val="17"/>
          <w:color w:val="auto"/>
        </w:rPr>
        <w:t xml:space="preserve"> редкие и неполные мигательные движения всочетании с ретракцией верхнего века</w:t>
      </w:r>
      <w:r>
        <w:rPr>
          <w:rFonts w:ascii="Verdana" w:cs="Verdana" w:eastAsia="Verdana" w:hAnsi="Verdana"/>
          <w:sz w:val="17"/>
          <w:szCs w:val="17"/>
          <w:color w:val="auto"/>
        </w:rPr>
        <w:t>.</w:t>
      </w:r>
      <w:r>
        <w:rPr>
          <w:rFonts w:ascii="Verdana" w:cs="Verdana" w:eastAsia="Verdana" w:hAnsi="Verdana"/>
          <w:sz w:val="17"/>
          <w:szCs w:val="17"/>
          <w:color w:val="auto"/>
        </w:rPr>
        <w:t xml:space="preserve"> Мебиуса </w:t>
      </w:r>
      <w:r>
        <w:rPr>
          <w:rFonts w:ascii="Verdana" w:cs="Verdana" w:eastAsia="Verdana" w:hAnsi="Verdana"/>
          <w:sz w:val="17"/>
          <w:szCs w:val="17"/>
          <w:color w:val="auto"/>
        </w:rPr>
        <w:t>—</w:t>
      </w:r>
    </w:p>
    <w:p>
      <w:pPr>
        <w:spacing w:after="0" w:line="1" w:lineRule="exact"/>
        <w:rPr>
          <w:sz w:val="20"/>
          <w:szCs w:val="20"/>
          <w:color w:val="auto"/>
        </w:rPr>
      </w:pPr>
    </w:p>
    <w:p>
      <w:pPr>
        <w:ind w:left="840" w:right="380"/>
        <w:spacing w:after="0" w:line="453" w:lineRule="auto"/>
        <w:rPr>
          <w:sz w:val="20"/>
          <w:szCs w:val="20"/>
          <w:color w:val="auto"/>
        </w:rPr>
      </w:pPr>
      <w:r>
        <w:rPr>
          <w:rFonts w:ascii="Verdana" w:cs="Verdana" w:eastAsia="Verdana" w:hAnsi="Verdana"/>
          <w:sz w:val="17"/>
          <w:szCs w:val="17"/>
          <w:color w:val="auto"/>
        </w:rPr>
        <w:t>нарушение конвергенции</w:t>
      </w:r>
      <w:r>
        <w:rPr>
          <w:rFonts w:ascii="Verdana" w:cs="Verdana" w:eastAsia="Verdana" w:hAnsi="Verdana"/>
          <w:sz w:val="17"/>
          <w:szCs w:val="17"/>
          <w:color w:val="auto"/>
        </w:rPr>
        <w:t>.</w:t>
      </w:r>
      <w:r>
        <w:rPr>
          <w:rFonts w:ascii="Verdana" w:cs="Verdana" w:eastAsia="Verdana" w:hAnsi="Verdana"/>
          <w:sz w:val="17"/>
          <w:szCs w:val="17"/>
          <w:color w:val="auto"/>
        </w:rPr>
        <w:t xml:space="preserve"> Меланодермия в области век </w:t>
      </w:r>
      <w:r>
        <w:rPr>
          <w:rFonts w:ascii="Verdana" w:cs="Verdana" w:eastAsia="Verdana" w:hAnsi="Verdana"/>
          <w:sz w:val="17"/>
          <w:szCs w:val="17"/>
          <w:color w:val="auto"/>
        </w:rPr>
        <w:t>(</w:t>
      </w:r>
      <w:r>
        <w:rPr>
          <w:rFonts w:ascii="Verdana" w:cs="Verdana" w:eastAsia="Verdana" w:hAnsi="Verdana"/>
          <w:sz w:val="17"/>
          <w:szCs w:val="17"/>
          <w:color w:val="auto"/>
        </w:rPr>
        <w:t>симптом Еллинека</w:t>
      </w:r>
      <w:r>
        <w:rPr>
          <w:rFonts w:ascii="Verdana" w:cs="Verdana" w:eastAsia="Verdana" w:hAnsi="Verdana"/>
          <w:sz w:val="17"/>
          <w:szCs w:val="17"/>
          <w:color w:val="auto"/>
        </w:rPr>
        <w:t>)</w:t>
      </w:r>
      <w:r>
        <w:rPr>
          <w:rFonts w:ascii="Verdana" w:cs="Verdana" w:eastAsia="Verdana" w:hAnsi="Verdana"/>
          <w:sz w:val="17"/>
          <w:szCs w:val="17"/>
          <w:color w:val="auto"/>
        </w:rPr>
        <w:t xml:space="preserve"> эндокринная офтальмопатия </w:t>
      </w:r>
      <w:r>
        <w:rPr>
          <w:rFonts w:ascii="Verdana" w:cs="Verdana" w:eastAsia="Verdana" w:hAnsi="Verdana"/>
          <w:sz w:val="17"/>
          <w:szCs w:val="17"/>
          <w:color w:val="auto"/>
        </w:rPr>
        <w:t>—</w:t>
      </w:r>
      <w:r>
        <w:rPr>
          <w:rFonts w:ascii="Verdana" w:cs="Verdana" w:eastAsia="Verdana" w:hAnsi="Verdana"/>
          <w:sz w:val="17"/>
          <w:szCs w:val="17"/>
          <w:color w:val="auto"/>
        </w:rPr>
        <w:t xml:space="preserve"> выраженный экзофтальм</w:t>
      </w:r>
      <w:r>
        <w:rPr>
          <w:rFonts w:ascii="Verdana" w:cs="Verdana" w:eastAsia="Verdana" w:hAnsi="Verdana"/>
          <w:sz w:val="17"/>
          <w:szCs w:val="17"/>
          <w:color w:val="auto"/>
        </w:rPr>
        <w:t>,</w:t>
      </w:r>
      <w:r>
        <w:rPr>
          <w:rFonts w:ascii="Verdana" w:cs="Verdana" w:eastAsia="Verdana" w:hAnsi="Verdana"/>
          <w:sz w:val="17"/>
          <w:szCs w:val="17"/>
          <w:color w:val="auto"/>
        </w:rPr>
        <w:t xml:space="preserve"> нередко имеющий несимметричный характер</w:t>
      </w:r>
      <w:r>
        <w:rPr>
          <w:rFonts w:ascii="Verdana" w:cs="Verdana" w:eastAsia="Verdana" w:hAnsi="Verdana"/>
          <w:sz w:val="17"/>
          <w:szCs w:val="17"/>
          <w:color w:val="auto"/>
        </w:rPr>
        <w:t>,</w:t>
      </w:r>
      <w:r>
        <w:rPr>
          <w:rFonts w:ascii="Verdana" w:cs="Verdana" w:eastAsia="Verdana" w:hAnsi="Verdana"/>
          <w:sz w:val="17"/>
          <w:szCs w:val="17"/>
          <w:color w:val="auto"/>
        </w:rPr>
        <w:t xml:space="preserve"> диплопия при взгляде в одну из сторон или вверх</w:t>
      </w:r>
      <w:r>
        <w:rPr>
          <w:rFonts w:ascii="Verdana" w:cs="Verdana" w:eastAsia="Verdana" w:hAnsi="Verdana"/>
          <w:sz w:val="17"/>
          <w:szCs w:val="17"/>
          <w:color w:val="auto"/>
        </w:rPr>
        <w:t>,</w:t>
      </w:r>
      <w:r>
        <w:rPr>
          <w:rFonts w:ascii="Verdana" w:cs="Verdana" w:eastAsia="Verdana" w:hAnsi="Verdana"/>
          <w:sz w:val="17"/>
          <w:szCs w:val="17"/>
          <w:color w:val="auto"/>
        </w:rPr>
        <w:t xml:space="preserve"> слезотечение</w:t>
      </w:r>
      <w:r>
        <w:rPr>
          <w:rFonts w:ascii="Verdana" w:cs="Verdana" w:eastAsia="Verdana" w:hAnsi="Verdana"/>
          <w:sz w:val="17"/>
          <w:szCs w:val="17"/>
          <w:color w:val="auto"/>
        </w:rPr>
        <w:t>,</w:t>
      </w:r>
      <w:r>
        <w:rPr>
          <w:rFonts w:ascii="Verdana" w:cs="Verdana" w:eastAsia="Verdana" w:hAnsi="Verdana"/>
          <w:sz w:val="17"/>
          <w:szCs w:val="17"/>
          <w:color w:val="auto"/>
        </w:rPr>
        <w:t xml:space="preserve"> ощущение песка в глазах</w:t>
      </w:r>
      <w:r>
        <w:rPr>
          <w:rFonts w:ascii="Verdana" w:cs="Verdana" w:eastAsia="Verdana" w:hAnsi="Verdana"/>
          <w:sz w:val="17"/>
          <w:szCs w:val="17"/>
          <w:color w:val="auto"/>
        </w:rPr>
        <w:t>,</w:t>
      </w:r>
      <w:r>
        <w:rPr>
          <w:rFonts w:ascii="Verdana" w:cs="Verdana" w:eastAsia="Verdana" w:hAnsi="Verdana"/>
          <w:sz w:val="17"/>
          <w:szCs w:val="17"/>
          <w:color w:val="auto"/>
        </w:rPr>
        <w:t xml:space="preserve"> отечность век</w:t>
      </w:r>
      <w:r>
        <w:rPr>
          <w:rFonts w:ascii="Verdana" w:cs="Verdana" w:eastAsia="Verdana" w:hAnsi="Verdana"/>
          <w:sz w:val="17"/>
          <w:szCs w:val="17"/>
          <w:color w:val="auto"/>
        </w:rPr>
        <w:t>.</w:t>
      </w:r>
    </w:p>
    <w:p>
      <w:pPr>
        <w:spacing w:after="0" w:line="1"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тремор пальцев вытянутых рук</w:t>
      </w:r>
      <w:r>
        <w:rPr>
          <w:rFonts w:ascii="Verdana" w:cs="Verdana" w:eastAsia="Verdana" w:hAnsi="Verdana"/>
          <w:sz w:val="17"/>
          <w:szCs w:val="17"/>
          <w:color w:val="auto"/>
        </w:rPr>
        <w:t>,</w:t>
      </w:r>
      <w:r>
        <w:rPr>
          <w:rFonts w:ascii="Verdana" w:cs="Verdana" w:eastAsia="Verdana" w:hAnsi="Verdana"/>
          <w:sz w:val="17"/>
          <w:szCs w:val="17"/>
          <w:color w:val="auto"/>
        </w:rPr>
        <w:t xml:space="preserve"> иногда всего тела </w:t>
      </w:r>
      <w:r>
        <w:rPr>
          <w:rFonts w:ascii="Verdana" w:cs="Verdana" w:eastAsia="Verdana" w:hAnsi="Verdana"/>
          <w:sz w:val="17"/>
          <w:szCs w:val="17"/>
          <w:color w:val="auto"/>
        </w:rPr>
        <w:t>(</w:t>
      </w:r>
      <w:r>
        <w:rPr>
          <w:rFonts w:ascii="Verdana" w:cs="Verdana" w:eastAsia="Verdana" w:hAnsi="Verdana"/>
          <w:sz w:val="17"/>
          <w:szCs w:val="17"/>
          <w:color w:val="auto"/>
        </w:rPr>
        <w:t>симптом телеграфного столба</w:t>
      </w:r>
      <w:r>
        <w:rPr>
          <w:rFonts w:ascii="Verdana" w:cs="Verdana" w:eastAsia="Verdana" w:hAnsi="Verdana"/>
          <w:sz w:val="17"/>
          <w:szCs w:val="17"/>
          <w:color w:val="auto"/>
        </w:rPr>
        <w:t>).</w:t>
      </w:r>
    </w:p>
    <w:p>
      <w:pPr>
        <w:spacing w:after="0" w:line="20" w:lineRule="exact"/>
        <w:rPr>
          <w:sz w:val="20"/>
          <w:szCs w:val="20"/>
          <w:color w:val="auto"/>
        </w:rPr>
      </w:pPr>
    </w:p>
    <w:p>
      <w:pPr>
        <w:sectPr>
          <w:pgSz w:w="11900" w:h="16840" w:orient="portrait"/>
          <w:cols w:equalWidth="0" w:num="1">
            <w:col w:w="9020"/>
          </w:cols>
          <w:pgMar w:left="1440" w:top="143" w:right="1440" w:bottom="0" w:gutter="0" w:footer="0" w:header="0"/>
        </w:sectPr>
      </w:pPr>
    </w:p>
    <w:bookmarkStart w:id="138" w:name="page139"/>
    <w:bookmarkEnd w:id="138"/>
    <w:p>
      <w:pPr>
        <w:ind w:left="520"/>
        <w:spacing w:after="0"/>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1305560"/>
            <wp:wrapNone/>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64">
                      <a:extLst>
                        <a:ext uri="{28A0092B-C50C-407E-A947-70E740481C1C}"/>
                      </a:extLst>
                    </a:blip>
                    <a:srcRect/>
                    <a:stretch>
                      <a:fillRect/>
                    </a:stretch>
                  </pic:blipFill>
                  <pic:spPr bwMode="auto">
                    <a:xfrm>
                      <a:off x="0" y="0"/>
                      <a:ext cx="5365115" cy="1305560"/>
                    </a:xfrm>
                    <a:prstGeom prst="rect">
                      <a:avLst/>
                    </a:prstGeom>
                    <a:noFill/>
                  </pic:spPr>
                </pic:pic>
              </a:graphicData>
            </a:graphic>
          </wp:anchor>
        </w:drawing>
        <w:t>Признаки гиперпаратиреоза</w:t>
      </w:r>
      <w:r>
        <w:rPr>
          <w:rFonts w:ascii="Verdana" w:cs="Verdana" w:eastAsia="Verdana" w:hAnsi="Verdana"/>
          <w:sz w:val="17"/>
          <w:szCs w:val="17"/>
          <w:color w:val="auto"/>
        </w:rPr>
        <w:t>:</w:t>
      </w:r>
    </w:p>
    <w:p>
      <w:pPr>
        <w:spacing w:after="0" w:line="6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нефролитиаз</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вторичный остеопороз</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мышечная слабость</w:t>
      </w:r>
      <w:r>
        <w:rPr>
          <w:rFonts w:ascii="Verdana" w:cs="Verdana" w:eastAsia="Verdana" w:hAnsi="Verdana"/>
          <w:sz w:val="17"/>
          <w:szCs w:val="17"/>
          <w:color w:val="auto"/>
        </w:rPr>
        <w:t>,</w:t>
      </w:r>
    </w:p>
    <w:p>
      <w:pPr>
        <w:spacing w:after="0" w:line="18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боли в мышцах</w:t>
      </w:r>
      <w:r>
        <w:rPr>
          <w:rFonts w:ascii="Verdana" w:cs="Verdana" w:eastAsia="Verdana" w:hAnsi="Verdana"/>
          <w:sz w:val="17"/>
          <w:szCs w:val="17"/>
          <w:color w:val="auto"/>
        </w:rPr>
        <w:t>.</w:t>
      </w:r>
    </w:p>
    <w:p>
      <w:pPr>
        <w:spacing w:after="0" w:line="285"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4/</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w:t>
      </w:r>
      <w:r>
        <w:rPr>
          <w:rFonts w:ascii="Arial" w:cs="Arial" w:eastAsia="Arial" w:hAnsi="Arial"/>
          <w:sz w:val="27"/>
          <w:szCs w:val="27"/>
          <w:color w:val="auto"/>
        </w:rPr>
        <w:t>Рутинное обследование пациентов с АГ</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209550</wp:posOffset>
            </wp:positionV>
            <wp:extent cx="5365115" cy="316357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65">
                      <a:extLst>
                        <a:ext uri="{28A0092B-C50C-407E-A947-70E740481C1C}"/>
                      </a:extLst>
                    </a:blip>
                    <a:srcRect/>
                    <a:stretch>
                      <a:fillRect/>
                    </a:stretch>
                  </pic:blipFill>
                  <pic:spPr bwMode="auto">
                    <a:xfrm>
                      <a:off x="0" y="0"/>
                      <a:ext cx="5365115" cy="3163570"/>
                    </a:xfrm>
                    <a:prstGeom prst="rect">
                      <a:avLst/>
                    </a:prstGeom>
                    <a:noFill/>
                  </pic:spPr>
                </pic:pic>
              </a:graphicData>
            </a:graphic>
          </wp:anchor>
        </w:drawing>
      </w:r>
    </w:p>
    <w:p>
      <w:pPr>
        <w:spacing w:after="0" w:line="200" w:lineRule="exact"/>
        <w:rPr>
          <w:sz w:val="20"/>
          <w:szCs w:val="20"/>
          <w:color w:val="auto"/>
        </w:rPr>
      </w:pPr>
    </w:p>
    <w:p>
      <w:pPr>
        <w:spacing w:after="0" w:line="25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Гемоглобин и</w:t>
      </w:r>
      <w:r>
        <w:rPr>
          <w:rFonts w:ascii="Verdana" w:cs="Verdana" w:eastAsia="Verdana" w:hAnsi="Verdana"/>
          <w:sz w:val="17"/>
          <w:szCs w:val="17"/>
          <w:color w:val="auto"/>
        </w:rPr>
        <w:t>/</w:t>
      </w:r>
      <w:r>
        <w:rPr>
          <w:rFonts w:ascii="Verdana" w:cs="Verdana" w:eastAsia="Verdana" w:hAnsi="Verdana"/>
          <w:sz w:val="17"/>
          <w:szCs w:val="17"/>
          <w:color w:val="auto"/>
        </w:rPr>
        <w:t>или гематокрит</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Глюкоза и гликозилированный гемоглобин</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Липиды крови</w:t>
      </w:r>
      <w:r>
        <w:rPr>
          <w:rFonts w:ascii="Verdana" w:cs="Verdana" w:eastAsia="Verdana" w:hAnsi="Verdana"/>
          <w:sz w:val="17"/>
          <w:szCs w:val="17"/>
          <w:color w:val="auto"/>
        </w:rPr>
        <w:t>:</w:t>
      </w:r>
      <w:r>
        <w:rPr>
          <w:rFonts w:ascii="Verdana" w:cs="Verdana" w:eastAsia="Verdana" w:hAnsi="Verdana"/>
          <w:sz w:val="17"/>
          <w:szCs w:val="17"/>
          <w:color w:val="auto"/>
        </w:rPr>
        <w:t xml:space="preserve"> ОХС</w:t>
      </w:r>
      <w:r>
        <w:rPr>
          <w:rFonts w:ascii="Verdana" w:cs="Verdana" w:eastAsia="Verdana" w:hAnsi="Verdana"/>
          <w:sz w:val="17"/>
          <w:szCs w:val="17"/>
          <w:color w:val="auto"/>
        </w:rPr>
        <w:t>,</w:t>
      </w:r>
      <w:r>
        <w:rPr>
          <w:rFonts w:ascii="Verdana" w:cs="Verdana" w:eastAsia="Verdana" w:hAnsi="Verdana"/>
          <w:sz w:val="17"/>
          <w:szCs w:val="17"/>
          <w:color w:val="auto"/>
        </w:rPr>
        <w:t xml:space="preserve"> ХС ЛНП</w:t>
      </w:r>
      <w:r>
        <w:rPr>
          <w:rFonts w:ascii="Verdana" w:cs="Verdana" w:eastAsia="Verdana" w:hAnsi="Verdana"/>
          <w:sz w:val="17"/>
          <w:szCs w:val="17"/>
          <w:color w:val="auto"/>
        </w:rPr>
        <w:t>,</w:t>
      </w:r>
      <w:r>
        <w:rPr>
          <w:rFonts w:ascii="Verdana" w:cs="Verdana" w:eastAsia="Verdana" w:hAnsi="Verdana"/>
          <w:sz w:val="17"/>
          <w:szCs w:val="17"/>
          <w:color w:val="auto"/>
        </w:rPr>
        <w:t xml:space="preserve"> ХС ЛВП</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Триглицериды</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Калий</w:t>
      </w:r>
      <w:r>
        <w:rPr>
          <w:rFonts w:ascii="Verdana" w:cs="Verdana" w:eastAsia="Verdana" w:hAnsi="Verdana"/>
          <w:sz w:val="17"/>
          <w:szCs w:val="17"/>
          <w:color w:val="auto"/>
        </w:rPr>
        <w:t>,</w:t>
      </w:r>
      <w:r>
        <w:rPr>
          <w:rFonts w:ascii="Verdana" w:cs="Verdana" w:eastAsia="Verdana" w:hAnsi="Verdana"/>
          <w:sz w:val="17"/>
          <w:szCs w:val="17"/>
          <w:color w:val="auto"/>
        </w:rPr>
        <w:t xml:space="preserve"> натрий</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Мочевая кислота</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Креатинин и расчетная СКФ</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Показатели функции печени</w:t>
      </w:r>
    </w:p>
    <w:p>
      <w:pPr>
        <w:spacing w:after="0" w:line="274"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Анализ мочи</w:t>
      </w:r>
      <w:r>
        <w:rPr>
          <w:rFonts w:ascii="Verdana" w:cs="Verdana" w:eastAsia="Verdana" w:hAnsi="Verdana"/>
          <w:sz w:val="17"/>
          <w:szCs w:val="17"/>
          <w:color w:val="auto"/>
        </w:rPr>
        <w:t>:</w:t>
      </w:r>
      <w:r>
        <w:rPr>
          <w:rFonts w:ascii="Verdana" w:cs="Verdana" w:eastAsia="Verdana" w:hAnsi="Verdana"/>
          <w:sz w:val="17"/>
          <w:szCs w:val="17"/>
          <w:color w:val="auto"/>
        </w:rPr>
        <w:t xml:space="preserve"> микроскопия осадка</w:t>
      </w:r>
      <w:r>
        <w:rPr>
          <w:rFonts w:ascii="Verdana" w:cs="Verdana" w:eastAsia="Verdana" w:hAnsi="Verdana"/>
          <w:sz w:val="17"/>
          <w:szCs w:val="17"/>
          <w:color w:val="auto"/>
        </w:rPr>
        <w:t>,</w:t>
      </w:r>
      <w:r>
        <w:rPr>
          <w:rFonts w:ascii="Verdana" w:cs="Verdana" w:eastAsia="Verdana" w:hAnsi="Verdana"/>
          <w:sz w:val="17"/>
          <w:szCs w:val="17"/>
          <w:color w:val="auto"/>
        </w:rPr>
        <w:t xml:space="preserve"> качественная оценка протеинурии тест</w:t>
      </w:r>
      <w:r>
        <w:rPr>
          <w:rFonts w:ascii="Verdana" w:cs="Verdana" w:eastAsia="Verdana" w:hAnsi="Verdana"/>
          <w:sz w:val="17"/>
          <w:szCs w:val="17"/>
          <w:color w:val="auto"/>
        </w:rPr>
        <w:t>-</w:t>
      </w:r>
      <w:r>
        <w:rPr>
          <w:rFonts w:ascii="Verdana" w:cs="Verdana" w:eastAsia="Verdana" w:hAnsi="Verdana"/>
          <w:sz w:val="17"/>
          <w:szCs w:val="17"/>
          <w:color w:val="auto"/>
        </w:rPr>
        <w:t>полоской</w:t>
      </w:r>
      <w:r>
        <w:rPr>
          <w:rFonts w:ascii="Verdana" w:cs="Verdana" w:eastAsia="Verdana" w:hAnsi="Verdana"/>
          <w:sz w:val="17"/>
          <w:szCs w:val="17"/>
          <w:color w:val="auto"/>
        </w:rPr>
        <w:t>,</w:t>
      </w:r>
      <w:r>
        <w:rPr>
          <w:rFonts w:ascii="Verdana" w:cs="Verdana" w:eastAsia="Verdana" w:hAnsi="Verdana"/>
          <w:sz w:val="17"/>
          <w:szCs w:val="17"/>
          <w:color w:val="auto"/>
        </w:rPr>
        <w:t xml:space="preserve"> отношение альбумин</w:t>
      </w:r>
      <w:r>
        <w:rPr>
          <w:rFonts w:ascii="Verdana" w:cs="Verdana" w:eastAsia="Verdana" w:hAnsi="Verdana"/>
          <w:sz w:val="17"/>
          <w:szCs w:val="17"/>
          <w:color w:val="auto"/>
        </w:rPr>
        <w:t>–</w:t>
      </w:r>
      <w:r>
        <w:rPr>
          <w:rFonts w:ascii="Verdana" w:cs="Verdana" w:eastAsia="Verdana" w:hAnsi="Verdana"/>
          <w:sz w:val="17"/>
          <w:szCs w:val="17"/>
          <w:color w:val="auto"/>
        </w:rPr>
        <w:t xml:space="preserve">креатинин в разовой порции мочи </w:t>
      </w:r>
      <w:r>
        <w:rPr>
          <w:rFonts w:ascii="Verdana" w:cs="Verdana" w:eastAsia="Verdana" w:hAnsi="Verdana"/>
          <w:sz w:val="17"/>
          <w:szCs w:val="17"/>
          <w:color w:val="auto"/>
        </w:rPr>
        <w:t>(</w:t>
      </w:r>
      <w:r>
        <w:rPr>
          <w:rFonts w:ascii="Verdana" w:cs="Verdana" w:eastAsia="Verdana" w:hAnsi="Verdana"/>
          <w:sz w:val="17"/>
          <w:szCs w:val="17"/>
          <w:color w:val="auto"/>
        </w:rPr>
        <w:t>оптимально</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ЭКГ в </w:t>
      </w:r>
      <w:r>
        <w:rPr>
          <w:rFonts w:ascii="Verdana" w:cs="Verdana" w:eastAsia="Verdana" w:hAnsi="Verdana"/>
          <w:sz w:val="17"/>
          <w:szCs w:val="17"/>
          <w:color w:val="auto"/>
        </w:rPr>
        <w:t>12</w:t>
      </w:r>
      <w:r>
        <w:rPr>
          <w:rFonts w:ascii="Verdana" w:cs="Verdana" w:eastAsia="Verdana" w:hAnsi="Verdana"/>
          <w:sz w:val="17"/>
          <w:szCs w:val="17"/>
          <w:color w:val="auto"/>
        </w:rPr>
        <w:t xml:space="preserve"> отведениях</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25"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5/</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color w:val="auto"/>
        </w:rPr>
        <w:t>Обследование для выявления поражения</w:t>
      </w:r>
      <w:r>
        <w:rPr>
          <w:rFonts w:ascii="Arial" w:cs="Arial" w:eastAsia="Arial" w:hAnsi="Arial"/>
          <w:sz w:val="27"/>
          <w:szCs w:val="27"/>
          <w:b w:val="1"/>
          <w:bCs w:val="1"/>
          <w:color w:val="auto"/>
        </w:rPr>
        <w:t xml:space="preserve"> </w:t>
      </w:r>
      <w:r>
        <w:rPr>
          <w:rFonts w:ascii="Arial" w:cs="Arial" w:eastAsia="Arial" w:hAnsi="Arial"/>
          <w:sz w:val="27"/>
          <w:szCs w:val="27"/>
          <w:color w:val="auto"/>
        </w:rPr>
        <w:t>органов</w:t>
      </w:r>
      <w:r>
        <w:rPr>
          <w:rFonts w:ascii="Arial" w:cs="Arial" w:eastAsia="Arial" w:hAnsi="Arial"/>
          <w:sz w:val="27"/>
          <w:szCs w:val="27"/>
          <w:color w:val="auto"/>
        </w:rPr>
        <w:t>-</w:t>
      </w:r>
      <w:r>
        <w:rPr>
          <w:rFonts w:ascii="Arial" w:cs="Arial" w:eastAsia="Arial" w:hAnsi="Arial"/>
          <w:sz w:val="27"/>
          <w:szCs w:val="27"/>
          <w:color w:val="auto"/>
        </w:rPr>
        <w:t>мишеней</w:t>
      </w:r>
    </w:p>
    <w:p>
      <w:pPr>
        <w:spacing w:after="0" w:line="147"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4200" w:type="dxa"/>
            <w:vAlign w:val="bottom"/>
            <w:tcBorders>
              <w:top w:val="single" w:sz="8" w:color="auto"/>
              <w:left w:val="single" w:sz="8" w:color="auto"/>
              <w:right w:val="single" w:sz="8" w:color="auto"/>
            </w:tcBorders>
          </w:tcPr>
          <w:p>
            <w:pPr>
              <w:spacing w:after="0"/>
              <w:rPr>
                <w:sz w:val="24"/>
                <w:szCs w:val="24"/>
                <w:color w:val="auto"/>
              </w:rPr>
            </w:pPr>
          </w:p>
        </w:tc>
        <w:tc>
          <w:tcPr>
            <w:tcW w:w="3200" w:type="dxa"/>
            <w:vAlign w:val="bottom"/>
            <w:tcBorders>
              <w:top w:val="single" w:sz="8" w:color="auto"/>
            </w:tcBorders>
            <w:gridSpan w:val="3"/>
          </w:tcPr>
          <w:p>
            <w:pPr>
              <w:ind w:left="140"/>
              <w:spacing w:after="0"/>
              <w:rPr>
                <w:sz w:val="20"/>
                <w:szCs w:val="20"/>
                <w:color w:val="auto"/>
              </w:rPr>
            </w:pPr>
            <w:r>
              <w:rPr>
                <w:rFonts w:ascii="Verdana" w:cs="Verdana" w:eastAsia="Verdana" w:hAnsi="Verdana"/>
                <w:sz w:val="17"/>
                <w:szCs w:val="17"/>
                <w:b w:val="1"/>
                <w:bCs w:val="1"/>
                <w:color w:val="auto"/>
              </w:rPr>
              <w:t>Показание и интерпретация</w:t>
            </w:r>
          </w:p>
        </w:tc>
        <w:tc>
          <w:tcPr>
            <w:tcW w:w="560" w:type="dxa"/>
            <w:vAlign w:val="bottom"/>
            <w:tcBorders>
              <w:top w:val="single" w:sz="8" w:color="auto"/>
            </w:tcBorders>
          </w:tcPr>
          <w:p>
            <w:pPr>
              <w:spacing w:after="0"/>
              <w:rPr>
                <w:sz w:val="24"/>
                <w:szCs w:val="24"/>
                <w:color w:val="auto"/>
              </w:rPr>
            </w:pPr>
          </w:p>
        </w:tc>
        <w:tc>
          <w:tcPr>
            <w:tcW w:w="500" w:type="dxa"/>
            <w:vAlign w:val="bottom"/>
            <w:tcBorders>
              <w:top w:val="single" w:sz="8" w:color="auto"/>
              <w:right w:val="single" w:sz="8" w:color="auto"/>
            </w:tcBorders>
          </w:tcPr>
          <w:p>
            <w:pPr>
              <w:spacing w:after="0"/>
              <w:rPr>
                <w:sz w:val="24"/>
                <w:szCs w:val="24"/>
                <w:color w:val="auto"/>
              </w:rPr>
            </w:pPr>
          </w:p>
        </w:tc>
      </w:tr>
      <w:tr>
        <w:trPr>
          <w:trHeight w:val="117"/>
        </w:trPr>
        <w:tc>
          <w:tcPr>
            <w:tcW w:w="4200" w:type="dxa"/>
            <w:vAlign w:val="bottom"/>
            <w:tcBorders>
              <w:left w:val="single" w:sz="8" w:color="auto"/>
              <w:bottom w:val="single" w:sz="8" w:color="auto"/>
              <w:right w:val="single" w:sz="8" w:color="auto"/>
            </w:tcBorders>
          </w:tcPr>
          <w:p>
            <w:pPr>
              <w:spacing w:after="0"/>
              <w:rPr>
                <w:sz w:val="10"/>
                <w:szCs w:val="10"/>
                <w:color w:val="auto"/>
              </w:rPr>
            </w:pPr>
          </w:p>
        </w:tc>
        <w:tc>
          <w:tcPr>
            <w:tcW w:w="640" w:type="dxa"/>
            <w:vAlign w:val="bottom"/>
            <w:tcBorders>
              <w:bottom w:val="single" w:sz="8" w:color="auto"/>
            </w:tcBorders>
          </w:tcPr>
          <w:p>
            <w:pPr>
              <w:spacing w:after="0"/>
              <w:rPr>
                <w:sz w:val="10"/>
                <w:szCs w:val="10"/>
                <w:color w:val="auto"/>
              </w:rPr>
            </w:pPr>
          </w:p>
        </w:tc>
        <w:tc>
          <w:tcPr>
            <w:tcW w:w="1420" w:type="dxa"/>
            <w:vAlign w:val="bottom"/>
            <w:tcBorders>
              <w:bottom w:val="single" w:sz="8" w:color="auto"/>
            </w:tcBorders>
          </w:tcPr>
          <w:p>
            <w:pPr>
              <w:spacing w:after="0"/>
              <w:rPr>
                <w:sz w:val="10"/>
                <w:szCs w:val="10"/>
                <w:color w:val="auto"/>
              </w:rPr>
            </w:pPr>
          </w:p>
        </w:tc>
        <w:tc>
          <w:tcPr>
            <w:tcW w:w="1140" w:type="dxa"/>
            <w:vAlign w:val="bottom"/>
            <w:tcBorders>
              <w:bottom w:val="single" w:sz="8" w:color="auto"/>
            </w:tcBorders>
          </w:tcPr>
          <w:p>
            <w:pPr>
              <w:spacing w:after="0"/>
              <w:rPr>
                <w:sz w:val="10"/>
                <w:szCs w:val="10"/>
                <w:color w:val="auto"/>
              </w:rPr>
            </w:pPr>
          </w:p>
        </w:tc>
        <w:tc>
          <w:tcPr>
            <w:tcW w:w="560" w:type="dxa"/>
            <w:vAlign w:val="bottom"/>
            <w:tcBorders>
              <w:bottom w:val="single" w:sz="8" w:color="auto"/>
            </w:tcBorders>
          </w:tcPr>
          <w:p>
            <w:pPr>
              <w:spacing w:after="0"/>
              <w:rPr>
                <w:sz w:val="10"/>
                <w:szCs w:val="10"/>
                <w:color w:val="auto"/>
              </w:rPr>
            </w:pPr>
          </w:p>
        </w:tc>
        <w:tc>
          <w:tcPr>
            <w:tcW w:w="500" w:type="dxa"/>
            <w:vAlign w:val="bottom"/>
            <w:tcBorders>
              <w:bottom w:val="single" w:sz="8" w:color="auto"/>
              <w:right w:val="single" w:sz="8" w:color="auto"/>
            </w:tcBorders>
          </w:tcPr>
          <w:p>
            <w:pPr>
              <w:spacing w:after="0"/>
              <w:rPr>
                <w:sz w:val="10"/>
                <w:szCs w:val="10"/>
                <w:color w:val="auto"/>
              </w:rPr>
            </w:pPr>
          </w:p>
        </w:tc>
      </w:tr>
      <w:tr>
        <w:trPr>
          <w:trHeight w:val="343"/>
        </w:trPr>
        <w:tc>
          <w:tcPr>
            <w:tcW w:w="420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Первичные тесты для выявления ПОМ</w:t>
            </w:r>
          </w:p>
        </w:tc>
        <w:tc>
          <w:tcPr>
            <w:tcW w:w="640" w:type="dxa"/>
            <w:vAlign w:val="bottom"/>
          </w:tcPr>
          <w:p>
            <w:pPr>
              <w:spacing w:after="0"/>
              <w:rPr>
                <w:sz w:val="24"/>
                <w:szCs w:val="24"/>
                <w:color w:val="auto"/>
              </w:rPr>
            </w:pPr>
          </w:p>
        </w:tc>
        <w:tc>
          <w:tcPr>
            <w:tcW w:w="1420" w:type="dxa"/>
            <w:vAlign w:val="bottom"/>
          </w:tcPr>
          <w:p>
            <w:pPr>
              <w:spacing w:after="0"/>
              <w:rPr>
                <w:sz w:val="24"/>
                <w:szCs w:val="24"/>
                <w:color w:val="auto"/>
              </w:rPr>
            </w:pPr>
          </w:p>
        </w:tc>
        <w:tc>
          <w:tcPr>
            <w:tcW w:w="1140" w:type="dxa"/>
            <w:vAlign w:val="bottom"/>
          </w:tcPr>
          <w:p>
            <w:pPr>
              <w:spacing w:after="0"/>
              <w:rPr>
                <w:sz w:val="24"/>
                <w:szCs w:val="24"/>
                <w:color w:val="auto"/>
              </w:rPr>
            </w:pPr>
          </w:p>
        </w:tc>
        <w:tc>
          <w:tcPr>
            <w:tcW w:w="56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r>
      <w:tr>
        <w:trPr>
          <w:trHeight w:val="117"/>
        </w:trPr>
        <w:tc>
          <w:tcPr>
            <w:tcW w:w="4200" w:type="dxa"/>
            <w:vAlign w:val="bottom"/>
            <w:tcBorders>
              <w:left w:val="single" w:sz="8" w:color="auto"/>
              <w:bottom w:val="single" w:sz="8" w:color="auto"/>
            </w:tcBorders>
          </w:tcPr>
          <w:p>
            <w:pPr>
              <w:spacing w:after="0"/>
              <w:rPr>
                <w:sz w:val="10"/>
                <w:szCs w:val="10"/>
                <w:color w:val="auto"/>
              </w:rPr>
            </w:pPr>
          </w:p>
        </w:tc>
        <w:tc>
          <w:tcPr>
            <w:tcW w:w="4260" w:type="dxa"/>
            <w:vAlign w:val="bottom"/>
            <w:tcBorders>
              <w:bottom w:val="single" w:sz="8" w:color="auto"/>
              <w:right w:val="single" w:sz="8" w:color="auto"/>
            </w:tcBorders>
            <w:gridSpan w:val="5"/>
          </w:tcPr>
          <w:p>
            <w:pPr>
              <w:spacing w:after="0"/>
              <w:rPr>
                <w:sz w:val="10"/>
                <w:szCs w:val="10"/>
                <w:color w:val="auto"/>
              </w:rPr>
            </w:pPr>
          </w:p>
        </w:tc>
      </w:tr>
      <w:tr>
        <w:trPr>
          <w:trHeight w:val="295"/>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 xml:space="preserve">ЭКГ в </w:t>
            </w:r>
            <w:r>
              <w:rPr>
                <w:rFonts w:ascii="Verdana" w:cs="Verdana" w:eastAsia="Verdana" w:hAnsi="Verdana"/>
                <w:sz w:val="17"/>
                <w:szCs w:val="17"/>
                <w:b w:val="1"/>
                <w:bCs w:val="1"/>
                <w:color w:val="auto"/>
              </w:rPr>
              <w:t>12</w:t>
            </w:r>
            <w:r>
              <w:rPr>
                <w:rFonts w:ascii="Verdana" w:cs="Verdana" w:eastAsia="Verdana" w:hAnsi="Verdana"/>
                <w:sz w:val="17"/>
                <w:szCs w:val="17"/>
                <w:b w:val="1"/>
                <w:bCs w:val="1"/>
                <w:color w:val="auto"/>
              </w:rPr>
              <w:t xml:space="preserve"> отведениях</w:t>
            </w:r>
          </w:p>
        </w:tc>
        <w:tc>
          <w:tcPr>
            <w:tcW w:w="42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Скрининг  для  выявления  ГЛЖ  и  других</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42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возможных   аномалий</w:t>
            </w:r>
            <w:r>
              <w:rPr>
                <w:rFonts w:ascii="Verdana" w:cs="Verdana" w:eastAsia="Verdana" w:hAnsi="Verdana"/>
                <w:sz w:val="17"/>
                <w:szCs w:val="17"/>
                <w:color w:val="auto"/>
              </w:rPr>
              <w:t>,</w:t>
            </w:r>
            <w:r>
              <w:rPr>
                <w:rFonts w:ascii="Verdana" w:cs="Verdana" w:eastAsia="Verdana" w:hAnsi="Verdana"/>
                <w:sz w:val="17"/>
                <w:szCs w:val="17"/>
                <w:color w:val="auto"/>
              </w:rPr>
              <w:t xml:space="preserve">   а   также   для</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320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документирования   сердечного</w:t>
            </w:r>
          </w:p>
        </w:tc>
        <w:tc>
          <w:tcPr>
            <w:tcW w:w="560" w:type="dxa"/>
            <w:vAlign w:val="bottom"/>
          </w:tcPr>
          <w:p>
            <w:pPr>
              <w:ind w:left="20"/>
              <w:spacing w:after="0" w:line="165" w:lineRule="exact"/>
              <w:rPr>
                <w:sz w:val="20"/>
                <w:szCs w:val="20"/>
                <w:color w:val="auto"/>
              </w:rPr>
            </w:pPr>
            <w:r>
              <w:rPr>
                <w:rFonts w:ascii="Verdana" w:cs="Verdana" w:eastAsia="Verdana" w:hAnsi="Verdana"/>
                <w:sz w:val="17"/>
                <w:szCs w:val="17"/>
                <w:color w:val="auto"/>
                <w:w w:val="99"/>
              </w:rPr>
              <w:t>ритма</w:t>
            </w:r>
          </w:p>
        </w:tc>
        <w:tc>
          <w:tcPr>
            <w:tcW w:w="5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r>
      <w:tr>
        <w:trPr>
          <w:trHeight w:val="220"/>
        </w:trPr>
        <w:tc>
          <w:tcPr>
            <w:tcW w:w="4200" w:type="dxa"/>
            <w:vAlign w:val="bottom"/>
            <w:tcBorders>
              <w:left w:val="single" w:sz="8" w:color="auto"/>
              <w:right w:val="single" w:sz="8" w:color="auto"/>
            </w:tcBorders>
          </w:tcPr>
          <w:p>
            <w:pPr>
              <w:spacing w:after="0"/>
              <w:rPr>
                <w:sz w:val="19"/>
                <w:szCs w:val="19"/>
                <w:color w:val="auto"/>
              </w:rPr>
            </w:pPr>
          </w:p>
        </w:tc>
        <w:tc>
          <w:tcPr>
            <w:tcW w:w="2060" w:type="dxa"/>
            <w:vAlign w:val="bottom"/>
            <w:gridSpan w:val="2"/>
          </w:tcPr>
          <w:p>
            <w:pPr>
              <w:ind w:left="140"/>
              <w:spacing w:after="0"/>
              <w:rPr>
                <w:sz w:val="20"/>
                <w:szCs w:val="20"/>
                <w:color w:val="auto"/>
              </w:rPr>
            </w:pPr>
            <w:r>
              <w:rPr>
                <w:rFonts w:ascii="Verdana" w:cs="Verdana" w:eastAsia="Verdana" w:hAnsi="Verdana"/>
                <w:sz w:val="17"/>
                <w:szCs w:val="17"/>
                <w:color w:val="auto"/>
              </w:rPr>
              <w:t>выявления аритмий</w:t>
            </w:r>
          </w:p>
        </w:tc>
        <w:tc>
          <w:tcPr>
            <w:tcW w:w="114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420" w:type="dxa"/>
            <w:vAlign w:val="bottom"/>
            <w:tcBorders>
              <w:bottom w:val="single" w:sz="8" w:color="auto"/>
            </w:tcBorders>
          </w:tcPr>
          <w:p>
            <w:pPr>
              <w:spacing w:after="0"/>
              <w:rPr>
                <w:sz w:val="9"/>
                <w:szCs w:val="9"/>
                <w:color w:val="auto"/>
              </w:rPr>
            </w:pPr>
          </w:p>
        </w:tc>
        <w:tc>
          <w:tcPr>
            <w:tcW w:w="1700" w:type="dxa"/>
            <w:vAlign w:val="bottom"/>
            <w:tcBorders>
              <w:bottom w:val="single" w:sz="8" w:color="auto"/>
            </w:tcBorders>
            <w:gridSpan w:val="2"/>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r>
      <w:tr>
        <w:trPr>
          <w:trHeight w:val="295"/>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Отношение альбумин</w:t>
            </w:r>
            <w:r>
              <w:rPr>
                <w:rFonts w:ascii="Verdana" w:cs="Verdana" w:eastAsia="Verdana" w:hAnsi="Verdana"/>
                <w:sz w:val="17"/>
                <w:szCs w:val="17"/>
                <w:color w:val="auto"/>
              </w:rPr>
              <w:t>–</w:t>
            </w:r>
            <w:r>
              <w:rPr>
                <w:rFonts w:ascii="Verdana" w:cs="Verdana" w:eastAsia="Verdana" w:hAnsi="Verdana"/>
                <w:sz w:val="17"/>
                <w:szCs w:val="17"/>
                <w:color w:val="auto"/>
              </w:rPr>
              <w:t>креатинин в разовой</w:t>
            </w:r>
          </w:p>
        </w:tc>
        <w:tc>
          <w:tcPr>
            <w:tcW w:w="640" w:type="dxa"/>
            <w:vAlign w:val="bottom"/>
          </w:tcPr>
          <w:p>
            <w:pPr>
              <w:ind w:left="140"/>
              <w:spacing w:after="0"/>
              <w:rPr>
                <w:sz w:val="20"/>
                <w:szCs w:val="20"/>
                <w:color w:val="auto"/>
              </w:rPr>
            </w:pPr>
            <w:r>
              <w:rPr>
                <w:rFonts w:ascii="Verdana" w:cs="Verdana" w:eastAsia="Verdana" w:hAnsi="Verdana"/>
                <w:sz w:val="17"/>
                <w:szCs w:val="17"/>
                <w:color w:val="auto"/>
              </w:rPr>
              <w:t>Для</w:t>
            </w:r>
          </w:p>
        </w:tc>
        <w:tc>
          <w:tcPr>
            <w:tcW w:w="1420" w:type="dxa"/>
            <w:vAlign w:val="bottom"/>
          </w:tcPr>
          <w:p>
            <w:pPr>
              <w:ind w:left="200"/>
              <w:spacing w:after="0"/>
              <w:rPr>
                <w:sz w:val="20"/>
                <w:szCs w:val="20"/>
                <w:color w:val="auto"/>
              </w:rPr>
            </w:pPr>
            <w:r>
              <w:rPr>
                <w:rFonts w:ascii="Verdana" w:cs="Verdana" w:eastAsia="Verdana" w:hAnsi="Verdana"/>
                <w:sz w:val="17"/>
                <w:szCs w:val="17"/>
                <w:color w:val="auto"/>
              </w:rPr>
              <w:t>выявления</w:t>
            </w:r>
          </w:p>
        </w:tc>
        <w:tc>
          <w:tcPr>
            <w:tcW w:w="1700" w:type="dxa"/>
            <w:vAlign w:val="bottom"/>
            <w:gridSpan w:val="2"/>
          </w:tcPr>
          <w:p>
            <w:pPr>
              <w:ind w:left="80"/>
              <w:spacing w:after="0"/>
              <w:rPr>
                <w:sz w:val="20"/>
                <w:szCs w:val="20"/>
                <w:color w:val="auto"/>
              </w:rPr>
            </w:pPr>
            <w:r>
              <w:rPr>
                <w:rFonts w:ascii="Verdana" w:cs="Verdana" w:eastAsia="Verdana" w:hAnsi="Verdana"/>
                <w:sz w:val="17"/>
                <w:szCs w:val="17"/>
                <w:color w:val="auto"/>
              </w:rPr>
              <w:t>альбуминурии</w:t>
            </w:r>
            <w:r>
              <w:rPr>
                <w:rFonts w:ascii="Verdana" w:cs="Verdana" w:eastAsia="Verdana" w:hAnsi="Verdana"/>
                <w:sz w:val="17"/>
                <w:szCs w:val="17"/>
                <w:color w:val="auto"/>
              </w:rPr>
              <w:t>,</w:t>
            </w:r>
          </w:p>
        </w:tc>
        <w:tc>
          <w:tcPr>
            <w:tcW w:w="5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что</w:t>
            </w:r>
          </w:p>
        </w:tc>
      </w:tr>
      <w:tr>
        <w:trPr>
          <w:trHeight w:val="220"/>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порции мочи</w:t>
            </w:r>
          </w:p>
        </w:tc>
        <w:tc>
          <w:tcPr>
            <w:tcW w:w="42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указывает на возможное поражение почек</w:t>
            </w:r>
          </w:p>
        </w:tc>
      </w:tr>
      <w:tr>
        <w:trPr>
          <w:trHeight w:val="110"/>
        </w:trPr>
        <w:tc>
          <w:tcPr>
            <w:tcW w:w="4200" w:type="dxa"/>
            <w:vAlign w:val="bottom"/>
            <w:tcBorders>
              <w:left w:val="single" w:sz="8" w:color="auto"/>
              <w:bottom w:val="single" w:sz="8" w:color="auto"/>
              <w:right w:val="single" w:sz="8" w:color="auto"/>
            </w:tcBorders>
          </w:tcPr>
          <w:p>
            <w:pPr>
              <w:spacing w:after="0"/>
              <w:rPr>
                <w:sz w:val="9"/>
                <w:szCs w:val="9"/>
                <w:color w:val="auto"/>
              </w:rPr>
            </w:pPr>
          </w:p>
        </w:tc>
        <w:tc>
          <w:tcPr>
            <w:tcW w:w="3200" w:type="dxa"/>
            <w:vAlign w:val="bottom"/>
            <w:tcBorders>
              <w:bottom w:val="single" w:sz="8" w:color="auto"/>
            </w:tcBorders>
            <w:gridSpan w:val="3"/>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r>
      <w:tr>
        <w:trPr>
          <w:trHeight w:val="343"/>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Креатинин и расчетная СКФ</w:t>
            </w:r>
          </w:p>
        </w:tc>
        <w:tc>
          <w:tcPr>
            <w:tcW w:w="3200" w:type="dxa"/>
            <w:vAlign w:val="bottom"/>
            <w:gridSpan w:val="3"/>
          </w:tcPr>
          <w:p>
            <w:pPr>
              <w:ind w:left="140"/>
              <w:spacing w:after="0"/>
              <w:rPr>
                <w:sz w:val="20"/>
                <w:szCs w:val="20"/>
                <w:color w:val="auto"/>
              </w:rPr>
            </w:pPr>
            <w:r>
              <w:rPr>
                <w:rFonts w:ascii="Verdana" w:cs="Verdana" w:eastAsia="Verdana" w:hAnsi="Verdana"/>
                <w:sz w:val="17"/>
                <w:szCs w:val="17"/>
                <w:color w:val="auto"/>
              </w:rPr>
              <w:t>Для выявления поражения почек</w:t>
            </w:r>
          </w:p>
        </w:tc>
        <w:tc>
          <w:tcPr>
            <w:tcW w:w="56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r>
      <w:tr>
        <w:trPr>
          <w:trHeight w:val="117"/>
        </w:trPr>
        <w:tc>
          <w:tcPr>
            <w:tcW w:w="4200" w:type="dxa"/>
            <w:vAlign w:val="bottom"/>
            <w:tcBorders>
              <w:left w:val="single" w:sz="8" w:color="auto"/>
              <w:bottom w:val="single" w:sz="8" w:color="auto"/>
              <w:right w:val="single" w:sz="8" w:color="auto"/>
            </w:tcBorders>
          </w:tcPr>
          <w:p>
            <w:pPr>
              <w:spacing w:after="0"/>
              <w:rPr>
                <w:sz w:val="10"/>
                <w:szCs w:val="10"/>
                <w:color w:val="auto"/>
              </w:rPr>
            </w:pPr>
          </w:p>
        </w:tc>
        <w:tc>
          <w:tcPr>
            <w:tcW w:w="640" w:type="dxa"/>
            <w:vAlign w:val="bottom"/>
            <w:tcBorders>
              <w:bottom w:val="single" w:sz="8" w:color="auto"/>
            </w:tcBorders>
          </w:tcPr>
          <w:p>
            <w:pPr>
              <w:spacing w:after="0"/>
              <w:rPr>
                <w:sz w:val="10"/>
                <w:szCs w:val="10"/>
                <w:color w:val="auto"/>
              </w:rPr>
            </w:pPr>
          </w:p>
        </w:tc>
        <w:tc>
          <w:tcPr>
            <w:tcW w:w="1420" w:type="dxa"/>
            <w:vAlign w:val="bottom"/>
            <w:tcBorders>
              <w:bottom w:val="single" w:sz="8" w:color="auto"/>
            </w:tcBorders>
          </w:tcPr>
          <w:p>
            <w:pPr>
              <w:spacing w:after="0"/>
              <w:rPr>
                <w:sz w:val="10"/>
                <w:szCs w:val="10"/>
                <w:color w:val="auto"/>
              </w:rPr>
            </w:pPr>
          </w:p>
        </w:tc>
        <w:tc>
          <w:tcPr>
            <w:tcW w:w="2200" w:type="dxa"/>
            <w:vAlign w:val="bottom"/>
            <w:tcBorders>
              <w:bottom w:val="single" w:sz="8" w:color="auto"/>
              <w:right w:val="single" w:sz="8" w:color="auto"/>
            </w:tcBorders>
            <w:gridSpan w:val="3"/>
          </w:tcPr>
          <w:p>
            <w:pPr>
              <w:spacing w:after="0"/>
              <w:rPr>
                <w:sz w:val="10"/>
                <w:szCs w:val="10"/>
                <w:color w:val="auto"/>
              </w:rPr>
            </w:pPr>
          </w:p>
        </w:tc>
      </w:tr>
      <w:tr>
        <w:trPr>
          <w:trHeight w:val="295"/>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Фундоскопия</w:t>
            </w:r>
          </w:p>
        </w:tc>
        <w:tc>
          <w:tcPr>
            <w:tcW w:w="640" w:type="dxa"/>
            <w:vAlign w:val="bottom"/>
          </w:tcPr>
          <w:p>
            <w:pPr>
              <w:ind w:left="140"/>
              <w:spacing w:after="0"/>
              <w:rPr>
                <w:sz w:val="20"/>
                <w:szCs w:val="20"/>
                <w:color w:val="auto"/>
              </w:rPr>
            </w:pPr>
            <w:r>
              <w:rPr>
                <w:rFonts w:ascii="Verdana" w:cs="Verdana" w:eastAsia="Verdana" w:hAnsi="Verdana"/>
                <w:sz w:val="17"/>
                <w:szCs w:val="17"/>
                <w:color w:val="auto"/>
              </w:rPr>
              <w:t>Для</w:t>
            </w:r>
          </w:p>
        </w:tc>
        <w:tc>
          <w:tcPr>
            <w:tcW w:w="1420" w:type="dxa"/>
            <w:vAlign w:val="bottom"/>
          </w:tcPr>
          <w:p>
            <w:pPr>
              <w:ind w:left="420"/>
              <w:spacing w:after="0"/>
              <w:rPr>
                <w:sz w:val="20"/>
                <w:szCs w:val="20"/>
                <w:color w:val="auto"/>
              </w:rPr>
            </w:pPr>
            <w:r>
              <w:rPr>
                <w:rFonts w:ascii="Verdana" w:cs="Verdana" w:eastAsia="Verdana" w:hAnsi="Verdana"/>
                <w:sz w:val="17"/>
                <w:szCs w:val="17"/>
                <w:color w:val="auto"/>
              </w:rPr>
              <w:t>выявления</w:t>
            </w:r>
          </w:p>
        </w:tc>
        <w:tc>
          <w:tcPr>
            <w:tcW w:w="2200" w:type="dxa"/>
            <w:vAlign w:val="bottom"/>
            <w:tcBorders>
              <w:right w:val="single" w:sz="8" w:color="auto"/>
            </w:tcBorders>
            <w:gridSpan w:val="3"/>
          </w:tcPr>
          <w:p>
            <w:pPr>
              <w:jc w:val="right"/>
              <w:ind w:right="97"/>
              <w:spacing w:after="0"/>
              <w:rPr>
                <w:sz w:val="20"/>
                <w:szCs w:val="20"/>
                <w:color w:val="auto"/>
              </w:rPr>
            </w:pPr>
            <w:r>
              <w:rPr>
                <w:rFonts w:ascii="Verdana" w:cs="Verdana" w:eastAsia="Verdana" w:hAnsi="Verdana"/>
                <w:sz w:val="17"/>
                <w:szCs w:val="17"/>
                <w:color w:val="auto"/>
              </w:rPr>
              <w:t>гипертонической</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42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ретинопатии</w:t>
            </w:r>
            <w:r>
              <w:rPr>
                <w:rFonts w:ascii="Verdana" w:cs="Verdana" w:eastAsia="Verdana" w:hAnsi="Verdana"/>
                <w:sz w:val="17"/>
                <w:szCs w:val="17"/>
                <w:color w:val="auto"/>
              </w:rPr>
              <w:t>,</w:t>
            </w:r>
            <w:r>
              <w:rPr>
                <w:rFonts w:ascii="Verdana" w:cs="Verdana" w:eastAsia="Verdana" w:hAnsi="Verdana"/>
                <w:sz w:val="17"/>
                <w:szCs w:val="17"/>
                <w:color w:val="auto"/>
              </w:rPr>
              <w:t xml:space="preserve"> особенно у больных АГ </w:t>
            </w:r>
            <w:r>
              <w:rPr>
                <w:rFonts w:ascii="Verdana" w:cs="Verdana" w:eastAsia="Verdana" w:hAnsi="Verdana"/>
                <w:sz w:val="17"/>
                <w:szCs w:val="17"/>
                <w:color w:val="auto"/>
              </w:rPr>
              <w:t>2-</w:t>
            </w:r>
            <w:r>
              <w:rPr>
                <w:rFonts w:ascii="Verdana" w:cs="Verdana" w:eastAsia="Verdana" w:hAnsi="Verdana"/>
                <w:sz w:val="17"/>
                <w:szCs w:val="17"/>
                <w:color w:val="auto"/>
              </w:rPr>
              <w:t>й или</w:t>
            </w:r>
          </w:p>
        </w:tc>
      </w:tr>
      <w:tr>
        <w:trPr>
          <w:trHeight w:val="220"/>
        </w:trPr>
        <w:tc>
          <w:tcPr>
            <w:tcW w:w="4200" w:type="dxa"/>
            <w:vAlign w:val="bottom"/>
            <w:tcBorders>
              <w:left w:val="single" w:sz="8" w:color="auto"/>
              <w:right w:val="single" w:sz="8" w:color="auto"/>
            </w:tcBorders>
          </w:tcPr>
          <w:p>
            <w:pPr>
              <w:spacing w:after="0"/>
              <w:rPr>
                <w:sz w:val="19"/>
                <w:szCs w:val="19"/>
                <w:color w:val="auto"/>
              </w:rPr>
            </w:pPr>
          </w:p>
        </w:tc>
        <w:tc>
          <w:tcPr>
            <w:tcW w:w="2060" w:type="dxa"/>
            <w:vAlign w:val="bottom"/>
            <w:gridSpan w:val="2"/>
          </w:tcPr>
          <w:p>
            <w:pPr>
              <w:ind w:left="140"/>
              <w:spacing w:after="0"/>
              <w:rPr>
                <w:sz w:val="20"/>
                <w:szCs w:val="20"/>
                <w:color w:val="auto"/>
              </w:rPr>
            </w:pPr>
            <w:r>
              <w:rPr>
                <w:rFonts w:ascii="Verdana" w:cs="Verdana" w:eastAsia="Verdana" w:hAnsi="Verdana"/>
                <w:sz w:val="17"/>
                <w:szCs w:val="17"/>
                <w:color w:val="auto"/>
              </w:rPr>
              <w:t>3-</w:t>
            </w:r>
            <w:r>
              <w:rPr>
                <w:rFonts w:ascii="Verdana" w:cs="Verdana" w:eastAsia="Verdana" w:hAnsi="Verdana"/>
                <w:sz w:val="17"/>
                <w:szCs w:val="17"/>
                <w:color w:val="auto"/>
              </w:rPr>
              <w:t>й степеней</w:t>
            </w:r>
          </w:p>
        </w:tc>
        <w:tc>
          <w:tcPr>
            <w:tcW w:w="114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420" w:type="dxa"/>
            <w:vAlign w:val="bottom"/>
            <w:tcBorders>
              <w:bottom w:val="single" w:sz="8" w:color="auto"/>
            </w:tcBorders>
          </w:tcPr>
          <w:p>
            <w:pPr>
              <w:spacing w:after="0"/>
              <w:rPr>
                <w:sz w:val="9"/>
                <w:szCs w:val="9"/>
                <w:color w:val="auto"/>
              </w:rPr>
            </w:pPr>
          </w:p>
        </w:tc>
        <w:tc>
          <w:tcPr>
            <w:tcW w:w="1140" w:type="dxa"/>
            <w:vAlign w:val="bottom"/>
            <w:tcBorders>
              <w:bottom w:val="single" w:sz="8" w:color="auto"/>
            </w:tcBorders>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r>
      <w:tr>
        <w:trPr>
          <w:trHeight w:val="343"/>
        </w:trPr>
        <w:tc>
          <w:tcPr>
            <w:tcW w:w="4840" w:type="dxa"/>
            <w:vAlign w:val="bottom"/>
            <w:tcBorders>
              <w:left w:val="single" w:sz="8" w:color="auto"/>
            </w:tcBorders>
            <w:gridSpan w:val="2"/>
          </w:tcPr>
          <w:p>
            <w:pPr>
              <w:ind w:left="160"/>
              <w:spacing w:after="0"/>
              <w:rPr>
                <w:sz w:val="20"/>
                <w:szCs w:val="20"/>
                <w:color w:val="auto"/>
              </w:rPr>
            </w:pPr>
            <w:r>
              <w:rPr>
                <w:rFonts w:ascii="Verdana" w:cs="Verdana" w:eastAsia="Verdana" w:hAnsi="Verdana"/>
                <w:sz w:val="17"/>
                <w:szCs w:val="17"/>
                <w:b w:val="1"/>
                <w:bCs w:val="1"/>
                <w:color w:val="auto"/>
              </w:rPr>
              <w:t>Детальное обследование для выявления ПОМ</w:t>
            </w:r>
          </w:p>
        </w:tc>
        <w:tc>
          <w:tcPr>
            <w:tcW w:w="1420" w:type="dxa"/>
            <w:vAlign w:val="bottom"/>
          </w:tcPr>
          <w:p>
            <w:pPr>
              <w:spacing w:after="0"/>
              <w:rPr>
                <w:sz w:val="24"/>
                <w:szCs w:val="24"/>
                <w:color w:val="auto"/>
              </w:rPr>
            </w:pPr>
          </w:p>
        </w:tc>
        <w:tc>
          <w:tcPr>
            <w:tcW w:w="1140" w:type="dxa"/>
            <w:vAlign w:val="bottom"/>
          </w:tcPr>
          <w:p>
            <w:pPr>
              <w:spacing w:after="0"/>
              <w:rPr>
                <w:sz w:val="24"/>
                <w:szCs w:val="24"/>
                <w:color w:val="auto"/>
              </w:rPr>
            </w:pPr>
          </w:p>
        </w:tc>
        <w:tc>
          <w:tcPr>
            <w:tcW w:w="56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r>
      <w:tr>
        <w:trPr>
          <w:trHeight w:val="117"/>
        </w:trPr>
        <w:tc>
          <w:tcPr>
            <w:tcW w:w="4200" w:type="dxa"/>
            <w:vAlign w:val="bottom"/>
            <w:tcBorders>
              <w:left w:val="single" w:sz="8" w:color="auto"/>
              <w:bottom w:val="single" w:sz="8" w:color="auto"/>
            </w:tcBorders>
          </w:tcPr>
          <w:p>
            <w:pPr>
              <w:spacing w:after="0"/>
              <w:rPr>
                <w:sz w:val="10"/>
                <w:szCs w:val="10"/>
                <w:color w:val="auto"/>
              </w:rPr>
            </w:pPr>
          </w:p>
        </w:tc>
        <w:tc>
          <w:tcPr>
            <w:tcW w:w="4260" w:type="dxa"/>
            <w:vAlign w:val="bottom"/>
            <w:tcBorders>
              <w:bottom w:val="single" w:sz="8" w:color="auto"/>
              <w:right w:val="single" w:sz="8" w:color="auto"/>
            </w:tcBorders>
            <w:gridSpan w:val="5"/>
          </w:tcPr>
          <w:p>
            <w:pPr>
              <w:spacing w:after="0"/>
              <w:rPr>
                <w:sz w:val="10"/>
                <w:szCs w:val="10"/>
                <w:color w:val="auto"/>
              </w:rPr>
            </w:pPr>
          </w:p>
        </w:tc>
      </w:tr>
      <w:tr>
        <w:trPr>
          <w:trHeight w:val="295"/>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Эхокардиография</w:t>
            </w:r>
          </w:p>
        </w:tc>
        <w:tc>
          <w:tcPr>
            <w:tcW w:w="426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Для оценки структуры и функции сердца</w:t>
            </w:r>
            <w:r>
              <w:rPr>
                <w:rFonts w:ascii="Verdana" w:cs="Verdana" w:eastAsia="Verdana" w:hAnsi="Verdana"/>
                <w:sz w:val="17"/>
                <w:szCs w:val="17"/>
                <w:color w:val="auto"/>
              </w:rPr>
              <w:t>,</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42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если  эта  информация  может  повлиять  на</w:t>
            </w:r>
          </w:p>
        </w:tc>
      </w:tr>
      <w:tr>
        <w:trPr>
          <w:trHeight w:val="220"/>
        </w:trPr>
        <w:tc>
          <w:tcPr>
            <w:tcW w:w="4200" w:type="dxa"/>
            <w:vAlign w:val="bottom"/>
            <w:tcBorders>
              <w:left w:val="single" w:sz="8" w:color="auto"/>
              <w:right w:val="single" w:sz="8" w:color="auto"/>
            </w:tcBorders>
          </w:tcPr>
          <w:p>
            <w:pPr>
              <w:spacing w:after="0"/>
              <w:rPr>
                <w:sz w:val="19"/>
                <w:szCs w:val="19"/>
                <w:color w:val="auto"/>
              </w:rPr>
            </w:pPr>
          </w:p>
        </w:tc>
        <w:tc>
          <w:tcPr>
            <w:tcW w:w="3200" w:type="dxa"/>
            <w:vAlign w:val="bottom"/>
            <w:gridSpan w:val="3"/>
          </w:tcPr>
          <w:p>
            <w:pPr>
              <w:ind w:left="140"/>
              <w:spacing w:after="0"/>
              <w:rPr>
                <w:sz w:val="20"/>
                <w:szCs w:val="20"/>
                <w:color w:val="auto"/>
              </w:rPr>
            </w:pPr>
            <w:r>
              <w:rPr>
                <w:rFonts w:ascii="Verdana" w:cs="Verdana" w:eastAsia="Verdana" w:hAnsi="Verdana"/>
                <w:sz w:val="17"/>
                <w:szCs w:val="17"/>
                <w:color w:val="auto"/>
              </w:rPr>
              <w:t>выбор тактики лечения</w:t>
            </w:r>
          </w:p>
        </w:tc>
        <w:tc>
          <w:tcPr>
            <w:tcW w:w="5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2560" w:type="dxa"/>
            <w:vAlign w:val="bottom"/>
            <w:tcBorders>
              <w:bottom w:val="single" w:sz="8" w:color="auto"/>
            </w:tcBorders>
            <w:gridSpan w:val="2"/>
          </w:tcPr>
          <w:p>
            <w:pPr>
              <w:spacing w:after="0"/>
              <w:rPr>
                <w:sz w:val="9"/>
                <w:szCs w:val="9"/>
                <w:color w:val="auto"/>
              </w:rPr>
            </w:pPr>
          </w:p>
        </w:tc>
        <w:tc>
          <w:tcPr>
            <w:tcW w:w="1060" w:type="dxa"/>
            <w:vAlign w:val="bottom"/>
            <w:tcBorders>
              <w:bottom w:val="single" w:sz="8" w:color="auto"/>
              <w:right w:val="single" w:sz="8" w:color="auto"/>
            </w:tcBorders>
            <w:gridSpan w:val="2"/>
          </w:tcPr>
          <w:p>
            <w:pPr>
              <w:spacing w:after="0"/>
              <w:rPr>
                <w:sz w:val="9"/>
                <w:szCs w:val="9"/>
                <w:color w:val="auto"/>
              </w:rPr>
            </w:pPr>
          </w:p>
        </w:tc>
      </w:tr>
      <w:tr>
        <w:trPr>
          <w:trHeight w:val="295"/>
        </w:trPr>
        <w:tc>
          <w:tcPr>
            <w:tcW w:w="4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УЗИ сонных артерий</w:t>
            </w:r>
          </w:p>
        </w:tc>
        <w:tc>
          <w:tcPr>
            <w:tcW w:w="640" w:type="dxa"/>
            <w:vAlign w:val="bottom"/>
          </w:tcPr>
          <w:p>
            <w:pPr>
              <w:ind w:left="140"/>
              <w:spacing w:after="0"/>
              <w:rPr>
                <w:sz w:val="20"/>
                <w:szCs w:val="20"/>
                <w:color w:val="auto"/>
              </w:rPr>
            </w:pPr>
            <w:r>
              <w:rPr>
                <w:rFonts w:ascii="Verdana" w:cs="Verdana" w:eastAsia="Verdana" w:hAnsi="Verdana"/>
                <w:sz w:val="17"/>
                <w:szCs w:val="17"/>
                <w:color w:val="auto"/>
              </w:rPr>
              <w:t>Для</w:t>
            </w:r>
          </w:p>
        </w:tc>
        <w:tc>
          <w:tcPr>
            <w:tcW w:w="2560" w:type="dxa"/>
            <w:vAlign w:val="bottom"/>
            <w:gridSpan w:val="2"/>
          </w:tcPr>
          <w:p>
            <w:pPr>
              <w:ind w:left="800"/>
              <w:spacing w:after="0"/>
              <w:rPr>
                <w:sz w:val="20"/>
                <w:szCs w:val="20"/>
                <w:color w:val="auto"/>
              </w:rPr>
            </w:pPr>
            <w:r>
              <w:rPr>
                <w:rFonts w:ascii="Verdana" w:cs="Verdana" w:eastAsia="Verdana" w:hAnsi="Verdana"/>
                <w:sz w:val="17"/>
                <w:szCs w:val="17"/>
                <w:color w:val="auto"/>
              </w:rPr>
              <w:t>выявления</w:t>
            </w:r>
          </w:p>
        </w:tc>
        <w:tc>
          <w:tcPr>
            <w:tcW w:w="10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наличия</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20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атеросклеротических</w:t>
            </w:r>
          </w:p>
        </w:tc>
        <w:tc>
          <w:tcPr>
            <w:tcW w:w="1140" w:type="dxa"/>
            <w:vAlign w:val="bottom"/>
          </w:tcPr>
          <w:p>
            <w:pPr>
              <w:ind w:left="40"/>
              <w:spacing w:after="0" w:line="165" w:lineRule="exact"/>
              <w:rPr>
                <w:sz w:val="20"/>
                <w:szCs w:val="20"/>
                <w:color w:val="auto"/>
              </w:rPr>
            </w:pPr>
            <w:r>
              <w:rPr>
                <w:rFonts w:ascii="Verdana" w:cs="Verdana" w:eastAsia="Verdana" w:hAnsi="Verdana"/>
                <w:sz w:val="17"/>
                <w:szCs w:val="17"/>
                <w:color w:val="auto"/>
              </w:rPr>
              <w:t>бляшек или</w:t>
            </w:r>
          </w:p>
        </w:tc>
        <w:tc>
          <w:tcPr>
            <w:tcW w:w="1060" w:type="dxa"/>
            <w:vAlign w:val="bottom"/>
            <w:tcBorders>
              <w:right w:val="single" w:sz="8" w:color="auto"/>
            </w:tcBorders>
            <w:gridSpan w:val="2"/>
          </w:tcPr>
          <w:p>
            <w:pPr>
              <w:jc w:val="right"/>
              <w:ind w:right="117"/>
              <w:spacing w:after="0" w:line="165" w:lineRule="exact"/>
              <w:rPr>
                <w:sz w:val="20"/>
                <w:szCs w:val="20"/>
                <w:color w:val="auto"/>
              </w:rPr>
            </w:pPr>
            <w:r>
              <w:rPr>
                <w:rFonts w:ascii="Verdana" w:cs="Verdana" w:eastAsia="Verdana" w:hAnsi="Verdana"/>
                <w:sz w:val="17"/>
                <w:szCs w:val="17"/>
                <w:color w:val="auto"/>
              </w:rPr>
              <w:t>стенозов</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42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сонных  артерий</w:t>
            </w:r>
            <w:r>
              <w:rPr>
                <w:rFonts w:ascii="Verdana" w:cs="Verdana" w:eastAsia="Verdana" w:hAnsi="Verdana"/>
                <w:sz w:val="17"/>
                <w:szCs w:val="17"/>
                <w:color w:val="auto"/>
              </w:rPr>
              <w:t>,</w:t>
            </w:r>
            <w:r>
              <w:rPr>
                <w:rFonts w:ascii="Verdana" w:cs="Verdana" w:eastAsia="Verdana" w:hAnsi="Verdana"/>
                <w:sz w:val="17"/>
                <w:szCs w:val="17"/>
                <w:color w:val="auto"/>
              </w:rPr>
              <w:t xml:space="preserve">  особенно  у  пациентов  с</w:t>
            </w:r>
          </w:p>
        </w:tc>
      </w:tr>
      <w:tr>
        <w:trPr>
          <w:trHeight w:val="165"/>
        </w:trPr>
        <w:tc>
          <w:tcPr>
            <w:tcW w:w="4200" w:type="dxa"/>
            <w:vAlign w:val="bottom"/>
            <w:tcBorders>
              <w:left w:val="single" w:sz="8" w:color="auto"/>
              <w:right w:val="single" w:sz="8" w:color="auto"/>
            </w:tcBorders>
          </w:tcPr>
          <w:p>
            <w:pPr>
              <w:spacing w:after="0"/>
              <w:rPr>
                <w:sz w:val="14"/>
                <w:szCs w:val="14"/>
                <w:color w:val="auto"/>
              </w:rPr>
            </w:pPr>
          </w:p>
        </w:tc>
        <w:tc>
          <w:tcPr>
            <w:tcW w:w="426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ЦВБ  или  признаками  поражения  сосудов</w:t>
            </w:r>
          </w:p>
        </w:tc>
      </w:tr>
      <w:tr>
        <w:trPr>
          <w:trHeight w:val="220"/>
        </w:trPr>
        <w:tc>
          <w:tcPr>
            <w:tcW w:w="4200" w:type="dxa"/>
            <w:vAlign w:val="bottom"/>
            <w:tcBorders>
              <w:left w:val="single" w:sz="8" w:color="auto"/>
              <w:right w:val="single" w:sz="8" w:color="auto"/>
            </w:tcBorders>
          </w:tcPr>
          <w:p>
            <w:pPr>
              <w:spacing w:after="0"/>
              <w:rPr>
                <w:sz w:val="19"/>
                <w:szCs w:val="19"/>
                <w:color w:val="auto"/>
              </w:rPr>
            </w:pPr>
          </w:p>
        </w:tc>
        <w:tc>
          <w:tcPr>
            <w:tcW w:w="2060" w:type="dxa"/>
            <w:vAlign w:val="bottom"/>
            <w:gridSpan w:val="2"/>
          </w:tcPr>
          <w:p>
            <w:pPr>
              <w:ind w:left="140"/>
              <w:spacing w:after="0"/>
              <w:rPr>
                <w:sz w:val="20"/>
                <w:szCs w:val="20"/>
                <w:color w:val="auto"/>
              </w:rPr>
            </w:pPr>
            <w:r>
              <w:rPr>
                <w:rFonts w:ascii="Verdana" w:cs="Verdana" w:eastAsia="Verdana" w:hAnsi="Verdana"/>
                <w:sz w:val="17"/>
                <w:szCs w:val="17"/>
                <w:color w:val="auto"/>
              </w:rPr>
              <w:t>других локализаций</w:t>
            </w:r>
          </w:p>
        </w:tc>
        <w:tc>
          <w:tcPr>
            <w:tcW w:w="114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50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420" w:type="dxa"/>
            <w:vAlign w:val="bottom"/>
            <w:tcBorders>
              <w:bottom w:val="single" w:sz="8" w:color="auto"/>
            </w:tcBorders>
          </w:tcPr>
          <w:p>
            <w:pPr>
              <w:spacing w:after="0"/>
              <w:rPr>
                <w:sz w:val="9"/>
                <w:szCs w:val="9"/>
                <w:color w:val="auto"/>
              </w:rPr>
            </w:pPr>
          </w:p>
        </w:tc>
        <w:tc>
          <w:tcPr>
            <w:tcW w:w="1140" w:type="dxa"/>
            <w:vAlign w:val="bottom"/>
            <w:tcBorders>
              <w:bottom w:val="single" w:sz="8" w:color="auto"/>
            </w:tcBorders>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500" w:type="dxa"/>
            <w:vAlign w:val="bottom"/>
            <w:tcBorders>
              <w:bottom w:val="single" w:sz="8" w:color="auto"/>
              <w:right w:val="single" w:sz="8" w:color="auto"/>
            </w:tcBorders>
          </w:tcPr>
          <w:p>
            <w:pPr>
              <w:spacing w:after="0"/>
              <w:rPr>
                <w:sz w:val="9"/>
                <w:szCs w:val="9"/>
                <w:color w:val="auto"/>
              </w:rPr>
            </w:pPr>
          </w:p>
        </w:tc>
      </w:tr>
    </w:tbl>
    <w:p>
      <w:pPr>
        <w:spacing w:after="0" w:line="20" w:lineRule="exact"/>
        <w:rPr>
          <w:sz w:val="20"/>
          <w:szCs w:val="20"/>
          <w:color w:val="auto"/>
        </w:rPr>
      </w:pPr>
    </w:p>
    <w:p>
      <w:pPr>
        <w:sectPr>
          <w:pgSz w:w="11900" w:h="16840" w:orient="portrait"/>
          <w:cols w:equalWidth="0" w:num="1">
            <w:col w:w="9020"/>
          </w:cols>
          <w:pgMar w:left="1440" w:top="143" w:right="1440" w:bottom="549" w:gutter="0" w:footer="0" w:header="0"/>
        </w:sectPr>
      </w:pPr>
    </w:p>
    <w:bookmarkStart w:id="139" w:name="page140"/>
    <w:bookmarkEnd w:id="139"/>
    <w:tbl>
      <w:tblPr>
        <w:tblLayout w:type="fixed"/>
        <w:tblInd w:w="370" w:type="dxa"/>
        <w:tblCellMar>
          <w:top w:w="0" w:type="dxa"/>
          <w:left w:w="0" w:type="dxa"/>
          <w:bottom w:w="0" w:type="dxa"/>
          <w:right w:w="0" w:type="dxa"/>
        </w:tblCellMar>
      </w:tblPr>
      <w:tr>
        <w:trPr>
          <w:trHeight w:val="295"/>
        </w:trPr>
        <w:tc>
          <w:tcPr>
            <w:tcW w:w="180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color w:val="auto"/>
              </w:rPr>
              <w:t>Ультразвуковое</w:t>
            </w:r>
          </w:p>
        </w:tc>
        <w:tc>
          <w:tcPr>
            <w:tcW w:w="640" w:type="dxa"/>
            <w:vAlign w:val="bottom"/>
            <w:tcBorders>
              <w:top w:val="single" w:sz="8" w:color="auto"/>
            </w:tcBorders>
          </w:tcPr>
          <w:p>
            <w:pPr>
              <w:ind w:left="280"/>
              <w:spacing w:after="0"/>
              <w:rPr>
                <w:sz w:val="20"/>
                <w:szCs w:val="20"/>
                <w:color w:val="auto"/>
              </w:rPr>
            </w:pPr>
            <w:r>
              <w:rPr>
                <w:rFonts w:ascii="Verdana" w:cs="Verdana" w:eastAsia="Verdana" w:hAnsi="Verdana"/>
                <w:sz w:val="17"/>
                <w:szCs w:val="17"/>
                <w:color w:val="auto"/>
              </w:rPr>
              <w:t>и</w:t>
            </w:r>
          </w:p>
        </w:tc>
        <w:tc>
          <w:tcPr>
            <w:tcW w:w="1760" w:type="dxa"/>
            <w:vAlign w:val="bottom"/>
            <w:tcBorders>
              <w:top w:val="single" w:sz="8" w:color="auto"/>
              <w:right w:val="single" w:sz="8" w:color="auto"/>
            </w:tcBorders>
          </w:tcPr>
          <w:p>
            <w:pPr>
              <w:ind w:left="280"/>
              <w:spacing w:after="0"/>
              <w:rPr>
                <w:sz w:val="20"/>
                <w:szCs w:val="20"/>
                <w:color w:val="auto"/>
              </w:rPr>
            </w:pPr>
            <w:r>
              <w:rPr>
                <w:rFonts w:ascii="Verdana" w:cs="Verdana" w:eastAsia="Verdana" w:hAnsi="Verdana"/>
                <w:sz w:val="17"/>
                <w:szCs w:val="17"/>
                <w:color w:val="auto"/>
              </w:rPr>
              <w:t>допплеровское</w:t>
            </w:r>
          </w:p>
        </w:tc>
        <w:tc>
          <w:tcPr>
            <w:tcW w:w="4260" w:type="dxa"/>
            <w:vAlign w:val="bottom"/>
            <w:tcBorders>
              <w:top w:val="single" w:sz="8" w:color="auto"/>
              <w:right w:val="single" w:sz="8" w:color="auto"/>
            </w:tcBorders>
            <w:gridSpan w:val="8"/>
          </w:tcPr>
          <w:p>
            <w:pPr>
              <w:ind w:left="140"/>
              <w:spacing w:after="0"/>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Для оценки размеров и структуры почек</w:t>
            </w:r>
          </w:p>
        </w:tc>
      </w:tr>
      <w:tr>
        <w:trPr>
          <w:trHeight w:val="165"/>
        </w:trPr>
        <w:tc>
          <w:tcPr>
            <w:tcW w:w="4200" w:type="dxa"/>
            <w:vAlign w:val="bottom"/>
            <w:tcBorders>
              <w:left w:val="single" w:sz="8" w:color="auto"/>
              <w:right w:val="single" w:sz="8" w:color="auto"/>
            </w:tcBorders>
            <w:gridSpan w:val="3"/>
          </w:tcPr>
          <w:p>
            <w:pPr>
              <w:ind w:left="160"/>
              <w:spacing w:after="0" w:line="165" w:lineRule="exact"/>
              <w:rPr>
                <w:sz w:val="20"/>
                <w:szCs w:val="20"/>
                <w:color w:val="auto"/>
              </w:rPr>
            </w:pPr>
            <w:r>
              <w:rPr>
                <w:rFonts w:ascii="Verdana" w:cs="Verdana" w:eastAsia="Verdana" w:hAnsi="Verdana"/>
                <w:sz w:val="17"/>
                <w:szCs w:val="17"/>
                <w:color w:val="auto"/>
              </w:rPr>
              <w:t>исследование брюшной полости</w:t>
            </w:r>
          </w:p>
        </w:tc>
        <w:tc>
          <w:tcPr>
            <w:tcW w:w="114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8"/>
              </w:rPr>
              <w:t>(</w:t>
            </w:r>
            <w:r>
              <w:rPr>
                <w:rFonts w:ascii="Verdana" w:cs="Verdana" w:eastAsia="Verdana" w:hAnsi="Verdana"/>
                <w:sz w:val="17"/>
                <w:szCs w:val="17"/>
                <w:color w:val="auto"/>
                <w:w w:val="98"/>
              </w:rPr>
              <w:t>например</w:t>
            </w:r>
            <w:r>
              <w:rPr>
                <w:rFonts w:ascii="Verdana" w:cs="Verdana" w:eastAsia="Verdana" w:hAnsi="Verdana"/>
                <w:sz w:val="17"/>
                <w:szCs w:val="17"/>
                <w:color w:val="auto"/>
                <w:w w:val="98"/>
              </w:rPr>
              <w:t>,</w:t>
            </w:r>
          </w:p>
        </w:tc>
        <w:tc>
          <w:tcPr>
            <w:tcW w:w="180" w:type="dxa"/>
            <w:vAlign w:val="bottom"/>
          </w:tcPr>
          <w:p>
            <w:pPr>
              <w:spacing w:after="0"/>
              <w:rPr>
                <w:sz w:val="14"/>
                <w:szCs w:val="14"/>
                <w:color w:val="auto"/>
              </w:rPr>
            </w:pPr>
          </w:p>
        </w:tc>
        <w:tc>
          <w:tcPr>
            <w:tcW w:w="1300" w:type="dxa"/>
            <w:vAlign w:val="bottom"/>
            <w:gridSpan w:val="2"/>
          </w:tcPr>
          <w:p>
            <w:pPr>
              <w:ind w:left="120"/>
              <w:spacing w:after="0" w:line="165" w:lineRule="exact"/>
              <w:rPr>
                <w:sz w:val="20"/>
                <w:szCs w:val="20"/>
                <w:color w:val="auto"/>
              </w:rPr>
            </w:pPr>
            <w:r>
              <w:rPr>
                <w:rFonts w:ascii="Verdana" w:cs="Verdana" w:eastAsia="Verdana" w:hAnsi="Verdana"/>
                <w:sz w:val="17"/>
                <w:szCs w:val="17"/>
                <w:color w:val="auto"/>
              </w:rPr>
              <w:t>рубцовые</w:t>
            </w:r>
          </w:p>
        </w:tc>
        <w:tc>
          <w:tcPr>
            <w:tcW w:w="108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w w:val="95"/>
              </w:rPr>
              <w:t>изменения</w:t>
            </w:r>
            <w:r>
              <w:rPr>
                <w:rFonts w:ascii="Verdana" w:cs="Verdana" w:eastAsia="Verdana" w:hAnsi="Verdana"/>
                <w:sz w:val="17"/>
                <w:szCs w:val="17"/>
                <w:color w:val="auto"/>
                <w:w w:val="95"/>
              </w:rPr>
              <w:t>)</w:t>
            </w:r>
          </w:p>
        </w:tc>
        <w:tc>
          <w:tcPr>
            <w:tcW w:w="5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132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исключения</w:t>
            </w:r>
          </w:p>
        </w:tc>
        <w:tc>
          <w:tcPr>
            <w:tcW w:w="1780" w:type="dxa"/>
            <w:vAlign w:val="bottom"/>
            <w:gridSpan w:val="3"/>
          </w:tcPr>
          <w:p>
            <w:pPr>
              <w:jc w:val="right"/>
              <w:ind w:right="197"/>
              <w:spacing w:after="0" w:line="165" w:lineRule="exact"/>
              <w:rPr>
                <w:sz w:val="20"/>
                <w:szCs w:val="20"/>
                <w:color w:val="auto"/>
              </w:rPr>
            </w:pPr>
            <w:r>
              <w:rPr>
                <w:rFonts w:ascii="Verdana" w:cs="Verdana" w:eastAsia="Verdana" w:hAnsi="Verdana"/>
                <w:sz w:val="17"/>
                <w:szCs w:val="17"/>
                <w:color w:val="auto"/>
              </w:rPr>
              <w:t>обструктивного</w:t>
            </w:r>
          </w:p>
        </w:tc>
        <w:tc>
          <w:tcPr>
            <w:tcW w:w="11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w w:val="98"/>
              </w:rPr>
              <w:t>поражения</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мочевыводящих путей как причины ХБП и АГ</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Оценить  состояние  брюшной  аорты</w:t>
            </w:r>
            <w:r>
              <w:rPr>
                <w:rFonts w:ascii="Verdana" w:cs="Verdana" w:eastAsia="Verdana" w:hAnsi="Verdana"/>
                <w:sz w:val="17"/>
                <w:szCs w:val="17"/>
                <w:color w:val="auto"/>
              </w:rPr>
              <w:t>,</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исключить аневризму и поражение сосудов</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32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1460" w:type="dxa"/>
            <w:vAlign w:val="bottom"/>
            <w:gridSpan w:val="3"/>
          </w:tcPr>
          <w:p>
            <w:pPr>
              <w:jc w:val="right"/>
              <w:spacing w:after="0" w:line="165" w:lineRule="exact"/>
              <w:rPr>
                <w:sz w:val="20"/>
                <w:szCs w:val="20"/>
                <w:color w:val="auto"/>
              </w:rPr>
            </w:pPr>
            <w:r>
              <w:rPr>
                <w:rFonts w:ascii="Verdana" w:cs="Verdana" w:eastAsia="Verdana" w:hAnsi="Verdana"/>
                <w:sz w:val="17"/>
                <w:szCs w:val="17"/>
                <w:color w:val="auto"/>
              </w:rPr>
              <w:t>Обследовать</w:t>
            </w:r>
          </w:p>
        </w:tc>
        <w:tc>
          <w:tcPr>
            <w:tcW w:w="1920" w:type="dxa"/>
            <w:vAlign w:val="bottom"/>
            <w:gridSpan w:val="3"/>
          </w:tcPr>
          <w:p>
            <w:pPr>
              <w:jc w:val="right"/>
              <w:ind w:right="237"/>
              <w:spacing w:after="0" w:line="165" w:lineRule="exact"/>
              <w:rPr>
                <w:sz w:val="20"/>
                <w:szCs w:val="20"/>
                <w:color w:val="auto"/>
              </w:rPr>
            </w:pPr>
            <w:r>
              <w:rPr>
                <w:rFonts w:ascii="Verdana" w:cs="Verdana" w:eastAsia="Verdana" w:hAnsi="Verdana"/>
                <w:sz w:val="17"/>
                <w:szCs w:val="17"/>
                <w:color w:val="auto"/>
              </w:rPr>
              <w:t>надпочечники</w:t>
            </w:r>
          </w:p>
        </w:tc>
        <w:tc>
          <w:tcPr>
            <w:tcW w:w="5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для</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исключения аденомы или феохромоцитомы</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114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для</w:t>
            </w:r>
          </w:p>
        </w:tc>
        <w:tc>
          <w:tcPr>
            <w:tcW w:w="1480" w:type="dxa"/>
            <w:vAlign w:val="bottom"/>
            <w:gridSpan w:val="3"/>
          </w:tcPr>
          <w:p>
            <w:pPr>
              <w:ind w:left="20"/>
              <w:spacing w:after="0" w:line="165" w:lineRule="exact"/>
              <w:rPr>
                <w:sz w:val="20"/>
                <w:szCs w:val="20"/>
                <w:color w:val="auto"/>
              </w:rPr>
            </w:pPr>
            <w:r>
              <w:rPr>
                <w:rFonts w:ascii="Verdana" w:cs="Verdana" w:eastAsia="Verdana" w:hAnsi="Verdana"/>
                <w:sz w:val="17"/>
                <w:szCs w:val="17"/>
                <w:color w:val="auto"/>
              </w:rPr>
              <w:t>тщательного</w:t>
            </w:r>
          </w:p>
        </w:tc>
        <w:tc>
          <w:tcPr>
            <w:tcW w:w="164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обследования</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предпочтительно выполнить КТ или МРТ</w:t>
            </w:r>
            <w:r>
              <w:rPr>
                <w:rFonts w:ascii="Verdana" w:cs="Verdana" w:eastAsia="Verdana" w:hAnsi="Verdana"/>
                <w:sz w:val="17"/>
                <w:szCs w:val="17"/>
                <w:color w:val="auto"/>
              </w:rPr>
              <w:t>);</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32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1460" w:type="dxa"/>
            <w:vAlign w:val="bottom"/>
            <w:gridSpan w:val="3"/>
          </w:tcPr>
          <w:p>
            <w:pPr>
              <w:jc w:val="right"/>
              <w:spacing w:after="0" w:line="165" w:lineRule="exact"/>
              <w:rPr>
                <w:sz w:val="20"/>
                <w:szCs w:val="20"/>
                <w:color w:val="auto"/>
              </w:rPr>
            </w:pPr>
            <w:r>
              <w:rPr>
                <w:rFonts w:ascii="Verdana" w:cs="Verdana" w:eastAsia="Verdana" w:hAnsi="Verdana"/>
                <w:sz w:val="17"/>
                <w:szCs w:val="17"/>
                <w:color w:val="auto"/>
              </w:rPr>
              <w:t>Допплеровское</w:t>
            </w:r>
          </w:p>
        </w:tc>
        <w:tc>
          <w:tcPr>
            <w:tcW w:w="132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исследование</w:t>
            </w:r>
          </w:p>
        </w:tc>
        <w:tc>
          <w:tcPr>
            <w:tcW w:w="11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почечных</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132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артерий для</w:t>
            </w:r>
          </w:p>
        </w:tc>
        <w:tc>
          <w:tcPr>
            <w:tcW w:w="2940" w:type="dxa"/>
            <w:vAlign w:val="bottom"/>
            <w:tcBorders>
              <w:right w:val="single" w:sz="8" w:color="auto"/>
            </w:tcBorders>
            <w:gridSpan w:val="5"/>
          </w:tcPr>
          <w:p>
            <w:pPr>
              <w:jc w:val="right"/>
              <w:ind w:right="97"/>
              <w:spacing w:after="0" w:line="165" w:lineRule="exact"/>
              <w:rPr>
                <w:sz w:val="20"/>
                <w:szCs w:val="20"/>
                <w:color w:val="auto"/>
              </w:rPr>
            </w:pPr>
            <w:r>
              <w:rPr>
                <w:rFonts w:ascii="Verdana" w:cs="Verdana" w:eastAsia="Verdana" w:hAnsi="Verdana"/>
                <w:sz w:val="17"/>
                <w:szCs w:val="17"/>
                <w:color w:val="auto"/>
              </w:rPr>
              <w:t>исключения реноваскулярных</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заболеваний</w:t>
            </w:r>
            <w:r>
              <w:rPr>
                <w:rFonts w:ascii="Verdana" w:cs="Verdana" w:eastAsia="Verdana" w:hAnsi="Verdana"/>
                <w:sz w:val="17"/>
                <w:szCs w:val="17"/>
                <w:color w:val="auto"/>
              </w:rPr>
              <w:t>,</w:t>
            </w:r>
            <w:r>
              <w:rPr>
                <w:rFonts w:ascii="Verdana" w:cs="Verdana" w:eastAsia="Verdana" w:hAnsi="Verdana"/>
                <w:sz w:val="17"/>
                <w:szCs w:val="17"/>
                <w:color w:val="auto"/>
              </w:rPr>
              <w:t xml:space="preserve">  особенно  при  выявлении</w:t>
            </w:r>
          </w:p>
        </w:tc>
      </w:tr>
      <w:tr>
        <w:trPr>
          <w:trHeight w:val="220"/>
        </w:trPr>
        <w:tc>
          <w:tcPr>
            <w:tcW w:w="1800" w:type="dxa"/>
            <w:vAlign w:val="bottom"/>
            <w:tcBorders>
              <w:left w:val="single" w:sz="8" w:color="auto"/>
            </w:tcBorders>
          </w:tcPr>
          <w:p>
            <w:pPr>
              <w:spacing w:after="0"/>
              <w:rPr>
                <w:sz w:val="19"/>
                <w:szCs w:val="19"/>
                <w:color w:val="auto"/>
              </w:rPr>
            </w:pPr>
          </w:p>
        </w:tc>
        <w:tc>
          <w:tcPr>
            <w:tcW w:w="640" w:type="dxa"/>
            <w:vAlign w:val="bottom"/>
          </w:tcPr>
          <w:p>
            <w:pPr>
              <w:spacing w:after="0"/>
              <w:rPr>
                <w:sz w:val="19"/>
                <w:szCs w:val="19"/>
                <w:color w:val="auto"/>
              </w:rPr>
            </w:pPr>
          </w:p>
        </w:tc>
        <w:tc>
          <w:tcPr>
            <w:tcW w:w="1760" w:type="dxa"/>
            <w:vAlign w:val="bottom"/>
            <w:tcBorders>
              <w:right w:val="single" w:sz="8" w:color="auto"/>
            </w:tcBorders>
          </w:tcPr>
          <w:p>
            <w:pPr>
              <w:spacing w:after="0"/>
              <w:rPr>
                <w:sz w:val="19"/>
                <w:szCs w:val="19"/>
                <w:color w:val="auto"/>
              </w:rPr>
            </w:pPr>
          </w:p>
        </w:tc>
        <w:tc>
          <w:tcPr>
            <w:tcW w:w="2620" w:type="dxa"/>
            <w:vAlign w:val="bottom"/>
            <w:gridSpan w:val="5"/>
          </w:tcPr>
          <w:p>
            <w:pPr>
              <w:ind w:left="140"/>
              <w:spacing w:after="0"/>
              <w:rPr>
                <w:sz w:val="20"/>
                <w:szCs w:val="20"/>
                <w:color w:val="auto"/>
              </w:rPr>
            </w:pPr>
            <w:r>
              <w:rPr>
                <w:rFonts w:ascii="Verdana" w:cs="Verdana" w:eastAsia="Verdana" w:hAnsi="Verdana"/>
                <w:sz w:val="17"/>
                <w:szCs w:val="17"/>
                <w:color w:val="auto"/>
                <w:w w:val="97"/>
              </w:rPr>
              <w:t>асимметрии размеров почек</w:t>
            </w:r>
          </w:p>
        </w:tc>
        <w:tc>
          <w:tcPr>
            <w:tcW w:w="48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60" w:type="dxa"/>
            <w:vAlign w:val="bottom"/>
            <w:tcBorders>
              <w:right w:val="single" w:sz="8" w:color="auto"/>
            </w:tcBorders>
          </w:tcPr>
          <w:p>
            <w:pPr>
              <w:spacing w:after="0"/>
              <w:rPr>
                <w:sz w:val="19"/>
                <w:szCs w:val="19"/>
                <w:color w:val="auto"/>
              </w:rPr>
            </w:pPr>
          </w:p>
        </w:tc>
      </w:tr>
      <w:tr>
        <w:trPr>
          <w:trHeight w:val="110"/>
        </w:trPr>
        <w:tc>
          <w:tcPr>
            <w:tcW w:w="1800" w:type="dxa"/>
            <w:vAlign w:val="bottom"/>
            <w:tcBorders>
              <w:left w:val="single" w:sz="8" w:color="auto"/>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760" w:type="dxa"/>
            <w:vAlign w:val="bottom"/>
            <w:tcBorders>
              <w:bottom w:val="single" w:sz="8" w:color="auto"/>
              <w:right w:val="single" w:sz="8" w:color="auto"/>
            </w:tcBorders>
          </w:tcPr>
          <w:p>
            <w:pPr>
              <w:spacing w:after="0"/>
              <w:rPr>
                <w:sz w:val="9"/>
                <w:szCs w:val="9"/>
                <w:color w:val="auto"/>
              </w:rPr>
            </w:pPr>
          </w:p>
        </w:tc>
        <w:tc>
          <w:tcPr>
            <w:tcW w:w="1140" w:type="dxa"/>
            <w:vAlign w:val="bottom"/>
            <w:tcBorders>
              <w:bottom w:val="single" w:sz="8" w:color="auto"/>
            </w:tcBorders>
            <w:gridSpan w:val="2"/>
          </w:tcPr>
          <w:p>
            <w:pPr>
              <w:spacing w:after="0"/>
              <w:rPr>
                <w:sz w:val="9"/>
                <w:szCs w:val="9"/>
                <w:color w:val="auto"/>
              </w:rPr>
            </w:pPr>
          </w:p>
        </w:tc>
        <w:tc>
          <w:tcPr>
            <w:tcW w:w="180" w:type="dxa"/>
            <w:vAlign w:val="bottom"/>
            <w:tcBorders>
              <w:bottom w:val="single" w:sz="8" w:color="auto"/>
            </w:tcBorders>
          </w:tcPr>
          <w:p>
            <w:pPr>
              <w:spacing w:after="0"/>
              <w:rPr>
                <w:sz w:val="9"/>
                <w:szCs w:val="9"/>
                <w:color w:val="auto"/>
              </w:rPr>
            </w:pPr>
          </w:p>
        </w:tc>
        <w:tc>
          <w:tcPr>
            <w:tcW w:w="1300" w:type="dxa"/>
            <w:vAlign w:val="bottom"/>
            <w:tcBorders>
              <w:bottom w:val="single" w:sz="8" w:color="auto"/>
            </w:tcBorders>
            <w:gridSpan w:val="2"/>
          </w:tcPr>
          <w:p>
            <w:pPr>
              <w:spacing w:after="0"/>
              <w:rPr>
                <w:sz w:val="9"/>
                <w:szCs w:val="9"/>
                <w:color w:val="auto"/>
              </w:rPr>
            </w:pPr>
          </w:p>
        </w:tc>
        <w:tc>
          <w:tcPr>
            <w:tcW w:w="1080" w:type="dxa"/>
            <w:vAlign w:val="bottom"/>
            <w:tcBorders>
              <w:bottom w:val="single" w:sz="8" w:color="auto"/>
            </w:tcBorders>
            <w:gridSpan w:val="2"/>
          </w:tcPr>
          <w:p>
            <w:pPr>
              <w:spacing w:after="0"/>
              <w:rPr>
                <w:sz w:val="9"/>
                <w:szCs w:val="9"/>
                <w:color w:val="auto"/>
              </w:rPr>
            </w:pPr>
          </w:p>
        </w:tc>
        <w:tc>
          <w:tcPr>
            <w:tcW w:w="560" w:type="dxa"/>
            <w:vAlign w:val="bottom"/>
            <w:tcBorders>
              <w:bottom w:val="single" w:sz="8" w:color="auto"/>
              <w:right w:val="single" w:sz="8" w:color="auto"/>
            </w:tcBorders>
          </w:tcPr>
          <w:p>
            <w:pPr>
              <w:spacing w:after="0"/>
              <w:rPr>
                <w:sz w:val="9"/>
                <w:szCs w:val="9"/>
                <w:color w:val="auto"/>
              </w:rPr>
            </w:pPr>
          </w:p>
        </w:tc>
      </w:tr>
      <w:tr>
        <w:trPr>
          <w:trHeight w:val="295"/>
        </w:trPr>
        <w:tc>
          <w:tcPr>
            <w:tcW w:w="180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СПВ</w:t>
            </w:r>
          </w:p>
        </w:tc>
        <w:tc>
          <w:tcPr>
            <w:tcW w:w="640" w:type="dxa"/>
            <w:vAlign w:val="bottom"/>
          </w:tcPr>
          <w:p>
            <w:pPr>
              <w:spacing w:after="0"/>
              <w:rPr>
                <w:sz w:val="24"/>
                <w:szCs w:val="24"/>
                <w:color w:val="auto"/>
              </w:rPr>
            </w:pPr>
          </w:p>
        </w:tc>
        <w:tc>
          <w:tcPr>
            <w:tcW w:w="1760" w:type="dxa"/>
            <w:vAlign w:val="bottom"/>
            <w:tcBorders>
              <w:right w:val="single" w:sz="8" w:color="auto"/>
            </w:tcBorders>
          </w:tcPr>
          <w:p>
            <w:pPr>
              <w:spacing w:after="0"/>
              <w:rPr>
                <w:sz w:val="24"/>
                <w:szCs w:val="24"/>
                <w:color w:val="auto"/>
              </w:rPr>
            </w:pPr>
          </w:p>
        </w:tc>
        <w:tc>
          <w:tcPr>
            <w:tcW w:w="1140" w:type="dxa"/>
            <w:vAlign w:val="bottom"/>
            <w:gridSpan w:val="2"/>
          </w:tcPr>
          <w:p>
            <w:pPr>
              <w:ind w:left="140"/>
              <w:spacing w:after="0"/>
              <w:rPr>
                <w:sz w:val="20"/>
                <w:szCs w:val="20"/>
                <w:color w:val="auto"/>
              </w:rPr>
            </w:pPr>
            <w:r>
              <w:rPr>
                <w:rFonts w:ascii="Verdana" w:cs="Verdana" w:eastAsia="Verdana" w:hAnsi="Verdana"/>
                <w:sz w:val="17"/>
                <w:szCs w:val="17"/>
                <w:color w:val="auto"/>
                <w:w w:val="96"/>
              </w:rPr>
              <w:t>Показатель</w:t>
            </w:r>
          </w:p>
        </w:tc>
        <w:tc>
          <w:tcPr>
            <w:tcW w:w="180" w:type="dxa"/>
            <w:vAlign w:val="bottom"/>
          </w:tcPr>
          <w:p>
            <w:pPr>
              <w:spacing w:after="0"/>
              <w:rPr>
                <w:sz w:val="24"/>
                <w:szCs w:val="24"/>
                <w:color w:val="auto"/>
              </w:rPr>
            </w:pPr>
          </w:p>
        </w:tc>
        <w:tc>
          <w:tcPr>
            <w:tcW w:w="1300" w:type="dxa"/>
            <w:vAlign w:val="bottom"/>
            <w:gridSpan w:val="2"/>
          </w:tcPr>
          <w:p>
            <w:pPr>
              <w:ind w:left="120"/>
              <w:spacing w:after="0"/>
              <w:rPr>
                <w:sz w:val="20"/>
                <w:szCs w:val="20"/>
                <w:color w:val="auto"/>
              </w:rPr>
            </w:pPr>
            <w:r>
              <w:rPr>
                <w:rFonts w:ascii="Verdana" w:cs="Verdana" w:eastAsia="Verdana" w:hAnsi="Verdana"/>
                <w:sz w:val="17"/>
                <w:szCs w:val="17"/>
                <w:color w:val="auto"/>
              </w:rPr>
              <w:t>аортальной</w:t>
            </w:r>
          </w:p>
        </w:tc>
        <w:tc>
          <w:tcPr>
            <w:tcW w:w="1080" w:type="dxa"/>
            <w:vAlign w:val="bottom"/>
            <w:gridSpan w:val="2"/>
          </w:tcPr>
          <w:p>
            <w:pPr>
              <w:jc w:val="right"/>
              <w:spacing w:after="0"/>
              <w:rPr>
                <w:sz w:val="20"/>
                <w:szCs w:val="20"/>
                <w:color w:val="auto"/>
              </w:rPr>
            </w:pPr>
            <w:r>
              <w:rPr>
                <w:rFonts w:ascii="Verdana" w:cs="Verdana" w:eastAsia="Verdana" w:hAnsi="Verdana"/>
                <w:sz w:val="17"/>
                <w:szCs w:val="17"/>
                <w:color w:val="auto"/>
              </w:rPr>
              <w:t>жесткости</w:t>
            </w:r>
          </w:p>
        </w:tc>
        <w:tc>
          <w:tcPr>
            <w:tcW w:w="56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и</w:t>
            </w:r>
          </w:p>
        </w:tc>
      </w:tr>
      <w:tr>
        <w:trPr>
          <w:trHeight w:val="220"/>
        </w:trPr>
        <w:tc>
          <w:tcPr>
            <w:tcW w:w="1800" w:type="dxa"/>
            <w:vAlign w:val="bottom"/>
            <w:tcBorders>
              <w:left w:val="single" w:sz="8" w:color="auto"/>
            </w:tcBorders>
          </w:tcPr>
          <w:p>
            <w:pPr>
              <w:spacing w:after="0"/>
              <w:rPr>
                <w:sz w:val="19"/>
                <w:szCs w:val="19"/>
                <w:color w:val="auto"/>
              </w:rPr>
            </w:pPr>
          </w:p>
        </w:tc>
        <w:tc>
          <w:tcPr>
            <w:tcW w:w="640" w:type="dxa"/>
            <w:vAlign w:val="bottom"/>
          </w:tcPr>
          <w:p>
            <w:pPr>
              <w:spacing w:after="0"/>
              <w:rPr>
                <w:sz w:val="19"/>
                <w:szCs w:val="19"/>
                <w:color w:val="auto"/>
              </w:rPr>
            </w:pPr>
          </w:p>
        </w:tc>
        <w:tc>
          <w:tcPr>
            <w:tcW w:w="1760" w:type="dxa"/>
            <w:vAlign w:val="bottom"/>
            <w:tcBorders>
              <w:right w:val="single" w:sz="8" w:color="auto"/>
            </w:tcBorders>
          </w:tcPr>
          <w:p>
            <w:pPr>
              <w:spacing w:after="0"/>
              <w:rPr>
                <w:sz w:val="19"/>
                <w:szCs w:val="19"/>
                <w:color w:val="auto"/>
              </w:rPr>
            </w:pPr>
          </w:p>
        </w:tc>
        <w:tc>
          <w:tcPr>
            <w:tcW w:w="1780" w:type="dxa"/>
            <w:vAlign w:val="bottom"/>
            <w:gridSpan w:val="4"/>
          </w:tcPr>
          <w:p>
            <w:pPr>
              <w:ind w:left="140"/>
              <w:spacing w:after="0"/>
              <w:rPr>
                <w:sz w:val="20"/>
                <w:szCs w:val="20"/>
                <w:color w:val="auto"/>
              </w:rPr>
            </w:pPr>
            <w:r>
              <w:rPr>
                <w:rFonts w:ascii="Verdana" w:cs="Verdana" w:eastAsia="Verdana" w:hAnsi="Verdana"/>
                <w:sz w:val="17"/>
                <w:szCs w:val="17"/>
                <w:color w:val="auto"/>
              </w:rPr>
              <w:t>артериосклероза</w:t>
            </w:r>
          </w:p>
        </w:tc>
        <w:tc>
          <w:tcPr>
            <w:tcW w:w="840" w:type="dxa"/>
            <w:vAlign w:val="bottom"/>
          </w:tcPr>
          <w:p>
            <w:pPr>
              <w:spacing w:after="0"/>
              <w:rPr>
                <w:sz w:val="19"/>
                <w:szCs w:val="19"/>
                <w:color w:val="auto"/>
              </w:rPr>
            </w:pPr>
          </w:p>
        </w:tc>
        <w:tc>
          <w:tcPr>
            <w:tcW w:w="48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60" w:type="dxa"/>
            <w:vAlign w:val="bottom"/>
            <w:tcBorders>
              <w:right w:val="single" w:sz="8" w:color="auto"/>
            </w:tcBorders>
          </w:tcPr>
          <w:p>
            <w:pPr>
              <w:spacing w:after="0"/>
              <w:rPr>
                <w:sz w:val="19"/>
                <w:szCs w:val="19"/>
                <w:color w:val="auto"/>
              </w:rPr>
            </w:pPr>
          </w:p>
        </w:tc>
      </w:tr>
      <w:tr>
        <w:trPr>
          <w:trHeight w:val="110"/>
        </w:trPr>
        <w:tc>
          <w:tcPr>
            <w:tcW w:w="1800" w:type="dxa"/>
            <w:vAlign w:val="bottom"/>
            <w:tcBorders>
              <w:left w:val="single" w:sz="8" w:color="auto"/>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760" w:type="dxa"/>
            <w:vAlign w:val="bottom"/>
            <w:tcBorders>
              <w:bottom w:val="single" w:sz="8" w:color="auto"/>
              <w:right w:val="single" w:sz="8" w:color="auto"/>
            </w:tcBorders>
          </w:tcPr>
          <w:p>
            <w:pPr>
              <w:spacing w:after="0"/>
              <w:rPr>
                <w:sz w:val="9"/>
                <w:szCs w:val="9"/>
                <w:color w:val="auto"/>
              </w:rPr>
            </w:pPr>
          </w:p>
        </w:tc>
        <w:tc>
          <w:tcPr>
            <w:tcW w:w="1140" w:type="dxa"/>
            <w:vAlign w:val="bottom"/>
            <w:tcBorders>
              <w:bottom w:val="single" w:sz="8" w:color="auto"/>
            </w:tcBorders>
            <w:gridSpan w:val="2"/>
          </w:tcPr>
          <w:p>
            <w:pPr>
              <w:spacing w:after="0"/>
              <w:rPr>
                <w:sz w:val="9"/>
                <w:szCs w:val="9"/>
                <w:color w:val="auto"/>
              </w:rPr>
            </w:pPr>
          </w:p>
        </w:tc>
        <w:tc>
          <w:tcPr>
            <w:tcW w:w="1480" w:type="dxa"/>
            <w:vAlign w:val="bottom"/>
            <w:tcBorders>
              <w:bottom w:val="single" w:sz="8" w:color="auto"/>
            </w:tcBorders>
            <w:gridSpan w:val="3"/>
          </w:tcPr>
          <w:p>
            <w:pPr>
              <w:spacing w:after="0"/>
              <w:rPr>
                <w:sz w:val="9"/>
                <w:szCs w:val="9"/>
                <w:color w:val="auto"/>
              </w:rPr>
            </w:pPr>
          </w:p>
        </w:tc>
        <w:tc>
          <w:tcPr>
            <w:tcW w:w="1640" w:type="dxa"/>
            <w:vAlign w:val="bottom"/>
            <w:tcBorders>
              <w:bottom w:val="single" w:sz="8" w:color="auto"/>
              <w:right w:val="single" w:sz="8" w:color="auto"/>
            </w:tcBorders>
            <w:gridSpan w:val="3"/>
          </w:tcPr>
          <w:p>
            <w:pPr>
              <w:spacing w:after="0"/>
              <w:rPr>
                <w:sz w:val="9"/>
                <w:szCs w:val="9"/>
                <w:color w:val="auto"/>
              </w:rPr>
            </w:pPr>
          </w:p>
        </w:tc>
      </w:tr>
      <w:tr>
        <w:trPr>
          <w:trHeight w:val="295"/>
        </w:trPr>
        <w:tc>
          <w:tcPr>
            <w:tcW w:w="180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ЛПИ</w:t>
            </w:r>
          </w:p>
        </w:tc>
        <w:tc>
          <w:tcPr>
            <w:tcW w:w="640" w:type="dxa"/>
            <w:vAlign w:val="bottom"/>
          </w:tcPr>
          <w:p>
            <w:pPr>
              <w:spacing w:after="0"/>
              <w:rPr>
                <w:sz w:val="24"/>
                <w:szCs w:val="24"/>
                <w:color w:val="auto"/>
              </w:rPr>
            </w:pPr>
          </w:p>
        </w:tc>
        <w:tc>
          <w:tcPr>
            <w:tcW w:w="1760" w:type="dxa"/>
            <w:vAlign w:val="bottom"/>
            <w:tcBorders>
              <w:right w:val="single" w:sz="8" w:color="auto"/>
            </w:tcBorders>
          </w:tcPr>
          <w:p>
            <w:pPr>
              <w:spacing w:after="0"/>
              <w:rPr>
                <w:sz w:val="24"/>
                <w:szCs w:val="24"/>
                <w:color w:val="auto"/>
              </w:rPr>
            </w:pPr>
          </w:p>
        </w:tc>
        <w:tc>
          <w:tcPr>
            <w:tcW w:w="1140" w:type="dxa"/>
            <w:vAlign w:val="bottom"/>
            <w:gridSpan w:val="2"/>
          </w:tcPr>
          <w:p>
            <w:pPr>
              <w:ind w:left="140"/>
              <w:spacing w:after="0"/>
              <w:rPr>
                <w:sz w:val="20"/>
                <w:szCs w:val="20"/>
                <w:color w:val="auto"/>
              </w:rPr>
            </w:pPr>
            <w:r>
              <w:rPr>
                <w:rFonts w:ascii="Verdana" w:cs="Verdana" w:eastAsia="Verdana" w:hAnsi="Verdana"/>
                <w:sz w:val="17"/>
                <w:szCs w:val="17"/>
                <w:color w:val="auto"/>
              </w:rPr>
              <w:t>Скрининг</w:t>
            </w:r>
          </w:p>
        </w:tc>
        <w:tc>
          <w:tcPr>
            <w:tcW w:w="1480" w:type="dxa"/>
            <w:vAlign w:val="bottom"/>
            <w:gridSpan w:val="3"/>
          </w:tcPr>
          <w:p>
            <w:pPr>
              <w:ind w:left="20"/>
              <w:spacing w:after="0"/>
              <w:rPr>
                <w:sz w:val="20"/>
                <w:szCs w:val="20"/>
                <w:color w:val="auto"/>
              </w:rPr>
            </w:pPr>
            <w:r>
              <w:rPr>
                <w:rFonts w:ascii="Verdana" w:cs="Verdana" w:eastAsia="Verdana" w:hAnsi="Verdana"/>
                <w:sz w:val="17"/>
                <w:szCs w:val="17"/>
                <w:color w:val="auto"/>
              </w:rPr>
              <w:t>для  выявления</w:t>
            </w:r>
          </w:p>
        </w:tc>
        <w:tc>
          <w:tcPr>
            <w:tcW w:w="1640" w:type="dxa"/>
            <w:vAlign w:val="bottom"/>
            <w:tcBorders>
              <w:right w:val="single" w:sz="8" w:color="auto"/>
            </w:tcBorders>
            <w:gridSpan w:val="3"/>
          </w:tcPr>
          <w:p>
            <w:pPr>
              <w:jc w:val="right"/>
              <w:ind w:right="97"/>
              <w:spacing w:after="0"/>
              <w:rPr>
                <w:sz w:val="20"/>
                <w:szCs w:val="20"/>
                <w:color w:val="auto"/>
              </w:rPr>
            </w:pPr>
            <w:r>
              <w:rPr>
                <w:rFonts w:ascii="Verdana" w:cs="Verdana" w:eastAsia="Verdana" w:hAnsi="Verdana"/>
                <w:sz w:val="17"/>
                <w:szCs w:val="17"/>
                <w:color w:val="auto"/>
              </w:rPr>
              <w:t>атеросклероза</w:t>
            </w:r>
          </w:p>
        </w:tc>
      </w:tr>
      <w:tr>
        <w:trPr>
          <w:trHeight w:val="220"/>
        </w:trPr>
        <w:tc>
          <w:tcPr>
            <w:tcW w:w="1800" w:type="dxa"/>
            <w:vAlign w:val="bottom"/>
            <w:tcBorders>
              <w:left w:val="single" w:sz="8" w:color="auto"/>
            </w:tcBorders>
          </w:tcPr>
          <w:p>
            <w:pPr>
              <w:spacing w:after="0"/>
              <w:rPr>
                <w:sz w:val="19"/>
                <w:szCs w:val="19"/>
                <w:color w:val="auto"/>
              </w:rPr>
            </w:pPr>
          </w:p>
        </w:tc>
        <w:tc>
          <w:tcPr>
            <w:tcW w:w="640" w:type="dxa"/>
            <w:vAlign w:val="bottom"/>
          </w:tcPr>
          <w:p>
            <w:pPr>
              <w:spacing w:after="0"/>
              <w:rPr>
                <w:sz w:val="19"/>
                <w:szCs w:val="19"/>
                <w:color w:val="auto"/>
              </w:rPr>
            </w:pPr>
          </w:p>
        </w:tc>
        <w:tc>
          <w:tcPr>
            <w:tcW w:w="1760" w:type="dxa"/>
            <w:vAlign w:val="bottom"/>
            <w:tcBorders>
              <w:right w:val="single" w:sz="8" w:color="auto"/>
            </w:tcBorders>
          </w:tcPr>
          <w:p>
            <w:pPr>
              <w:spacing w:after="0"/>
              <w:rPr>
                <w:sz w:val="19"/>
                <w:szCs w:val="19"/>
                <w:color w:val="auto"/>
              </w:rPr>
            </w:pPr>
          </w:p>
        </w:tc>
        <w:tc>
          <w:tcPr>
            <w:tcW w:w="2620" w:type="dxa"/>
            <w:vAlign w:val="bottom"/>
            <w:gridSpan w:val="5"/>
          </w:tcPr>
          <w:p>
            <w:pPr>
              <w:ind w:left="140"/>
              <w:spacing w:after="0"/>
              <w:rPr>
                <w:sz w:val="20"/>
                <w:szCs w:val="20"/>
                <w:color w:val="auto"/>
              </w:rPr>
            </w:pPr>
            <w:r>
              <w:rPr>
                <w:rFonts w:ascii="Verdana" w:cs="Verdana" w:eastAsia="Verdana" w:hAnsi="Verdana"/>
                <w:sz w:val="17"/>
                <w:szCs w:val="17"/>
                <w:color w:val="auto"/>
              </w:rPr>
              <w:t>нижних конечностей</w:t>
            </w:r>
          </w:p>
        </w:tc>
        <w:tc>
          <w:tcPr>
            <w:tcW w:w="48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6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gridSpan w:val="3"/>
          </w:tcPr>
          <w:p>
            <w:pPr>
              <w:spacing w:after="0"/>
              <w:rPr>
                <w:sz w:val="9"/>
                <w:szCs w:val="9"/>
                <w:color w:val="auto"/>
              </w:rPr>
            </w:pPr>
          </w:p>
        </w:tc>
        <w:tc>
          <w:tcPr>
            <w:tcW w:w="4260" w:type="dxa"/>
            <w:vAlign w:val="bottom"/>
            <w:tcBorders>
              <w:bottom w:val="single" w:sz="8" w:color="auto"/>
              <w:right w:val="single" w:sz="8" w:color="auto"/>
            </w:tcBorders>
            <w:gridSpan w:val="8"/>
          </w:tcPr>
          <w:p>
            <w:pPr>
              <w:spacing w:after="0"/>
              <w:rPr>
                <w:sz w:val="9"/>
                <w:szCs w:val="9"/>
                <w:color w:val="auto"/>
              </w:rPr>
            </w:pPr>
          </w:p>
        </w:tc>
      </w:tr>
      <w:tr>
        <w:trPr>
          <w:trHeight w:val="295"/>
        </w:trPr>
        <w:tc>
          <w:tcPr>
            <w:tcW w:w="4200" w:type="dxa"/>
            <w:vAlign w:val="bottom"/>
            <w:tcBorders>
              <w:left w:val="single" w:sz="8" w:color="auto"/>
              <w:right w:val="single" w:sz="8" w:color="auto"/>
            </w:tcBorders>
            <w:gridSpan w:val="3"/>
          </w:tcPr>
          <w:p>
            <w:pPr>
              <w:ind w:left="160"/>
              <w:spacing w:after="0"/>
              <w:rPr>
                <w:sz w:val="20"/>
                <w:szCs w:val="20"/>
                <w:color w:val="auto"/>
              </w:rPr>
            </w:pPr>
            <w:r>
              <w:rPr>
                <w:rFonts w:ascii="Verdana" w:cs="Verdana" w:eastAsia="Verdana" w:hAnsi="Verdana"/>
                <w:sz w:val="17"/>
                <w:szCs w:val="17"/>
                <w:color w:val="auto"/>
              </w:rPr>
              <w:t>Оценка когнитивных функций</w:t>
            </w:r>
          </w:p>
        </w:tc>
        <w:tc>
          <w:tcPr>
            <w:tcW w:w="4260" w:type="dxa"/>
            <w:vAlign w:val="bottom"/>
            <w:tcBorders>
              <w:right w:val="single" w:sz="8" w:color="auto"/>
            </w:tcBorders>
            <w:gridSpan w:val="8"/>
          </w:tcPr>
          <w:p>
            <w:pPr>
              <w:ind w:left="140"/>
              <w:spacing w:after="0"/>
              <w:rPr>
                <w:sz w:val="20"/>
                <w:szCs w:val="20"/>
                <w:color w:val="auto"/>
              </w:rPr>
            </w:pPr>
            <w:r>
              <w:rPr>
                <w:rFonts w:ascii="Verdana" w:cs="Verdana" w:eastAsia="Verdana" w:hAnsi="Verdana"/>
                <w:sz w:val="17"/>
                <w:szCs w:val="17"/>
                <w:color w:val="auto"/>
              </w:rPr>
              <w:t>Для оценки когнитивных функций у больных</w:t>
            </w:r>
          </w:p>
        </w:tc>
      </w:tr>
      <w:tr>
        <w:trPr>
          <w:trHeight w:val="220"/>
        </w:trPr>
        <w:tc>
          <w:tcPr>
            <w:tcW w:w="1800" w:type="dxa"/>
            <w:vAlign w:val="bottom"/>
            <w:tcBorders>
              <w:left w:val="single" w:sz="8" w:color="auto"/>
            </w:tcBorders>
          </w:tcPr>
          <w:p>
            <w:pPr>
              <w:spacing w:after="0"/>
              <w:rPr>
                <w:sz w:val="19"/>
                <w:szCs w:val="19"/>
                <w:color w:val="auto"/>
              </w:rPr>
            </w:pPr>
          </w:p>
        </w:tc>
        <w:tc>
          <w:tcPr>
            <w:tcW w:w="640" w:type="dxa"/>
            <w:vAlign w:val="bottom"/>
          </w:tcPr>
          <w:p>
            <w:pPr>
              <w:spacing w:after="0"/>
              <w:rPr>
                <w:sz w:val="19"/>
                <w:szCs w:val="19"/>
                <w:color w:val="auto"/>
              </w:rPr>
            </w:pPr>
          </w:p>
        </w:tc>
        <w:tc>
          <w:tcPr>
            <w:tcW w:w="1760" w:type="dxa"/>
            <w:vAlign w:val="bottom"/>
            <w:tcBorders>
              <w:right w:val="single" w:sz="8" w:color="auto"/>
            </w:tcBorders>
          </w:tcPr>
          <w:p>
            <w:pPr>
              <w:spacing w:after="0"/>
              <w:rPr>
                <w:sz w:val="19"/>
                <w:szCs w:val="19"/>
                <w:color w:val="auto"/>
              </w:rPr>
            </w:pPr>
          </w:p>
        </w:tc>
        <w:tc>
          <w:tcPr>
            <w:tcW w:w="2620" w:type="dxa"/>
            <w:vAlign w:val="bottom"/>
            <w:gridSpan w:val="5"/>
          </w:tcPr>
          <w:p>
            <w:pPr>
              <w:ind w:left="140"/>
              <w:spacing w:after="0"/>
              <w:rPr>
                <w:sz w:val="20"/>
                <w:szCs w:val="20"/>
                <w:color w:val="auto"/>
              </w:rPr>
            </w:pPr>
            <w:r>
              <w:rPr>
                <w:rFonts w:ascii="Verdana" w:cs="Verdana" w:eastAsia="Verdana" w:hAnsi="Verdana"/>
                <w:sz w:val="17"/>
                <w:szCs w:val="17"/>
                <w:color w:val="auto"/>
                <w:w w:val="97"/>
              </w:rPr>
              <w:t>с признаками их нарушений</w:t>
            </w:r>
          </w:p>
        </w:tc>
        <w:tc>
          <w:tcPr>
            <w:tcW w:w="48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60" w:type="dxa"/>
            <w:vAlign w:val="bottom"/>
            <w:tcBorders>
              <w:right w:val="single" w:sz="8" w:color="auto"/>
            </w:tcBorders>
          </w:tcPr>
          <w:p>
            <w:pPr>
              <w:spacing w:after="0"/>
              <w:rPr>
                <w:sz w:val="19"/>
                <w:szCs w:val="19"/>
                <w:color w:val="auto"/>
              </w:rPr>
            </w:pPr>
          </w:p>
        </w:tc>
      </w:tr>
      <w:tr>
        <w:trPr>
          <w:trHeight w:val="110"/>
        </w:trPr>
        <w:tc>
          <w:tcPr>
            <w:tcW w:w="4200" w:type="dxa"/>
            <w:vAlign w:val="bottom"/>
            <w:tcBorders>
              <w:left w:val="single" w:sz="8" w:color="auto"/>
              <w:bottom w:val="single" w:sz="8" w:color="auto"/>
              <w:right w:val="single" w:sz="8" w:color="auto"/>
            </w:tcBorders>
            <w:gridSpan w:val="3"/>
          </w:tcPr>
          <w:p>
            <w:pPr>
              <w:spacing w:after="0"/>
              <w:rPr>
                <w:sz w:val="9"/>
                <w:szCs w:val="9"/>
                <w:color w:val="auto"/>
              </w:rPr>
            </w:pPr>
          </w:p>
        </w:tc>
        <w:tc>
          <w:tcPr>
            <w:tcW w:w="4260" w:type="dxa"/>
            <w:vAlign w:val="bottom"/>
            <w:tcBorders>
              <w:bottom w:val="single" w:sz="8" w:color="auto"/>
              <w:right w:val="single" w:sz="8" w:color="auto"/>
            </w:tcBorders>
            <w:gridSpan w:val="8"/>
          </w:tcPr>
          <w:p>
            <w:pPr>
              <w:spacing w:after="0"/>
              <w:rPr>
                <w:sz w:val="9"/>
                <w:szCs w:val="9"/>
                <w:color w:val="auto"/>
              </w:rPr>
            </w:pPr>
          </w:p>
        </w:tc>
      </w:tr>
      <w:tr>
        <w:trPr>
          <w:trHeight w:val="295"/>
        </w:trPr>
        <w:tc>
          <w:tcPr>
            <w:tcW w:w="4200" w:type="dxa"/>
            <w:vAlign w:val="bottom"/>
            <w:tcBorders>
              <w:left w:val="single" w:sz="8" w:color="auto"/>
              <w:right w:val="single" w:sz="8" w:color="auto"/>
            </w:tcBorders>
            <w:gridSpan w:val="3"/>
          </w:tcPr>
          <w:p>
            <w:pPr>
              <w:ind w:left="160"/>
              <w:spacing w:after="0"/>
              <w:rPr>
                <w:sz w:val="20"/>
                <w:szCs w:val="20"/>
                <w:color w:val="auto"/>
              </w:rPr>
            </w:pPr>
            <w:r>
              <w:rPr>
                <w:rFonts w:ascii="Verdana" w:cs="Verdana" w:eastAsia="Verdana" w:hAnsi="Verdana"/>
                <w:sz w:val="17"/>
                <w:szCs w:val="17"/>
                <w:color w:val="auto"/>
              </w:rPr>
              <w:t>Визуализация головного мозга</w:t>
            </w:r>
          </w:p>
        </w:tc>
        <w:tc>
          <w:tcPr>
            <w:tcW w:w="4260" w:type="dxa"/>
            <w:vAlign w:val="bottom"/>
            <w:tcBorders>
              <w:right w:val="single" w:sz="8" w:color="auto"/>
            </w:tcBorders>
            <w:gridSpan w:val="8"/>
          </w:tcPr>
          <w:p>
            <w:pPr>
              <w:ind w:left="140"/>
              <w:spacing w:after="0"/>
              <w:rPr>
                <w:sz w:val="20"/>
                <w:szCs w:val="20"/>
                <w:color w:val="auto"/>
              </w:rPr>
            </w:pPr>
            <w:r>
              <w:rPr>
                <w:rFonts w:ascii="Verdana" w:cs="Verdana" w:eastAsia="Verdana" w:hAnsi="Verdana"/>
                <w:sz w:val="17"/>
                <w:szCs w:val="17"/>
                <w:color w:val="auto"/>
              </w:rPr>
              <w:t>Для  оценки  наличия  ишемического  или</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178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геморрагического</w:t>
            </w:r>
          </w:p>
        </w:tc>
        <w:tc>
          <w:tcPr>
            <w:tcW w:w="132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повреждения</w:t>
            </w:r>
          </w:p>
        </w:tc>
        <w:tc>
          <w:tcPr>
            <w:tcW w:w="11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головного</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426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мозга</w:t>
            </w:r>
            <w:r>
              <w:rPr>
                <w:rFonts w:ascii="Verdana" w:cs="Verdana" w:eastAsia="Verdana" w:hAnsi="Verdana"/>
                <w:sz w:val="17"/>
                <w:szCs w:val="17"/>
                <w:color w:val="auto"/>
              </w:rPr>
              <w:t>,</w:t>
            </w:r>
            <w:r>
              <w:rPr>
                <w:rFonts w:ascii="Verdana" w:cs="Verdana" w:eastAsia="Verdana" w:hAnsi="Verdana"/>
                <w:sz w:val="17"/>
                <w:szCs w:val="17"/>
                <w:color w:val="auto"/>
              </w:rPr>
              <w:t xml:space="preserve">  особенно  у  пациентов  с  ЦВБ  в</w:t>
            </w:r>
          </w:p>
        </w:tc>
      </w:tr>
      <w:tr>
        <w:trPr>
          <w:trHeight w:val="165"/>
        </w:trPr>
        <w:tc>
          <w:tcPr>
            <w:tcW w:w="1800" w:type="dxa"/>
            <w:vAlign w:val="bottom"/>
            <w:tcBorders>
              <w:left w:val="single" w:sz="8" w:color="auto"/>
            </w:tcBorders>
          </w:tcPr>
          <w:p>
            <w:pPr>
              <w:spacing w:after="0"/>
              <w:rPr>
                <w:sz w:val="14"/>
                <w:szCs w:val="14"/>
                <w:color w:val="auto"/>
              </w:rPr>
            </w:pPr>
          </w:p>
        </w:tc>
        <w:tc>
          <w:tcPr>
            <w:tcW w:w="640" w:type="dxa"/>
            <w:vAlign w:val="bottom"/>
          </w:tcPr>
          <w:p>
            <w:pPr>
              <w:spacing w:after="0"/>
              <w:rPr>
                <w:sz w:val="14"/>
                <w:szCs w:val="14"/>
                <w:color w:val="auto"/>
              </w:rPr>
            </w:pPr>
          </w:p>
        </w:tc>
        <w:tc>
          <w:tcPr>
            <w:tcW w:w="1760" w:type="dxa"/>
            <w:vAlign w:val="bottom"/>
            <w:tcBorders>
              <w:right w:val="single" w:sz="8" w:color="auto"/>
            </w:tcBorders>
          </w:tcPr>
          <w:p>
            <w:pPr>
              <w:spacing w:after="0"/>
              <w:rPr>
                <w:sz w:val="14"/>
                <w:szCs w:val="14"/>
                <w:color w:val="auto"/>
              </w:rPr>
            </w:pPr>
          </w:p>
        </w:tc>
        <w:tc>
          <w:tcPr>
            <w:tcW w:w="114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анамнезе</w:t>
            </w:r>
          </w:p>
        </w:tc>
        <w:tc>
          <w:tcPr>
            <w:tcW w:w="640" w:type="dxa"/>
            <w:vAlign w:val="bottom"/>
            <w:gridSpan w:val="2"/>
          </w:tcPr>
          <w:p>
            <w:pPr>
              <w:jc w:val="right"/>
              <w:ind w:right="157"/>
              <w:spacing w:after="0" w:line="165" w:lineRule="exact"/>
              <w:rPr>
                <w:sz w:val="20"/>
                <w:szCs w:val="20"/>
                <w:color w:val="auto"/>
              </w:rPr>
            </w:pPr>
            <w:r>
              <w:rPr>
                <w:rFonts w:ascii="Verdana" w:cs="Verdana" w:eastAsia="Verdana" w:hAnsi="Verdana"/>
                <w:sz w:val="17"/>
                <w:szCs w:val="17"/>
                <w:color w:val="auto"/>
              </w:rPr>
              <w:t>или</w:t>
            </w:r>
          </w:p>
        </w:tc>
        <w:tc>
          <w:tcPr>
            <w:tcW w:w="1320" w:type="dxa"/>
            <w:vAlign w:val="bottom"/>
            <w:gridSpan w:val="2"/>
          </w:tcPr>
          <w:p>
            <w:pPr>
              <w:jc w:val="right"/>
              <w:ind w:right="177"/>
              <w:spacing w:after="0" w:line="165" w:lineRule="exact"/>
              <w:rPr>
                <w:sz w:val="20"/>
                <w:szCs w:val="20"/>
                <w:color w:val="auto"/>
              </w:rPr>
            </w:pPr>
            <w:r>
              <w:rPr>
                <w:rFonts w:ascii="Verdana" w:cs="Verdana" w:eastAsia="Verdana" w:hAnsi="Verdana"/>
                <w:sz w:val="17"/>
                <w:szCs w:val="17"/>
                <w:color w:val="auto"/>
                <w:w w:val="98"/>
              </w:rPr>
              <w:t>признаками</w:t>
            </w:r>
          </w:p>
        </w:tc>
        <w:tc>
          <w:tcPr>
            <w:tcW w:w="11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w w:val="98"/>
              </w:rPr>
              <w:t>ухудшения</w:t>
            </w:r>
          </w:p>
        </w:tc>
      </w:tr>
      <w:tr>
        <w:trPr>
          <w:trHeight w:val="220"/>
        </w:trPr>
        <w:tc>
          <w:tcPr>
            <w:tcW w:w="1800" w:type="dxa"/>
            <w:vAlign w:val="bottom"/>
            <w:tcBorders>
              <w:left w:val="single" w:sz="8" w:color="auto"/>
            </w:tcBorders>
          </w:tcPr>
          <w:p>
            <w:pPr>
              <w:spacing w:after="0"/>
              <w:rPr>
                <w:sz w:val="19"/>
                <w:szCs w:val="19"/>
                <w:color w:val="auto"/>
              </w:rPr>
            </w:pPr>
          </w:p>
        </w:tc>
        <w:tc>
          <w:tcPr>
            <w:tcW w:w="640" w:type="dxa"/>
            <w:vAlign w:val="bottom"/>
          </w:tcPr>
          <w:p>
            <w:pPr>
              <w:spacing w:after="0"/>
              <w:rPr>
                <w:sz w:val="19"/>
                <w:szCs w:val="19"/>
                <w:color w:val="auto"/>
              </w:rPr>
            </w:pPr>
          </w:p>
        </w:tc>
        <w:tc>
          <w:tcPr>
            <w:tcW w:w="1760" w:type="dxa"/>
            <w:vAlign w:val="bottom"/>
            <w:tcBorders>
              <w:right w:val="single" w:sz="8" w:color="auto"/>
            </w:tcBorders>
          </w:tcPr>
          <w:p>
            <w:pPr>
              <w:spacing w:after="0"/>
              <w:rPr>
                <w:sz w:val="19"/>
                <w:szCs w:val="19"/>
                <w:color w:val="auto"/>
              </w:rPr>
            </w:pPr>
          </w:p>
        </w:tc>
        <w:tc>
          <w:tcPr>
            <w:tcW w:w="2620" w:type="dxa"/>
            <w:vAlign w:val="bottom"/>
            <w:gridSpan w:val="5"/>
          </w:tcPr>
          <w:p>
            <w:pPr>
              <w:ind w:left="140"/>
              <w:spacing w:after="0"/>
              <w:rPr>
                <w:sz w:val="20"/>
                <w:szCs w:val="20"/>
                <w:color w:val="auto"/>
              </w:rPr>
            </w:pPr>
            <w:r>
              <w:rPr>
                <w:rFonts w:ascii="Verdana" w:cs="Verdana" w:eastAsia="Verdana" w:hAnsi="Verdana"/>
                <w:sz w:val="17"/>
                <w:szCs w:val="17"/>
                <w:color w:val="auto"/>
              </w:rPr>
              <w:t>когнитивных функций</w:t>
            </w:r>
          </w:p>
        </w:tc>
        <w:tc>
          <w:tcPr>
            <w:tcW w:w="48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60" w:type="dxa"/>
            <w:vAlign w:val="bottom"/>
            <w:tcBorders>
              <w:right w:val="single" w:sz="8" w:color="auto"/>
            </w:tcBorders>
          </w:tcPr>
          <w:p>
            <w:pPr>
              <w:spacing w:after="0"/>
              <w:rPr>
                <w:sz w:val="19"/>
                <w:szCs w:val="19"/>
                <w:color w:val="auto"/>
              </w:rPr>
            </w:pPr>
          </w:p>
        </w:tc>
      </w:tr>
      <w:tr>
        <w:trPr>
          <w:trHeight w:val="110"/>
        </w:trPr>
        <w:tc>
          <w:tcPr>
            <w:tcW w:w="1800" w:type="dxa"/>
            <w:vAlign w:val="bottom"/>
            <w:tcBorders>
              <w:left w:val="single" w:sz="8" w:color="auto"/>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1760" w:type="dxa"/>
            <w:vAlign w:val="bottom"/>
            <w:tcBorders>
              <w:bottom w:val="single" w:sz="8" w:color="auto"/>
              <w:right w:val="single" w:sz="8" w:color="auto"/>
            </w:tcBorders>
          </w:tcPr>
          <w:p>
            <w:pPr>
              <w:spacing w:after="0"/>
              <w:rPr>
                <w:sz w:val="9"/>
                <w:szCs w:val="9"/>
                <w:color w:val="auto"/>
              </w:rPr>
            </w:pPr>
          </w:p>
        </w:tc>
        <w:tc>
          <w:tcPr>
            <w:tcW w:w="320" w:type="dxa"/>
            <w:vAlign w:val="bottom"/>
            <w:tcBorders>
              <w:bottom w:val="single" w:sz="8" w:color="auto"/>
            </w:tcBorders>
          </w:tcPr>
          <w:p>
            <w:pPr>
              <w:spacing w:after="0"/>
              <w:rPr>
                <w:sz w:val="9"/>
                <w:szCs w:val="9"/>
                <w:color w:val="auto"/>
              </w:rPr>
            </w:pPr>
          </w:p>
        </w:tc>
        <w:tc>
          <w:tcPr>
            <w:tcW w:w="820" w:type="dxa"/>
            <w:vAlign w:val="bottom"/>
            <w:tcBorders>
              <w:bottom w:val="single" w:sz="8" w:color="auto"/>
            </w:tcBorders>
          </w:tcPr>
          <w:p>
            <w:pPr>
              <w:spacing w:after="0"/>
              <w:rPr>
                <w:sz w:val="9"/>
                <w:szCs w:val="9"/>
                <w:color w:val="auto"/>
              </w:rPr>
            </w:pPr>
          </w:p>
        </w:tc>
        <w:tc>
          <w:tcPr>
            <w:tcW w:w="180" w:type="dxa"/>
            <w:vAlign w:val="bottom"/>
            <w:tcBorders>
              <w:bottom w:val="single" w:sz="8" w:color="auto"/>
            </w:tcBorders>
          </w:tcPr>
          <w:p>
            <w:pPr>
              <w:spacing w:after="0"/>
              <w:rPr>
                <w:sz w:val="9"/>
                <w:szCs w:val="9"/>
                <w:color w:val="auto"/>
              </w:rPr>
            </w:pPr>
          </w:p>
        </w:tc>
        <w:tc>
          <w:tcPr>
            <w:tcW w:w="460" w:type="dxa"/>
            <w:vAlign w:val="bottom"/>
            <w:tcBorders>
              <w:bottom w:val="single" w:sz="8" w:color="auto"/>
            </w:tcBorders>
          </w:tcPr>
          <w:p>
            <w:pPr>
              <w:spacing w:after="0"/>
              <w:rPr>
                <w:sz w:val="9"/>
                <w:szCs w:val="9"/>
                <w:color w:val="auto"/>
              </w:rPr>
            </w:pPr>
          </w:p>
        </w:tc>
        <w:tc>
          <w:tcPr>
            <w:tcW w:w="8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560" w:type="dxa"/>
            <w:vAlign w:val="bottom"/>
            <w:tcBorders>
              <w:bottom w:val="single" w:sz="8" w:color="auto"/>
              <w:right w:val="single" w:sz="8" w:color="auto"/>
            </w:tcBorders>
          </w:tcPr>
          <w:p>
            <w:pPr>
              <w:spacing w:after="0"/>
              <w:rPr>
                <w:sz w:val="9"/>
                <w:szCs w:val="9"/>
                <w:color w:val="auto"/>
              </w:rPr>
            </w:pPr>
          </w:p>
        </w:tc>
      </w:tr>
    </w:tbl>
    <w:p>
      <w:pPr>
        <w:spacing w:after="0" w:line="19" w:lineRule="exact"/>
        <w:rPr>
          <w:sz w:val="20"/>
          <w:szCs w:val="20"/>
          <w:color w:val="auto"/>
        </w:rPr>
      </w:pPr>
    </w:p>
    <w:p>
      <w:pPr>
        <w:jc w:val="both"/>
        <w:ind w:left="360" w:right="220"/>
        <w:spacing w:after="0" w:line="306" w:lineRule="auto"/>
        <w:rPr>
          <w:sz w:val="20"/>
          <w:szCs w:val="20"/>
          <w:color w:val="auto"/>
        </w:rPr>
      </w:pPr>
      <w:r>
        <w:rPr>
          <w:rFonts w:ascii="Arial" w:cs="Arial" w:eastAsia="Arial" w:hAnsi="Arial"/>
          <w:sz w:val="27"/>
          <w:szCs w:val="27"/>
          <w:color w:val="auto"/>
        </w:rPr>
        <w:t>Сокращения</w:t>
      </w:r>
      <w:r>
        <w:rPr>
          <w:rFonts w:ascii="Arial" w:cs="Arial" w:eastAsia="Arial" w:hAnsi="Arial"/>
          <w:sz w:val="27"/>
          <w:szCs w:val="27"/>
          <w:color w:val="auto"/>
        </w:rPr>
        <w:t>:</w:t>
      </w:r>
      <w:r>
        <w:rPr>
          <w:rFonts w:ascii="Arial" w:cs="Arial" w:eastAsia="Arial" w:hAnsi="Arial"/>
          <w:sz w:val="27"/>
          <w:szCs w:val="27"/>
          <w:color w:val="auto"/>
        </w:rPr>
        <w:t xml:space="preserve"> АГ </w:t>
      </w:r>
      <w:r>
        <w:rPr>
          <w:rFonts w:ascii="Arial" w:cs="Arial" w:eastAsia="Arial" w:hAnsi="Arial"/>
          <w:sz w:val="27"/>
          <w:szCs w:val="27"/>
          <w:color w:val="auto"/>
        </w:rPr>
        <w:t>—</w:t>
      </w:r>
      <w:r>
        <w:rPr>
          <w:rFonts w:ascii="Arial" w:cs="Arial" w:eastAsia="Arial" w:hAnsi="Arial"/>
          <w:sz w:val="27"/>
          <w:szCs w:val="27"/>
          <w:color w:val="auto"/>
        </w:rPr>
        <w:t xml:space="preserve"> артериальная гипертензия</w:t>
      </w:r>
      <w:r>
        <w:rPr>
          <w:rFonts w:ascii="Arial" w:cs="Arial" w:eastAsia="Arial" w:hAnsi="Arial"/>
          <w:sz w:val="27"/>
          <w:szCs w:val="27"/>
          <w:color w:val="auto"/>
        </w:rPr>
        <w:t>,</w:t>
      </w:r>
      <w:r>
        <w:rPr>
          <w:rFonts w:ascii="Arial" w:cs="Arial" w:eastAsia="Arial" w:hAnsi="Arial"/>
          <w:sz w:val="27"/>
          <w:szCs w:val="27"/>
          <w:color w:val="auto"/>
        </w:rPr>
        <w:t xml:space="preserve"> ГЛЖ </w:t>
      </w:r>
      <w:r>
        <w:rPr>
          <w:rFonts w:ascii="Arial" w:cs="Arial" w:eastAsia="Arial" w:hAnsi="Arial"/>
          <w:sz w:val="27"/>
          <w:szCs w:val="27"/>
          <w:color w:val="auto"/>
        </w:rPr>
        <w:t>—</w:t>
      </w:r>
      <w:r>
        <w:rPr>
          <w:rFonts w:ascii="Arial" w:cs="Arial" w:eastAsia="Arial" w:hAnsi="Arial"/>
          <w:sz w:val="27"/>
          <w:szCs w:val="27"/>
          <w:color w:val="auto"/>
        </w:rPr>
        <w:t xml:space="preserve"> гипертрофия левого желудочка</w:t>
      </w:r>
      <w:r>
        <w:rPr>
          <w:rFonts w:ascii="Arial" w:cs="Arial" w:eastAsia="Arial" w:hAnsi="Arial"/>
          <w:sz w:val="27"/>
          <w:szCs w:val="27"/>
          <w:color w:val="auto"/>
        </w:rPr>
        <w:t>,</w:t>
      </w:r>
      <w:r>
        <w:rPr>
          <w:rFonts w:ascii="Arial" w:cs="Arial" w:eastAsia="Arial" w:hAnsi="Arial"/>
          <w:sz w:val="27"/>
          <w:szCs w:val="27"/>
          <w:color w:val="auto"/>
        </w:rPr>
        <w:t xml:space="preserve"> КТ </w:t>
      </w:r>
      <w:r>
        <w:rPr>
          <w:rFonts w:ascii="Arial" w:cs="Arial" w:eastAsia="Arial" w:hAnsi="Arial"/>
          <w:sz w:val="27"/>
          <w:szCs w:val="27"/>
          <w:color w:val="auto"/>
        </w:rPr>
        <w:t>—</w:t>
      </w:r>
      <w:r>
        <w:rPr>
          <w:rFonts w:ascii="Arial" w:cs="Arial" w:eastAsia="Arial" w:hAnsi="Arial"/>
          <w:sz w:val="27"/>
          <w:szCs w:val="27"/>
          <w:color w:val="auto"/>
        </w:rPr>
        <w:t xml:space="preserve"> компьютерная томография</w:t>
      </w:r>
      <w:r>
        <w:rPr>
          <w:rFonts w:ascii="Arial" w:cs="Arial" w:eastAsia="Arial" w:hAnsi="Arial"/>
          <w:sz w:val="27"/>
          <w:szCs w:val="27"/>
          <w:color w:val="auto"/>
        </w:rPr>
        <w:t>,</w:t>
      </w:r>
      <w:r>
        <w:rPr>
          <w:rFonts w:ascii="Arial" w:cs="Arial" w:eastAsia="Arial" w:hAnsi="Arial"/>
          <w:sz w:val="27"/>
          <w:szCs w:val="27"/>
          <w:color w:val="auto"/>
        </w:rPr>
        <w:t xml:space="preserve"> ЛПИ </w:t>
      </w:r>
      <w:r>
        <w:rPr>
          <w:rFonts w:ascii="Arial" w:cs="Arial" w:eastAsia="Arial" w:hAnsi="Arial"/>
          <w:sz w:val="27"/>
          <w:szCs w:val="27"/>
          <w:color w:val="auto"/>
        </w:rPr>
        <w:t>—</w:t>
      </w:r>
      <w:r>
        <w:rPr>
          <w:rFonts w:ascii="Arial" w:cs="Arial" w:eastAsia="Arial" w:hAnsi="Arial"/>
          <w:sz w:val="27"/>
          <w:szCs w:val="27"/>
          <w:color w:val="auto"/>
        </w:rPr>
        <w:t xml:space="preserve"> лодыжечно</w:t>
      </w:r>
      <w:r>
        <w:rPr>
          <w:rFonts w:ascii="Arial" w:cs="Arial" w:eastAsia="Arial" w:hAnsi="Arial"/>
          <w:sz w:val="27"/>
          <w:szCs w:val="27"/>
          <w:color w:val="auto"/>
        </w:rPr>
        <w:t>-</w:t>
      </w:r>
      <w:r>
        <w:rPr>
          <w:rFonts w:ascii="Arial" w:cs="Arial" w:eastAsia="Arial" w:hAnsi="Arial"/>
          <w:sz w:val="27"/>
          <w:szCs w:val="27"/>
          <w:color w:val="auto"/>
        </w:rPr>
        <w:t>плечевой индекс</w:t>
      </w:r>
      <w:r>
        <w:rPr>
          <w:rFonts w:ascii="Arial" w:cs="Arial" w:eastAsia="Arial" w:hAnsi="Arial"/>
          <w:sz w:val="27"/>
          <w:szCs w:val="27"/>
          <w:color w:val="auto"/>
        </w:rPr>
        <w:t>,</w:t>
      </w:r>
      <w:r>
        <w:rPr>
          <w:rFonts w:ascii="Arial" w:cs="Arial" w:eastAsia="Arial" w:hAnsi="Arial"/>
          <w:sz w:val="27"/>
          <w:szCs w:val="27"/>
          <w:color w:val="auto"/>
        </w:rPr>
        <w:t xml:space="preserve"> МВП </w:t>
      </w:r>
      <w:r>
        <w:rPr>
          <w:rFonts w:ascii="Arial" w:cs="Arial" w:eastAsia="Arial" w:hAnsi="Arial"/>
          <w:sz w:val="27"/>
          <w:szCs w:val="27"/>
          <w:color w:val="auto"/>
        </w:rPr>
        <w:t>—</w:t>
      </w:r>
      <w:r>
        <w:rPr>
          <w:rFonts w:ascii="Arial" w:cs="Arial" w:eastAsia="Arial" w:hAnsi="Arial"/>
          <w:sz w:val="27"/>
          <w:szCs w:val="27"/>
          <w:color w:val="auto"/>
        </w:rPr>
        <w:t xml:space="preserve"> мочевыводящие пути</w:t>
      </w:r>
      <w:r>
        <w:rPr>
          <w:rFonts w:ascii="Arial" w:cs="Arial" w:eastAsia="Arial" w:hAnsi="Arial"/>
          <w:sz w:val="27"/>
          <w:szCs w:val="27"/>
          <w:color w:val="auto"/>
        </w:rPr>
        <w:t>,</w:t>
      </w:r>
      <w:r>
        <w:rPr>
          <w:rFonts w:ascii="Arial" w:cs="Arial" w:eastAsia="Arial" w:hAnsi="Arial"/>
          <w:sz w:val="27"/>
          <w:szCs w:val="27"/>
          <w:color w:val="auto"/>
        </w:rPr>
        <w:t xml:space="preserve"> МРТ </w:t>
      </w:r>
      <w:r>
        <w:rPr>
          <w:rFonts w:ascii="Arial" w:cs="Arial" w:eastAsia="Arial" w:hAnsi="Arial"/>
          <w:sz w:val="27"/>
          <w:szCs w:val="27"/>
          <w:color w:val="auto"/>
        </w:rPr>
        <w:t>—</w:t>
      </w:r>
      <w:r>
        <w:rPr>
          <w:rFonts w:ascii="Arial" w:cs="Arial" w:eastAsia="Arial" w:hAnsi="Arial"/>
          <w:sz w:val="27"/>
          <w:szCs w:val="27"/>
          <w:color w:val="auto"/>
        </w:rPr>
        <w:t xml:space="preserve"> магнитно</w:t>
      </w:r>
      <w:r>
        <w:rPr>
          <w:rFonts w:ascii="Arial" w:cs="Arial" w:eastAsia="Arial" w:hAnsi="Arial"/>
          <w:sz w:val="27"/>
          <w:szCs w:val="27"/>
          <w:color w:val="auto"/>
        </w:rPr>
        <w:t>-</w:t>
      </w:r>
      <w:r>
        <w:rPr>
          <w:rFonts w:ascii="Arial" w:cs="Arial" w:eastAsia="Arial" w:hAnsi="Arial"/>
          <w:sz w:val="27"/>
          <w:szCs w:val="27"/>
          <w:color w:val="auto"/>
        </w:rPr>
        <w:t>резонансная томография</w:t>
      </w:r>
      <w:r>
        <w:rPr>
          <w:rFonts w:ascii="Arial" w:cs="Arial" w:eastAsia="Arial" w:hAnsi="Arial"/>
          <w:sz w:val="27"/>
          <w:szCs w:val="27"/>
          <w:color w:val="auto"/>
        </w:rPr>
        <w:t>,</w:t>
      </w:r>
      <w:r>
        <w:rPr>
          <w:rFonts w:ascii="Arial" w:cs="Arial" w:eastAsia="Arial" w:hAnsi="Arial"/>
          <w:sz w:val="27"/>
          <w:szCs w:val="27"/>
          <w:color w:val="auto"/>
        </w:rPr>
        <w:t xml:space="preserve"> ПООГ </w:t>
      </w:r>
      <w:r>
        <w:rPr>
          <w:rFonts w:ascii="Arial" w:cs="Arial" w:eastAsia="Arial" w:hAnsi="Arial"/>
          <w:sz w:val="27"/>
          <w:szCs w:val="27"/>
          <w:color w:val="auto"/>
        </w:rPr>
        <w:t>—</w:t>
      </w:r>
      <w:r>
        <w:rPr>
          <w:rFonts w:ascii="Arial" w:cs="Arial" w:eastAsia="Arial" w:hAnsi="Arial"/>
          <w:sz w:val="27"/>
          <w:szCs w:val="27"/>
          <w:color w:val="auto"/>
        </w:rPr>
        <w:t xml:space="preserve"> поражение 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r>
        <w:rPr>
          <w:rFonts w:ascii="Arial" w:cs="Arial" w:eastAsia="Arial" w:hAnsi="Arial"/>
          <w:sz w:val="27"/>
          <w:szCs w:val="27"/>
          <w:color w:val="auto"/>
        </w:rPr>
        <w:t xml:space="preserve"> опосредованное гипертензией</w:t>
      </w:r>
      <w:r>
        <w:rPr>
          <w:rFonts w:ascii="Arial" w:cs="Arial" w:eastAsia="Arial" w:hAnsi="Arial"/>
          <w:sz w:val="27"/>
          <w:szCs w:val="27"/>
          <w:color w:val="auto"/>
        </w:rPr>
        <w:t>,</w:t>
      </w:r>
      <w:r>
        <w:rPr>
          <w:rFonts w:ascii="Arial" w:cs="Arial" w:eastAsia="Arial" w:hAnsi="Arial"/>
          <w:sz w:val="27"/>
          <w:szCs w:val="27"/>
          <w:color w:val="auto"/>
        </w:rPr>
        <w:t xml:space="preserve"> СКФ </w:t>
      </w:r>
      <w:r>
        <w:rPr>
          <w:rFonts w:ascii="Arial" w:cs="Arial" w:eastAsia="Arial" w:hAnsi="Arial"/>
          <w:sz w:val="27"/>
          <w:szCs w:val="27"/>
          <w:color w:val="auto"/>
        </w:rPr>
        <w:t>—</w:t>
      </w:r>
      <w:r>
        <w:rPr>
          <w:rFonts w:ascii="Arial" w:cs="Arial" w:eastAsia="Arial" w:hAnsi="Arial"/>
          <w:sz w:val="27"/>
          <w:szCs w:val="27"/>
          <w:color w:val="auto"/>
        </w:rPr>
        <w:t xml:space="preserve"> скорость клубочковой фильтрации</w:t>
      </w:r>
      <w:r>
        <w:rPr>
          <w:rFonts w:ascii="Arial" w:cs="Arial" w:eastAsia="Arial" w:hAnsi="Arial"/>
          <w:sz w:val="27"/>
          <w:szCs w:val="27"/>
          <w:color w:val="auto"/>
        </w:rPr>
        <w:t>,</w:t>
      </w:r>
      <w:r>
        <w:rPr>
          <w:rFonts w:ascii="Arial" w:cs="Arial" w:eastAsia="Arial" w:hAnsi="Arial"/>
          <w:sz w:val="27"/>
          <w:szCs w:val="27"/>
          <w:color w:val="auto"/>
        </w:rPr>
        <w:t xml:space="preserve"> СПВ </w:t>
      </w:r>
      <w:r>
        <w:rPr>
          <w:rFonts w:ascii="Arial" w:cs="Arial" w:eastAsia="Arial" w:hAnsi="Arial"/>
          <w:sz w:val="27"/>
          <w:szCs w:val="27"/>
          <w:color w:val="auto"/>
        </w:rPr>
        <w:t>—</w:t>
      </w:r>
      <w:r>
        <w:rPr>
          <w:rFonts w:ascii="Arial" w:cs="Arial" w:eastAsia="Arial" w:hAnsi="Arial"/>
          <w:sz w:val="27"/>
          <w:szCs w:val="27"/>
          <w:color w:val="auto"/>
        </w:rPr>
        <w:t xml:space="preserve"> скорость пульсовой волны</w:t>
      </w:r>
      <w:r>
        <w:rPr>
          <w:rFonts w:ascii="Arial" w:cs="Arial" w:eastAsia="Arial" w:hAnsi="Arial"/>
          <w:sz w:val="27"/>
          <w:szCs w:val="27"/>
          <w:color w:val="auto"/>
        </w:rPr>
        <w:t>,</w:t>
      </w:r>
      <w:r>
        <w:rPr>
          <w:rFonts w:ascii="Arial" w:cs="Arial" w:eastAsia="Arial" w:hAnsi="Arial"/>
          <w:sz w:val="27"/>
          <w:szCs w:val="27"/>
          <w:color w:val="auto"/>
        </w:rPr>
        <w:t xml:space="preserve"> ХБП </w:t>
      </w:r>
      <w:r>
        <w:rPr>
          <w:rFonts w:ascii="Arial" w:cs="Arial" w:eastAsia="Arial" w:hAnsi="Arial"/>
          <w:sz w:val="27"/>
          <w:szCs w:val="27"/>
          <w:color w:val="auto"/>
        </w:rPr>
        <w:t>—</w:t>
      </w:r>
      <w:r>
        <w:rPr>
          <w:rFonts w:ascii="Arial" w:cs="Arial" w:eastAsia="Arial" w:hAnsi="Arial"/>
          <w:sz w:val="27"/>
          <w:szCs w:val="27"/>
          <w:color w:val="auto"/>
        </w:rPr>
        <w:t xml:space="preserve"> хроническая болезнь почек</w:t>
      </w:r>
      <w:r>
        <w:rPr>
          <w:rFonts w:ascii="Arial" w:cs="Arial" w:eastAsia="Arial" w:hAnsi="Arial"/>
          <w:sz w:val="27"/>
          <w:szCs w:val="27"/>
          <w:color w:val="auto"/>
        </w:rPr>
        <w:t>,</w:t>
      </w:r>
      <w:r>
        <w:rPr>
          <w:rFonts w:ascii="Arial" w:cs="Arial" w:eastAsia="Arial" w:hAnsi="Arial"/>
          <w:sz w:val="27"/>
          <w:szCs w:val="27"/>
          <w:color w:val="auto"/>
        </w:rPr>
        <w:t xml:space="preserve"> ЦВБ </w:t>
      </w:r>
      <w:r>
        <w:rPr>
          <w:rFonts w:ascii="Arial" w:cs="Arial" w:eastAsia="Arial" w:hAnsi="Arial"/>
          <w:sz w:val="27"/>
          <w:szCs w:val="27"/>
          <w:color w:val="auto"/>
        </w:rPr>
        <w:t>—</w:t>
      </w:r>
      <w:r>
        <w:rPr>
          <w:rFonts w:ascii="Arial" w:cs="Arial" w:eastAsia="Arial" w:hAnsi="Arial"/>
          <w:sz w:val="27"/>
          <w:szCs w:val="27"/>
          <w:color w:val="auto"/>
        </w:rPr>
        <w:t xml:space="preserve"> цереброваскулярная болезнь</w:t>
      </w:r>
      <w:r>
        <w:rPr>
          <w:rFonts w:ascii="Arial" w:cs="Arial" w:eastAsia="Arial" w:hAnsi="Arial"/>
          <w:sz w:val="27"/>
          <w:szCs w:val="27"/>
          <w:color w:val="auto"/>
        </w:rPr>
        <w:t>,</w:t>
      </w:r>
      <w:r>
        <w:rPr>
          <w:rFonts w:ascii="Arial" w:cs="Arial" w:eastAsia="Arial" w:hAnsi="Arial"/>
          <w:sz w:val="27"/>
          <w:szCs w:val="27"/>
          <w:color w:val="auto"/>
        </w:rPr>
        <w:t xml:space="preserve"> ЭКГ </w:t>
      </w:r>
      <w:r>
        <w:rPr>
          <w:rFonts w:ascii="Arial" w:cs="Arial" w:eastAsia="Arial" w:hAnsi="Arial"/>
          <w:sz w:val="27"/>
          <w:szCs w:val="27"/>
          <w:color w:val="auto"/>
        </w:rPr>
        <w:t>—</w:t>
      </w:r>
      <w:r>
        <w:rPr>
          <w:rFonts w:ascii="Arial" w:cs="Arial" w:eastAsia="Arial" w:hAnsi="Arial"/>
          <w:sz w:val="27"/>
          <w:szCs w:val="27"/>
          <w:color w:val="auto"/>
        </w:rPr>
        <w:t xml:space="preserve"> электрокардиограмма</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85" w:lineRule="exact"/>
        <w:rPr>
          <w:sz w:val="20"/>
          <w:szCs w:val="20"/>
          <w:color w:val="auto"/>
        </w:rPr>
      </w:pPr>
    </w:p>
    <w:p>
      <w:pPr>
        <w:jc w:val="both"/>
        <w:ind w:left="360" w:right="220"/>
        <w:spacing w:after="0" w:line="313"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6/</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Эхокардиографические критерии гипертрофии левого желудочка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концентрического ремоделирования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размеров полости левого желудочка и дилатации левого предсердия</w:t>
      </w:r>
    </w:p>
    <w:p>
      <w:pPr>
        <w:spacing w:after="0" w:line="172"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306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Параметр</w:t>
            </w:r>
          </w:p>
        </w:tc>
        <w:tc>
          <w:tcPr>
            <w:tcW w:w="300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Расчет</w:t>
            </w:r>
          </w:p>
        </w:tc>
        <w:tc>
          <w:tcPr>
            <w:tcW w:w="240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Пороговое значение</w:t>
            </w:r>
          </w:p>
        </w:tc>
      </w:tr>
      <w:tr>
        <w:trPr>
          <w:trHeight w:val="117"/>
        </w:trPr>
        <w:tc>
          <w:tcPr>
            <w:tcW w:w="3060" w:type="dxa"/>
            <w:vAlign w:val="bottom"/>
            <w:tcBorders>
              <w:left w:val="single" w:sz="8" w:color="auto"/>
              <w:bottom w:val="single" w:sz="8" w:color="auto"/>
              <w:right w:val="single" w:sz="8" w:color="auto"/>
            </w:tcBorders>
          </w:tcPr>
          <w:p>
            <w:pPr>
              <w:spacing w:after="0"/>
              <w:rPr>
                <w:sz w:val="10"/>
                <w:szCs w:val="10"/>
                <w:color w:val="auto"/>
              </w:rPr>
            </w:pPr>
          </w:p>
        </w:tc>
        <w:tc>
          <w:tcPr>
            <w:tcW w:w="3000" w:type="dxa"/>
            <w:vAlign w:val="bottom"/>
            <w:tcBorders>
              <w:bottom w:val="single" w:sz="8" w:color="auto"/>
              <w:right w:val="single" w:sz="8" w:color="auto"/>
            </w:tcBorders>
          </w:tcPr>
          <w:p>
            <w:pPr>
              <w:spacing w:after="0"/>
              <w:rPr>
                <w:sz w:val="10"/>
                <w:szCs w:val="10"/>
                <w:color w:val="auto"/>
              </w:rPr>
            </w:pPr>
          </w:p>
        </w:tc>
        <w:tc>
          <w:tcPr>
            <w:tcW w:w="2400" w:type="dxa"/>
            <w:vAlign w:val="bottom"/>
            <w:tcBorders>
              <w:bottom w:val="single" w:sz="8" w:color="auto"/>
              <w:right w:val="single" w:sz="8" w:color="auto"/>
            </w:tcBorders>
          </w:tcPr>
          <w:p>
            <w:pPr>
              <w:spacing w:after="0"/>
              <w:rPr>
                <w:sz w:val="10"/>
                <w:szCs w:val="10"/>
                <w:color w:val="auto"/>
              </w:rPr>
            </w:pPr>
          </w:p>
        </w:tc>
      </w:tr>
      <w:tr>
        <w:trPr>
          <w:trHeight w:val="295"/>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ГЛЖ</w:t>
            </w:r>
          </w:p>
        </w:tc>
        <w:tc>
          <w:tcPr>
            <w:tcW w:w="3000" w:type="dxa"/>
            <w:vAlign w:val="bottom"/>
            <w:tcBorders>
              <w:right w:val="single" w:sz="8" w:color="auto"/>
            </w:tcBorders>
          </w:tcPr>
          <w:p>
            <w:pPr>
              <w:ind w:left="160"/>
              <w:spacing w:after="0" w:line="295" w:lineRule="exact"/>
              <w:rPr>
                <w:sz w:val="20"/>
                <w:szCs w:val="20"/>
                <w:color w:val="auto"/>
              </w:rPr>
            </w:pPr>
            <w:r>
              <w:rPr>
                <w:rFonts w:ascii="Verdana" w:cs="Verdana" w:eastAsia="Verdana" w:hAnsi="Verdana"/>
                <w:sz w:val="16"/>
                <w:szCs w:val="16"/>
                <w:color w:val="auto"/>
              </w:rPr>
              <w:t>Масса ЛЖ</w:t>
            </w:r>
            <w:r>
              <w:rPr>
                <w:rFonts w:ascii="Verdana" w:cs="Verdana" w:eastAsia="Verdana" w:hAnsi="Verdana"/>
                <w:sz w:val="16"/>
                <w:szCs w:val="16"/>
                <w:color w:val="auto"/>
              </w:rPr>
              <w:t>/</w:t>
            </w:r>
            <w:r>
              <w:rPr>
                <w:rFonts w:ascii="Verdana" w:cs="Verdana" w:eastAsia="Verdana" w:hAnsi="Verdana"/>
                <w:sz w:val="16"/>
                <w:szCs w:val="16"/>
                <w:color w:val="auto"/>
              </w:rPr>
              <w:t>рост</w:t>
            </w:r>
            <w:r>
              <w:rPr>
                <w:rFonts w:ascii="Verdana" w:cs="Verdana" w:eastAsia="Verdana" w:hAnsi="Verdana"/>
                <w:sz w:val="32"/>
                <w:szCs w:val="32"/>
                <w:color w:val="auto"/>
                <w:vertAlign w:val="superscript"/>
              </w:rPr>
              <w:t>2,7</w:t>
            </w:r>
            <w:r>
              <w:rPr>
                <w:rFonts w:ascii="Verdana" w:cs="Verdana" w:eastAsia="Verdana" w:hAnsi="Verdana"/>
                <w:sz w:val="16"/>
                <w:szCs w:val="16"/>
                <w:color w:val="auto"/>
              </w:rPr>
              <w:t xml:space="preserve"> </w:t>
            </w:r>
            <w:r>
              <w:rPr>
                <w:rFonts w:ascii="Verdana" w:cs="Verdana" w:eastAsia="Verdana" w:hAnsi="Verdana"/>
                <w:sz w:val="16"/>
                <w:szCs w:val="16"/>
                <w:color w:val="auto"/>
              </w:rPr>
              <w:t>(</w:t>
            </w:r>
            <w:r>
              <w:rPr>
                <w:rFonts w:ascii="Verdana" w:cs="Verdana" w:eastAsia="Verdana" w:hAnsi="Verdana"/>
                <w:sz w:val="16"/>
                <w:szCs w:val="16"/>
                <w:color w:val="auto"/>
              </w:rPr>
              <w:t>г</w:t>
            </w:r>
            <w:r>
              <w:rPr>
                <w:rFonts w:ascii="Verdana" w:cs="Verdana" w:eastAsia="Verdana" w:hAnsi="Verdana"/>
                <w:sz w:val="16"/>
                <w:szCs w:val="16"/>
                <w:color w:val="auto"/>
              </w:rPr>
              <w:t>/</w:t>
            </w:r>
            <w:r>
              <w:rPr>
                <w:rFonts w:ascii="Verdana" w:cs="Verdana" w:eastAsia="Verdana" w:hAnsi="Verdana"/>
                <w:sz w:val="16"/>
                <w:szCs w:val="16"/>
                <w:color w:val="auto"/>
              </w:rPr>
              <w:t>м</w:t>
            </w:r>
            <w:r>
              <w:rPr>
                <w:rFonts w:ascii="Verdana" w:cs="Verdana" w:eastAsia="Verdana" w:hAnsi="Verdana"/>
                <w:sz w:val="32"/>
                <w:szCs w:val="32"/>
                <w:color w:val="auto"/>
                <w:vertAlign w:val="superscript"/>
              </w:rPr>
              <w:t>2,7</w:t>
            </w:r>
            <w:r>
              <w:rPr>
                <w:rFonts w:ascii="Verdana" w:cs="Verdana" w:eastAsia="Verdana" w:hAnsi="Verdana"/>
                <w:sz w:val="16"/>
                <w:szCs w:val="16"/>
                <w:color w:val="auto"/>
              </w:rPr>
              <w:t>)</w:t>
            </w: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&gt;50 (</w:t>
            </w:r>
            <w:r>
              <w:rPr>
                <w:rFonts w:ascii="Verdana" w:cs="Verdana" w:eastAsia="Verdana" w:hAnsi="Verdana"/>
                <w:sz w:val="17"/>
                <w:szCs w:val="17"/>
                <w:color w:val="auto"/>
              </w:rPr>
              <w:t>мужчины</w:t>
            </w:r>
            <w:r>
              <w:rPr>
                <w:rFonts w:ascii="Verdana" w:cs="Verdana" w:eastAsia="Verdana" w:hAnsi="Verdana"/>
                <w:sz w:val="17"/>
                <w:szCs w:val="17"/>
                <w:color w:val="auto"/>
              </w:rPr>
              <w:t>)</w:t>
            </w:r>
          </w:p>
        </w:tc>
      </w:tr>
      <w:tr>
        <w:trPr>
          <w:trHeight w:val="220"/>
        </w:trPr>
        <w:tc>
          <w:tcPr>
            <w:tcW w:w="3060" w:type="dxa"/>
            <w:vAlign w:val="bottom"/>
            <w:tcBorders>
              <w:left w:val="single" w:sz="8" w:color="auto"/>
              <w:right w:val="single" w:sz="8" w:color="auto"/>
            </w:tcBorders>
          </w:tcPr>
          <w:p>
            <w:pPr>
              <w:spacing w:after="0"/>
              <w:rPr>
                <w:sz w:val="19"/>
                <w:szCs w:val="19"/>
                <w:color w:val="auto"/>
              </w:rPr>
            </w:pPr>
          </w:p>
        </w:tc>
        <w:tc>
          <w:tcPr>
            <w:tcW w:w="3000" w:type="dxa"/>
            <w:vAlign w:val="bottom"/>
            <w:tcBorders>
              <w:right w:val="single" w:sz="8" w:color="auto"/>
            </w:tcBorders>
          </w:tcPr>
          <w:p>
            <w:pPr>
              <w:spacing w:after="0"/>
              <w:rPr>
                <w:sz w:val="19"/>
                <w:szCs w:val="19"/>
                <w:color w:val="auto"/>
              </w:rPr>
            </w:pP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&gt;47 (</w:t>
            </w:r>
            <w:r>
              <w:rPr>
                <w:rFonts w:ascii="Verdana" w:cs="Verdana" w:eastAsia="Verdana" w:hAnsi="Verdana"/>
                <w:sz w:val="17"/>
                <w:szCs w:val="17"/>
                <w:color w:val="auto"/>
              </w:rPr>
              <w:t>женщины</w:t>
            </w:r>
            <w:r>
              <w:rPr>
                <w:rFonts w:ascii="Verdana" w:cs="Verdana" w:eastAsia="Verdana" w:hAnsi="Verdana"/>
                <w:sz w:val="17"/>
                <w:szCs w:val="17"/>
                <w:color w:val="auto"/>
              </w:rPr>
              <w:t>)</w:t>
            </w:r>
          </w:p>
        </w:tc>
      </w:tr>
      <w:tr>
        <w:trPr>
          <w:trHeight w:val="110"/>
        </w:trPr>
        <w:tc>
          <w:tcPr>
            <w:tcW w:w="3060" w:type="dxa"/>
            <w:vAlign w:val="bottom"/>
            <w:tcBorders>
              <w:left w:val="single" w:sz="8" w:color="auto"/>
              <w:bottom w:val="single" w:sz="8" w:color="auto"/>
              <w:right w:val="single" w:sz="8" w:color="auto"/>
            </w:tcBorders>
          </w:tcPr>
          <w:p>
            <w:pPr>
              <w:spacing w:after="0"/>
              <w:rPr>
                <w:sz w:val="9"/>
                <w:szCs w:val="9"/>
                <w:color w:val="auto"/>
              </w:rPr>
            </w:pPr>
          </w:p>
        </w:tc>
        <w:tc>
          <w:tcPr>
            <w:tcW w:w="3000" w:type="dxa"/>
            <w:vAlign w:val="bottom"/>
            <w:tcBorders>
              <w:bottom w:val="single" w:sz="8" w:color="auto"/>
              <w:right w:val="single" w:sz="8" w:color="auto"/>
            </w:tcBorders>
          </w:tcPr>
          <w:p>
            <w:pPr>
              <w:spacing w:after="0"/>
              <w:rPr>
                <w:sz w:val="9"/>
                <w:szCs w:val="9"/>
                <w:color w:val="auto"/>
              </w:rPr>
            </w:pPr>
          </w:p>
        </w:tc>
        <w:tc>
          <w:tcPr>
            <w:tcW w:w="2400" w:type="dxa"/>
            <w:vAlign w:val="bottom"/>
            <w:tcBorders>
              <w:bottom w:val="single" w:sz="8" w:color="auto"/>
              <w:right w:val="single" w:sz="8" w:color="auto"/>
            </w:tcBorders>
          </w:tcPr>
          <w:p>
            <w:pPr>
              <w:spacing w:after="0"/>
              <w:rPr>
                <w:sz w:val="9"/>
                <w:szCs w:val="9"/>
                <w:color w:val="auto"/>
              </w:rPr>
            </w:pPr>
          </w:p>
        </w:tc>
      </w:tr>
      <w:tr>
        <w:trPr>
          <w:trHeight w:val="295"/>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ГЛЖ</w:t>
            </w:r>
          </w:p>
        </w:tc>
        <w:tc>
          <w:tcPr>
            <w:tcW w:w="3000" w:type="dxa"/>
            <w:vAlign w:val="bottom"/>
            <w:tcBorders>
              <w:right w:val="single" w:sz="8" w:color="auto"/>
            </w:tcBorders>
          </w:tcPr>
          <w:p>
            <w:pPr>
              <w:ind w:left="160"/>
              <w:spacing w:after="0" w:line="295" w:lineRule="exact"/>
              <w:rPr>
                <w:sz w:val="20"/>
                <w:szCs w:val="20"/>
                <w:color w:val="auto"/>
              </w:rPr>
            </w:pPr>
            <w:r>
              <w:rPr>
                <w:rFonts w:ascii="Verdana" w:cs="Verdana" w:eastAsia="Verdana" w:hAnsi="Verdana"/>
                <w:sz w:val="16"/>
                <w:szCs w:val="16"/>
                <w:color w:val="auto"/>
              </w:rPr>
              <w:t>Масса ЛЖ</w:t>
            </w:r>
            <w:r>
              <w:rPr>
                <w:rFonts w:ascii="Verdana" w:cs="Verdana" w:eastAsia="Verdana" w:hAnsi="Verdana"/>
                <w:sz w:val="16"/>
                <w:szCs w:val="16"/>
                <w:color w:val="auto"/>
              </w:rPr>
              <w:t>/</w:t>
            </w:r>
            <w:r>
              <w:rPr>
                <w:rFonts w:ascii="Verdana" w:cs="Verdana" w:eastAsia="Verdana" w:hAnsi="Verdana"/>
                <w:sz w:val="16"/>
                <w:szCs w:val="16"/>
                <w:color w:val="auto"/>
              </w:rPr>
              <w:t xml:space="preserve">ППТ </w:t>
            </w:r>
            <w:r>
              <w:rPr>
                <w:rFonts w:ascii="Verdana" w:cs="Verdana" w:eastAsia="Verdana" w:hAnsi="Verdana"/>
                <w:sz w:val="16"/>
                <w:szCs w:val="16"/>
                <w:color w:val="auto"/>
              </w:rPr>
              <w:t>(</w:t>
            </w:r>
            <w:r>
              <w:rPr>
                <w:rFonts w:ascii="Verdana" w:cs="Verdana" w:eastAsia="Verdana" w:hAnsi="Verdana"/>
                <w:sz w:val="16"/>
                <w:szCs w:val="16"/>
                <w:color w:val="auto"/>
              </w:rPr>
              <w:t>г</w:t>
            </w:r>
            <w:r>
              <w:rPr>
                <w:rFonts w:ascii="Verdana" w:cs="Verdana" w:eastAsia="Verdana" w:hAnsi="Verdana"/>
                <w:sz w:val="16"/>
                <w:szCs w:val="16"/>
                <w:color w:val="auto"/>
              </w:rPr>
              <w:t>/</w:t>
            </w:r>
            <w:r>
              <w:rPr>
                <w:rFonts w:ascii="Verdana" w:cs="Verdana" w:eastAsia="Verdana" w:hAnsi="Verdana"/>
                <w:sz w:val="16"/>
                <w:szCs w:val="16"/>
                <w:color w:val="auto"/>
              </w:rPr>
              <w:t>м</w:t>
            </w:r>
            <w:r>
              <w:rPr>
                <w:rFonts w:ascii="Verdana" w:cs="Verdana" w:eastAsia="Verdana" w:hAnsi="Verdana"/>
                <w:sz w:val="32"/>
                <w:szCs w:val="32"/>
                <w:color w:val="auto"/>
                <w:vertAlign w:val="superscript"/>
              </w:rPr>
              <w:t>2</w:t>
            </w:r>
            <w:r>
              <w:rPr>
                <w:rFonts w:ascii="Verdana" w:cs="Verdana" w:eastAsia="Verdana" w:hAnsi="Verdana"/>
                <w:sz w:val="16"/>
                <w:szCs w:val="16"/>
                <w:color w:val="auto"/>
              </w:rPr>
              <w:t>)</w:t>
            </w: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&gt;115 (</w:t>
            </w:r>
            <w:r>
              <w:rPr>
                <w:rFonts w:ascii="Verdana" w:cs="Verdana" w:eastAsia="Verdana" w:hAnsi="Verdana"/>
                <w:sz w:val="17"/>
                <w:szCs w:val="17"/>
                <w:color w:val="auto"/>
              </w:rPr>
              <w:t>мужчины</w:t>
            </w:r>
            <w:r>
              <w:rPr>
                <w:rFonts w:ascii="Verdana" w:cs="Verdana" w:eastAsia="Verdana" w:hAnsi="Verdana"/>
                <w:sz w:val="17"/>
                <w:szCs w:val="17"/>
                <w:color w:val="auto"/>
              </w:rPr>
              <w:t>)</w:t>
            </w:r>
          </w:p>
        </w:tc>
      </w:tr>
      <w:tr>
        <w:trPr>
          <w:trHeight w:val="220"/>
        </w:trPr>
        <w:tc>
          <w:tcPr>
            <w:tcW w:w="3060" w:type="dxa"/>
            <w:vAlign w:val="bottom"/>
            <w:tcBorders>
              <w:left w:val="single" w:sz="8" w:color="auto"/>
              <w:right w:val="single" w:sz="8" w:color="auto"/>
            </w:tcBorders>
          </w:tcPr>
          <w:p>
            <w:pPr>
              <w:spacing w:after="0"/>
              <w:rPr>
                <w:sz w:val="19"/>
                <w:szCs w:val="19"/>
                <w:color w:val="auto"/>
              </w:rPr>
            </w:pPr>
          </w:p>
        </w:tc>
        <w:tc>
          <w:tcPr>
            <w:tcW w:w="3000" w:type="dxa"/>
            <w:vAlign w:val="bottom"/>
            <w:tcBorders>
              <w:right w:val="single" w:sz="8" w:color="auto"/>
            </w:tcBorders>
          </w:tcPr>
          <w:p>
            <w:pPr>
              <w:spacing w:after="0"/>
              <w:rPr>
                <w:sz w:val="19"/>
                <w:szCs w:val="19"/>
                <w:color w:val="auto"/>
              </w:rPr>
            </w:pP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&gt;95 (</w:t>
            </w:r>
            <w:r>
              <w:rPr>
                <w:rFonts w:ascii="Verdana" w:cs="Verdana" w:eastAsia="Verdana" w:hAnsi="Verdana"/>
                <w:sz w:val="17"/>
                <w:szCs w:val="17"/>
                <w:color w:val="auto"/>
              </w:rPr>
              <w:t>женщины</w:t>
            </w:r>
            <w:r>
              <w:rPr>
                <w:rFonts w:ascii="Verdana" w:cs="Verdana" w:eastAsia="Verdana" w:hAnsi="Verdana"/>
                <w:sz w:val="17"/>
                <w:szCs w:val="17"/>
                <w:color w:val="auto"/>
              </w:rPr>
              <w:t>)</w:t>
            </w:r>
          </w:p>
        </w:tc>
      </w:tr>
      <w:tr>
        <w:trPr>
          <w:trHeight w:val="110"/>
        </w:trPr>
        <w:tc>
          <w:tcPr>
            <w:tcW w:w="3060" w:type="dxa"/>
            <w:vAlign w:val="bottom"/>
            <w:tcBorders>
              <w:left w:val="single" w:sz="8" w:color="auto"/>
              <w:bottom w:val="single" w:sz="8" w:color="auto"/>
              <w:right w:val="single" w:sz="8" w:color="auto"/>
            </w:tcBorders>
          </w:tcPr>
          <w:p>
            <w:pPr>
              <w:spacing w:after="0"/>
              <w:rPr>
                <w:sz w:val="9"/>
                <w:szCs w:val="9"/>
                <w:color w:val="auto"/>
              </w:rPr>
            </w:pPr>
          </w:p>
        </w:tc>
        <w:tc>
          <w:tcPr>
            <w:tcW w:w="3000" w:type="dxa"/>
            <w:vAlign w:val="bottom"/>
            <w:tcBorders>
              <w:bottom w:val="single" w:sz="8" w:color="auto"/>
              <w:right w:val="single" w:sz="8" w:color="auto"/>
            </w:tcBorders>
          </w:tcPr>
          <w:p>
            <w:pPr>
              <w:spacing w:after="0"/>
              <w:rPr>
                <w:sz w:val="9"/>
                <w:szCs w:val="9"/>
                <w:color w:val="auto"/>
              </w:rPr>
            </w:pPr>
          </w:p>
        </w:tc>
        <w:tc>
          <w:tcPr>
            <w:tcW w:w="2400" w:type="dxa"/>
            <w:vAlign w:val="bottom"/>
            <w:tcBorders>
              <w:bottom w:val="single" w:sz="8" w:color="auto"/>
              <w:right w:val="single" w:sz="8" w:color="auto"/>
            </w:tcBorders>
          </w:tcPr>
          <w:p>
            <w:pPr>
              <w:spacing w:after="0"/>
              <w:rPr>
                <w:sz w:val="9"/>
                <w:szCs w:val="9"/>
                <w:color w:val="auto"/>
              </w:rPr>
            </w:pPr>
          </w:p>
        </w:tc>
      </w:tr>
      <w:tr>
        <w:trPr>
          <w:trHeight w:val="295"/>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Концентрическое</w:t>
            </w:r>
          </w:p>
        </w:tc>
        <w:tc>
          <w:tcPr>
            <w:tcW w:w="30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ОТС</w:t>
            </w: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≥0,43</w:t>
            </w:r>
          </w:p>
        </w:tc>
      </w:tr>
      <w:tr>
        <w:trPr>
          <w:trHeight w:val="220"/>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ремоделирование ЛЖ</w:t>
            </w:r>
          </w:p>
        </w:tc>
        <w:tc>
          <w:tcPr>
            <w:tcW w:w="3000" w:type="dxa"/>
            <w:vAlign w:val="bottom"/>
            <w:tcBorders>
              <w:right w:val="single" w:sz="8" w:color="auto"/>
            </w:tcBorders>
          </w:tcPr>
          <w:p>
            <w:pPr>
              <w:spacing w:after="0"/>
              <w:rPr>
                <w:sz w:val="19"/>
                <w:szCs w:val="19"/>
                <w:color w:val="auto"/>
              </w:rPr>
            </w:pPr>
          </w:p>
        </w:tc>
        <w:tc>
          <w:tcPr>
            <w:tcW w:w="2400" w:type="dxa"/>
            <w:vAlign w:val="bottom"/>
            <w:tcBorders>
              <w:right w:val="single" w:sz="8" w:color="auto"/>
            </w:tcBorders>
          </w:tcPr>
          <w:p>
            <w:pPr>
              <w:spacing w:after="0"/>
              <w:rPr>
                <w:sz w:val="19"/>
                <w:szCs w:val="19"/>
                <w:color w:val="auto"/>
              </w:rPr>
            </w:pPr>
          </w:p>
        </w:tc>
      </w:tr>
      <w:tr>
        <w:trPr>
          <w:trHeight w:val="110"/>
        </w:trPr>
        <w:tc>
          <w:tcPr>
            <w:tcW w:w="3060" w:type="dxa"/>
            <w:vAlign w:val="bottom"/>
            <w:tcBorders>
              <w:left w:val="single" w:sz="8" w:color="auto"/>
              <w:bottom w:val="single" w:sz="8" w:color="auto"/>
              <w:right w:val="single" w:sz="8" w:color="auto"/>
            </w:tcBorders>
          </w:tcPr>
          <w:p>
            <w:pPr>
              <w:spacing w:after="0"/>
              <w:rPr>
                <w:sz w:val="9"/>
                <w:szCs w:val="9"/>
                <w:color w:val="auto"/>
              </w:rPr>
            </w:pPr>
          </w:p>
        </w:tc>
        <w:tc>
          <w:tcPr>
            <w:tcW w:w="3000" w:type="dxa"/>
            <w:vAlign w:val="bottom"/>
            <w:tcBorders>
              <w:bottom w:val="single" w:sz="8" w:color="auto"/>
              <w:right w:val="single" w:sz="8" w:color="auto"/>
            </w:tcBorders>
          </w:tcPr>
          <w:p>
            <w:pPr>
              <w:spacing w:after="0"/>
              <w:rPr>
                <w:sz w:val="9"/>
                <w:szCs w:val="9"/>
                <w:color w:val="auto"/>
              </w:rPr>
            </w:pPr>
          </w:p>
        </w:tc>
        <w:tc>
          <w:tcPr>
            <w:tcW w:w="2400" w:type="dxa"/>
            <w:vAlign w:val="bottom"/>
            <w:tcBorders>
              <w:bottom w:val="single" w:sz="8" w:color="auto"/>
              <w:right w:val="single" w:sz="8" w:color="auto"/>
            </w:tcBorders>
          </w:tcPr>
          <w:p>
            <w:pPr>
              <w:spacing w:after="0"/>
              <w:rPr>
                <w:sz w:val="9"/>
                <w:szCs w:val="9"/>
                <w:color w:val="auto"/>
              </w:rPr>
            </w:pPr>
          </w:p>
        </w:tc>
      </w:tr>
      <w:tr>
        <w:trPr>
          <w:trHeight w:val="295"/>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Размер полости ЛЖ</w:t>
            </w:r>
          </w:p>
        </w:tc>
        <w:tc>
          <w:tcPr>
            <w:tcW w:w="30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КДД ЛЖ</w:t>
            </w:r>
            <w:r>
              <w:rPr>
                <w:rFonts w:ascii="Verdana" w:cs="Verdana" w:eastAsia="Verdana" w:hAnsi="Verdana"/>
                <w:sz w:val="17"/>
                <w:szCs w:val="17"/>
                <w:color w:val="auto"/>
              </w:rPr>
              <w:t>/</w:t>
            </w:r>
            <w:r>
              <w:rPr>
                <w:rFonts w:ascii="Verdana" w:cs="Verdana" w:eastAsia="Verdana" w:hAnsi="Verdana"/>
                <w:sz w:val="17"/>
                <w:szCs w:val="17"/>
                <w:color w:val="auto"/>
              </w:rPr>
              <w:t xml:space="preserve">рост </w:t>
            </w:r>
            <w:r>
              <w:rPr>
                <w:rFonts w:ascii="Verdana" w:cs="Verdana" w:eastAsia="Verdana" w:hAnsi="Verdana"/>
                <w:sz w:val="17"/>
                <w:szCs w:val="17"/>
                <w:color w:val="auto"/>
              </w:rPr>
              <w:t>(</w:t>
            </w:r>
            <w:r>
              <w:rPr>
                <w:rFonts w:ascii="Verdana" w:cs="Verdana" w:eastAsia="Verdana" w:hAnsi="Verdana"/>
                <w:sz w:val="17"/>
                <w:szCs w:val="17"/>
                <w:color w:val="auto"/>
              </w:rPr>
              <w:t>см</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17"/>
                <w:szCs w:val="17"/>
                <w:color w:val="auto"/>
              </w:rPr>
              <w:t>)</w:t>
            </w: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&gt;3,4 (</w:t>
            </w:r>
            <w:r>
              <w:rPr>
                <w:rFonts w:ascii="Verdana" w:cs="Verdana" w:eastAsia="Verdana" w:hAnsi="Verdana"/>
                <w:sz w:val="17"/>
                <w:szCs w:val="17"/>
                <w:color w:val="auto"/>
              </w:rPr>
              <w:t>мужчины</w:t>
            </w:r>
            <w:r>
              <w:rPr>
                <w:rFonts w:ascii="Verdana" w:cs="Verdana" w:eastAsia="Verdana" w:hAnsi="Verdana"/>
                <w:sz w:val="17"/>
                <w:szCs w:val="17"/>
                <w:color w:val="auto"/>
              </w:rPr>
              <w:t>)</w:t>
            </w:r>
          </w:p>
        </w:tc>
      </w:tr>
      <w:tr>
        <w:trPr>
          <w:trHeight w:val="220"/>
        </w:trPr>
        <w:tc>
          <w:tcPr>
            <w:tcW w:w="3060" w:type="dxa"/>
            <w:vAlign w:val="bottom"/>
            <w:tcBorders>
              <w:left w:val="single" w:sz="8" w:color="auto"/>
              <w:right w:val="single" w:sz="8" w:color="auto"/>
            </w:tcBorders>
          </w:tcPr>
          <w:p>
            <w:pPr>
              <w:spacing w:after="0"/>
              <w:rPr>
                <w:sz w:val="19"/>
                <w:szCs w:val="19"/>
                <w:color w:val="auto"/>
              </w:rPr>
            </w:pPr>
          </w:p>
        </w:tc>
        <w:tc>
          <w:tcPr>
            <w:tcW w:w="3000" w:type="dxa"/>
            <w:vAlign w:val="bottom"/>
            <w:tcBorders>
              <w:right w:val="single" w:sz="8" w:color="auto"/>
            </w:tcBorders>
          </w:tcPr>
          <w:p>
            <w:pPr>
              <w:spacing w:after="0"/>
              <w:rPr>
                <w:sz w:val="19"/>
                <w:szCs w:val="19"/>
                <w:color w:val="auto"/>
              </w:rPr>
            </w:pP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&gt;3,3 (</w:t>
            </w:r>
            <w:r>
              <w:rPr>
                <w:rFonts w:ascii="Verdana" w:cs="Verdana" w:eastAsia="Verdana" w:hAnsi="Verdana"/>
                <w:sz w:val="17"/>
                <w:szCs w:val="17"/>
                <w:color w:val="auto"/>
              </w:rPr>
              <w:t>женщины</w:t>
            </w:r>
            <w:r>
              <w:rPr>
                <w:rFonts w:ascii="Verdana" w:cs="Verdana" w:eastAsia="Verdana" w:hAnsi="Verdana"/>
                <w:sz w:val="17"/>
                <w:szCs w:val="17"/>
                <w:color w:val="auto"/>
              </w:rPr>
              <w:t>)</w:t>
            </w:r>
          </w:p>
        </w:tc>
      </w:tr>
      <w:tr>
        <w:trPr>
          <w:trHeight w:val="110"/>
        </w:trPr>
        <w:tc>
          <w:tcPr>
            <w:tcW w:w="3060" w:type="dxa"/>
            <w:vAlign w:val="bottom"/>
            <w:tcBorders>
              <w:left w:val="single" w:sz="8" w:color="auto"/>
              <w:bottom w:val="single" w:sz="8" w:color="auto"/>
              <w:right w:val="single" w:sz="8" w:color="auto"/>
            </w:tcBorders>
          </w:tcPr>
          <w:p>
            <w:pPr>
              <w:spacing w:after="0"/>
              <w:rPr>
                <w:sz w:val="9"/>
                <w:szCs w:val="9"/>
                <w:color w:val="auto"/>
              </w:rPr>
            </w:pPr>
          </w:p>
        </w:tc>
        <w:tc>
          <w:tcPr>
            <w:tcW w:w="3000" w:type="dxa"/>
            <w:vAlign w:val="bottom"/>
            <w:tcBorders>
              <w:bottom w:val="single" w:sz="8" w:color="auto"/>
              <w:right w:val="single" w:sz="8" w:color="auto"/>
            </w:tcBorders>
          </w:tcPr>
          <w:p>
            <w:pPr>
              <w:spacing w:after="0"/>
              <w:rPr>
                <w:sz w:val="9"/>
                <w:szCs w:val="9"/>
                <w:color w:val="auto"/>
              </w:rPr>
            </w:pPr>
          </w:p>
        </w:tc>
        <w:tc>
          <w:tcPr>
            <w:tcW w:w="2400" w:type="dxa"/>
            <w:vAlign w:val="bottom"/>
            <w:tcBorders>
              <w:bottom w:val="single" w:sz="8" w:color="auto"/>
              <w:right w:val="single" w:sz="8" w:color="auto"/>
            </w:tcBorders>
          </w:tcPr>
          <w:p>
            <w:pPr>
              <w:spacing w:after="0"/>
              <w:rPr>
                <w:sz w:val="9"/>
                <w:szCs w:val="9"/>
                <w:color w:val="auto"/>
              </w:rPr>
            </w:pPr>
          </w:p>
        </w:tc>
      </w:tr>
      <w:tr>
        <w:trPr>
          <w:trHeight w:val="295"/>
        </w:trPr>
        <w:tc>
          <w:tcPr>
            <w:tcW w:w="30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Размер левого предсердия</w:t>
            </w:r>
          </w:p>
        </w:tc>
        <w:tc>
          <w:tcPr>
            <w:tcW w:w="3000" w:type="dxa"/>
            <w:vAlign w:val="bottom"/>
            <w:tcBorders>
              <w:right w:val="single" w:sz="8" w:color="auto"/>
            </w:tcBorders>
          </w:tcPr>
          <w:p>
            <w:pPr>
              <w:ind w:left="160"/>
              <w:spacing w:after="0" w:line="295" w:lineRule="exact"/>
              <w:rPr>
                <w:sz w:val="20"/>
                <w:szCs w:val="20"/>
                <w:color w:val="auto"/>
              </w:rPr>
            </w:pPr>
            <w:r>
              <w:rPr>
                <w:rFonts w:ascii="Verdana" w:cs="Verdana" w:eastAsia="Verdana" w:hAnsi="Verdana"/>
                <w:sz w:val="16"/>
                <w:szCs w:val="16"/>
                <w:color w:val="auto"/>
              </w:rPr>
              <w:t>Объем ЛП</w:t>
            </w:r>
            <w:r>
              <w:rPr>
                <w:rFonts w:ascii="Verdana" w:cs="Verdana" w:eastAsia="Verdana" w:hAnsi="Verdana"/>
                <w:sz w:val="16"/>
                <w:szCs w:val="16"/>
                <w:color w:val="auto"/>
              </w:rPr>
              <w:t>/</w:t>
            </w:r>
            <w:r>
              <w:rPr>
                <w:rFonts w:ascii="Verdana" w:cs="Verdana" w:eastAsia="Verdana" w:hAnsi="Verdana"/>
                <w:sz w:val="16"/>
                <w:szCs w:val="16"/>
                <w:color w:val="auto"/>
              </w:rPr>
              <w:t>рост</w:t>
            </w:r>
            <w:r>
              <w:rPr>
                <w:rFonts w:ascii="Verdana" w:cs="Verdana" w:eastAsia="Verdana" w:hAnsi="Verdana"/>
                <w:sz w:val="32"/>
                <w:szCs w:val="32"/>
                <w:color w:val="auto"/>
                <w:vertAlign w:val="superscript"/>
              </w:rPr>
              <w:t>2</w:t>
            </w:r>
            <w:r>
              <w:rPr>
                <w:rFonts w:ascii="Verdana" w:cs="Verdana" w:eastAsia="Verdana" w:hAnsi="Verdana"/>
                <w:sz w:val="16"/>
                <w:szCs w:val="16"/>
                <w:color w:val="auto"/>
              </w:rPr>
              <w:t xml:space="preserve"> </w:t>
            </w:r>
            <w:r>
              <w:rPr>
                <w:rFonts w:ascii="Verdana" w:cs="Verdana" w:eastAsia="Verdana" w:hAnsi="Verdana"/>
                <w:sz w:val="16"/>
                <w:szCs w:val="16"/>
                <w:color w:val="auto"/>
              </w:rPr>
              <w:t>(</w:t>
            </w:r>
            <w:r>
              <w:rPr>
                <w:rFonts w:ascii="Verdana" w:cs="Verdana" w:eastAsia="Verdana" w:hAnsi="Verdana"/>
                <w:sz w:val="16"/>
                <w:szCs w:val="16"/>
                <w:color w:val="auto"/>
              </w:rPr>
              <w:t>мл</w:t>
            </w:r>
            <w:r>
              <w:rPr>
                <w:rFonts w:ascii="Verdana" w:cs="Verdana" w:eastAsia="Verdana" w:hAnsi="Verdana"/>
                <w:sz w:val="16"/>
                <w:szCs w:val="16"/>
                <w:color w:val="auto"/>
              </w:rPr>
              <w:t>/</w:t>
            </w:r>
            <w:r>
              <w:rPr>
                <w:rFonts w:ascii="Verdana" w:cs="Verdana" w:eastAsia="Verdana" w:hAnsi="Verdana"/>
                <w:sz w:val="16"/>
                <w:szCs w:val="16"/>
                <w:color w:val="auto"/>
              </w:rPr>
              <w:t>м</w:t>
            </w:r>
            <w:r>
              <w:rPr>
                <w:rFonts w:ascii="Verdana" w:cs="Verdana" w:eastAsia="Verdana" w:hAnsi="Verdana"/>
                <w:sz w:val="32"/>
                <w:szCs w:val="32"/>
                <w:color w:val="auto"/>
                <w:vertAlign w:val="superscript"/>
              </w:rPr>
              <w:t>2</w:t>
            </w:r>
            <w:r>
              <w:rPr>
                <w:rFonts w:ascii="Verdana" w:cs="Verdana" w:eastAsia="Verdana" w:hAnsi="Verdana"/>
                <w:sz w:val="16"/>
                <w:szCs w:val="16"/>
                <w:color w:val="auto"/>
              </w:rPr>
              <w:t>)</w:t>
            </w: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&gt;18,5 (</w:t>
            </w:r>
            <w:r>
              <w:rPr>
                <w:rFonts w:ascii="Verdana" w:cs="Verdana" w:eastAsia="Verdana" w:hAnsi="Verdana"/>
                <w:sz w:val="17"/>
                <w:szCs w:val="17"/>
                <w:color w:val="auto"/>
              </w:rPr>
              <w:t>мужчины</w:t>
            </w:r>
            <w:r>
              <w:rPr>
                <w:rFonts w:ascii="Verdana" w:cs="Verdana" w:eastAsia="Verdana" w:hAnsi="Verdana"/>
                <w:sz w:val="17"/>
                <w:szCs w:val="17"/>
                <w:color w:val="auto"/>
              </w:rPr>
              <w:t>)</w:t>
            </w:r>
          </w:p>
        </w:tc>
      </w:tr>
      <w:tr>
        <w:trPr>
          <w:trHeight w:val="220"/>
        </w:trPr>
        <w:tc>
          <w:tcPr>
            <w:tcW w:w="3060" w:type="dxa"/>
            <w:vAlign w:val="bottom"/>
            <w:tcBorders>
              <w:left w:val="single" w:sz="8" w:color="auto"/>
              <w:right w:val="single" w:sz="8" w:color="auto"/>
            </w:tcBorders>
          </w:tcPr>
          <w:p>
            <w:pPr>
              <w:spacing w:after="0"/>
              <w:rPr>
                <w:sz w:val="19"/>
                <w:szCs w:val="19"/>
                <w:color w:val="auto"/>
              </w:rPr>
            </w:pPr>
          </w:p>
        </w:tc>
        <w:tc>
          <w:tcPr>
            <w:tcW w:w="3000" w:type="dxa"/>
            <w:vAlign w:val="bottom"/>
            <w:tcBorders>
              <w:right w:val="single" w:sz="8" w:color="auto"/>
            </w:tcBorders>
          </w:tcPr>
          <w:p>
            <w:pPr>
              <w:spacing w:after="0"/>
              <w:rPr>
                <w:sz w:val="19"/>
                <w:szCs w:val="19"/>
                <w:color w:val="auto"/>
              </w:rPr>
            </w:pPr>
          </w:p>
        </w:tc>
        <w:tc>
          <w:tcPr>
            <w:tcW w:w="24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&gt;16,5 (</w:t>
            </w:r>
            <w:r>
              <w:rPr>
                <w:rFonts w:ascii="Verdana" w:cs="Verdana" w:eastAsia="Verdana" w:hAnsi="Verdana"/>
                <w:sz w:val="17"/>
                <w:szCs w:val="17"/>
                <w:color w:val="auto"/>
              </w:rPr>
              <w:t>женщины</w:t>
            </w:r>
            <w:r>
              <w:rPr>
                <w:rFonts w:ascii="Verdana" w:cs="Verdana" w:eastAsia="Verdana" w:hAnsi="Verdana"/>
                <w:sz w:val="17"/>
                <w:szCs w:val="17"/>
                <w:color w:val="auto"/>
              </w:rPr>
              <w:t>)</w:t>
            </w:r>
          </w:p>
        </w:tc>
      </w:tr>
      <w:tr>
        <w:trPr>
          <w:trHeight w:val="110"/>
        </w:trPr>
        <w:tc>
          <w:tcPr>
            <w:tcW w:w="3060" w:type="dxa"/>
            <w:vAlign w:val="bottom"/>
            <w:tcBorders>
              <w:left w:val="single" w:sz="8" w:color="auto"/>
              <w:bottom w:val="single" w:sz="8" w:color="auto"/>
              <w:right w:val="single" w:sz="8" w:color="auto"/>
            </w:tcBorders>
          </w:tcPr>
          <w:p>
            <w:pPr>
              <w:spacing w:after="0"/>
              <w:rPr>
                <w:sz w:val="9"/>
                <w:szCs w:val="9"/>
                <w:color w:val="auto"/>
              </w:rPr>
            </w:pPr>
          </w:p>
        </w:tc>
        <w:tc>
          <w:tcPr>
            <w:tcW w:w="3000" w:type="dxa"/>
            <w:vAlign w:val="bottom"/>
            <w:tcBorders>
              <w:bottom w:val="single" w:sz="8" w:color="auto"/>
              <w:right w:val="single" w:sz="8" w:color="auto"/>
            </w:tcBorders>
          </w:tcPr>
          <w:p>
            <w:pPr>
              <w:spacing w:after="0"/>
              <w:rPr>
                <w:sz w:val="9"/>
                <w:szCs w:val="9"/>
                <w:color w:val="auto"/>
              </w:rPr>
            </w:pPr>
          </w:p>
        </w:tc>
        <w:tc>
          <w:tcPr>
            <w:tcW w:w="2400" w:type="dxa"/>
            <w:vAlign w:val="bottom"/>
            <w:tcBorders>
              <w:bottom w:val="single" w:sz="8" w:color="auto"/>
              <w:right w:val="single" w:sz="8" w:color="auto"/>
            </w:tcBorders>
          </w:tcPr>
          <w:p>
            <w:pPr>
              <w:spacing w:after="0"/>
              <w:rPr>
                <w:sz w:val="9"/>
                <w:szCs w:val="9"/>
                <w:color w:val="auto"/>
              </w:rPr>
            </w:pPr>
          </w:p>
        </w:tc>
      </w:tr>
    </w:tbl>
    <w:p>
      <w:pPr>
        <w:spacing w:after="0" w:line="20" w:lineRule="exact"/>
        <w:rPr>
          <w:sz w:val="20"/>
          <w:szCs w:val="20"/>
          <w:color w:val="auto"/>
        </w:rPr>
      </w:pPr>
    </w:p>
    <w:p>
      <w:pPr>
        <w:sectPr>
          <w:pgSz w:w="11900" w:h="16840" w:orient="portrait"/>
          <w:cols w:equalWidth="0" w:num="1">
            <w:col w:w="9020"/>
          </w:cols>
          <w:pgMar w:left="1440" w:top="0" w:right="1440" w:bottom="0" w:gutter="0" w:footer="0" w:header="0"/>
        </w:sectPr>
      </w:pPr>
    </w:p>
    <w:p>
      <w:pPr>
        <w:jc w:val="both"/>
        <w:ind w:left="360" w:right="220"/>
        <w:spacing w:after="0" w:line="317" w:lineRule="auto"/>
        <w:rPr>
          <w:sz w:val="20"/>
          <w:szCs w:val="20"/>
          <w:color w:val="auto"/>
        </w:rPr>
      </w:pPr>
      <w:r>
        <w:rPr>
          <w:rFonts w:ascii="Arial" w:cs="Arial" w:eastAsia="Arial" w:hAnsi="Arial"/>
          <w:sz w:val="27"/>
          <w:szCs w:val="27"/>
          <w:color w:val="auto"/>
        </w:rPr>
        <w:t xml:space="preserve">ГЛЖ </w:t>
      </w:r>
      <w:r>
        <w:rPr>
          <w:rFonts w:ascii="Arial" w:cs="Arial" w:eastAsia="Arial" w:hAnsi="Arial"/>
          <w:sz w:val="27"/>
          <w:szCs w:val="27"/>
          <w:color w:val="auto"/>
        </w:rPr>
        <w:t>—</w:t>
      </w:r>
      <w:r>
        <w:rPr>
          <w:rFonts w:ascii="Arial" w:cs="Arial" w:eastAsia="Arial" w:hAnsi="Arial"/>
          <w:sz w:val="27"/>
          <w:szCs w:val="27"/>
          <w:color w:val="auto"/>
        </w:rPr>
        <w:t xml:space="preserve"> гипертрофия левого желудочка</w:t>
      </w:r>
      <w:r>
        <w:rPr>
          <w:rFonts w:ascii="Arial" w:cs="Arial" w:eastAsia="Arial" w:hAnsi="Arial"/>
          <w:sz w:val="27"/>
          <w:szCs w:val="27"/>
          <w:color w:val="auto"/>
        </w:rPr>
        <w:t>,</w:t>
      </w:r>
      <w:r>
        <w:rPr>
          <w:rFonts w:ascii="Arial" w:cs="Arial" w:eastAsia="Arial" w:hAnsi="Arial"/>
          <w:sz w:val="27"/>
          <w:szCs w:val="27"/>
          <w:color w:val="auto"/>
        </w:rPr>
        <w:t xml:space="preserve"> ЛЖ </w:t>
      </w:r>
      <w:r>
        <w:rPr>
          <w:rFonts w:ascii="Arial" w:cs="Arial" w:eastAsia="Arial" w:hAnsi="Arial"/>
          <w:sz w:val="27"/>
          <w:szCs w:val="27"/>
          <w:color w:val="auto"/>
        </w:rPr>
        <w:t>—</w:t>
      </w:r>
      <w:r>
        <w:rPr>
          <w:rFonts w:ascii="Arial" w:cs="Arial" w:eastAsia="Arial" w:hAnsi="Arial"/>
          <w:sz w:val="27"/>
          <w:szCs w:val="27"/>
          <w:color w:val="auto"/>
        </w:rPr>
        <w:t xml:space="preserve"> левый желудочек</w:t>
      </w:r>
      <w:r>
        <w:rPr>
          <w:rFonts w:ascii="Arial" w:cs="Arial" w:eastAsia="Arial" w:hAnsi="Arial"/>
          <w:sz w:val="27"/>
          <w:szCs w:val="27"/>
          <w:color w:val="auto"/>
        </w:rPr>
        <w:t>,</w:t>
      </w:r>
      <w:r>
        <w:rPr>
          <w:rFonts w:ascii="Arial" w:cs="Arial" w:eastAsia="Arial" w:hAnsi="Arial"/>
          <w:sz w:val="27"/>
          <w:szCs w:val="27"/>
          <w:color w:val="auto"/>
        </w:rPr>
        <w:t xml:space="preserve"> ЛП </w:t>
      </w:r>
      <w:r>
        <w:rPr>
          <w:rFonts w:ascii="Arial" w:cs="Arial" w:eastAsia="Arial" w:hAnsi="Arial"/>
          <w:sz w:val="27"/>
          <w:szCs w:val="27"/>
          <w:color w:val="auto"/>
        </w:rPr>
        <w:t>—</w:t>
      </w:r>
      <w:r>
        <w:rPr>
          <w:rFonts w:ascii="Arial" w:cs="Arial" w:eastAsia="Arial" w:hAnsi="Arial"/>
          <w:sz w:val="27"/>
          <w:szCs w:val="27"/>
          <w:color w:val="auto"/>
        </w:rPr>
        <w:t xml:space="preserve"> левое предсердие</w:t>
      </w:r>
      <w:r>
        <w:rPr>
          <w:rFonts w:ascii="Arial" w:cs="Arial" w:eastAsia="Arial" w:hAnsi="Arial"/>
          <w:sz w:val="27"/>
          <w:szCs w:val="27"/>
          <w:color w:val="auto"/>
        </w:rPr>
        <w:t>,</w:t>
      </w:r>
      <w:r>
        <w:rPr>
          <w:rFonts w:ascii="Arial" w:cs="Arial" w:eastAsia="Arial" w:hAnsi="Arial"/>
          <w:sz w:val="27"/>
          <w:szCs w:val="27"/>
          <w:color w:val="auto"/>
        </w:rPr>
        <w:t xml:space="preserve"> ОТС </w:t>
      </w:r>
      <w:r>
        <w:rPr>
          <w:rFonts w:ascii="Arial" w:cs="Arial" w:eastAsia="Arial" w:hAnsi="Arial"/>
          <w:sz w:val="27"/>
          <w:szCs w:val="27"/>
          <w:color w:val="auto"/>
        </w:rPr>
        <w:t>—</w:t>
      </w:r>
      <w:r>
        <w:rPr>
          <w:rFonts w:ascii="Arial" w:cs="Arial" w:eastAsia="Arial" w:hAnsi="Arial"/>
          <w:sz w:val="27"/>
          <w:szCs w:val="27"/>
          <w:color w:val="auto"/>
        </w:rPr>
        <w:t xml:space="preserve"> относительная толщина стенок</w:t>
      </w:r>
      <w:r>
        <w:rPr>
          <w:rFonts w:ascii="Arial" w:cs="Arial" w:eastAsia="Arial" w:hAnsi="Arial"/>
          <w:sz w:val="27"/>
          <w:szCs w:val="27"/>
          <w:color w:val="auto"/>
        </w:rPr>
        <w:t>,</w:t>
      </w:r>
      <w:r>
        <w:rPr>
          <w:rFonts w:ascii="Arial" w:cs="Arial" w:eastAsia="Arial" w:hAnsi="Arial"/>
          <w:sz w:val="27"/>
          <w:szCs w:val="27"/>
          <w:color w:val="auto"/>
        </w:rPr>
        <w:t xml:space="preserve"> ПТТ </w:t>
      </w:r>
      <w:r>
        <w:rPr>
          <w:rFonts w:ascii="Arial" w:cs="Arial" w:eastAsia="Arial" w:hAnsi="Arial"/>
          <w:sz w:val="27"/>
          <w:szCs w:val="27"/>
          <w:color w:val="auto"/>
        </w:rPr>
        <w:t>—</w:t>
      </w:r>
      <w:r>
        <w:rPr>
          <w:rFonts w:ascii="Arial" w:cs="Arial" w:eastAsia="Arial" w:hAnsi="Arial"/>
          <w:sz w:val="27"/>
          <w:szCs w:val="27"/>
          <w:color w:val="auto"/>
        </w:rPr>
        <w:t xml:space="preserve"> площадь поверхности тела</w:t>
      </w:r>
      <w:r>
        <w:rPr>
          <w:rFonts w:ascii="Arial" w:cs="Arial" w:eastAsia="Arial" w:hAnsi="Arial"/>
          <w:sz w:val="27"/>
          <w:szCs w:val="27"/>
          <w:color w:val="auto"/>
        </w:rPr>
        <w:t>.</w:t>
      </w:r>
    </w:p>
    <w:p>
      <w:pPr>
        <w:sectPr>
          <w:pgSz w:w="11900" w:h="16840" w:orient="portrait"/>
          <w:cols w:equalWidth="0" w:num="1">
            <w:col w:w="9020"/>
          </w:cols>
          <w:pgMar w:left="1440" w:top="0" w:right="1440" w:bottom="0" w:gutter="0" w:footer="0" w:header="0"/>
          <w:type w:val="continuous"/>
        </w:sectPr>
      </w:pPr>
    </w:p>
    <w:bookmarkStart w:id="140" w:name="page141"/>
    <w:bookmarkEnd w:id="140"/>
    <w:p>
      <w:pPr>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7/</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Клинические показания для домашнего </w:t>
      </w:r>
      <w:r>
        <w:rPr>
          <w:rFonts w:ascii="Arial" w:cs="Arial" w:eastAsia="Arial" w:hAnsi="Arial"/>
          <w:sz w:val="27"/>
          <w:szCs w:val="27"/>
          <w:b w:val="1"/>
          <w:bCs w:val="1"/>
          <w:color w:val="auto"/>
        </w:rPr>
        <w:t>(</w:t>
      </w:r>
      <w:r>
        <w:rPr>
          <w:rFonts w:ascii="Arial" w:cs="Arial" w:eastAsia="Arial" w:hAnsi="Arial"/>
          <w:sz w:val="27"/>
          <w:szCs w:val="27"/>
          <w:b w:val="1"/>
          <w:bCs w:val="1"/>
          <w:color w:val="auto"/>
        </w:rPr>
        <w:t>ДМАД</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и суточного мониторирования АД</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СМАД</w:t>
      </w:r>
      <w:r>
        <w:rPr>
          <w:rFonts w:ascii="Arial" w:cs="Arial" w:eastAsia="Arial" w:hAnsi="Arial"/>
          <w:sz w:val="27"/>
          <w:szCs w:val="27"/>
          <w:b w:val="1"/>
          <w:b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471678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66">
                      <a:extLst>
                        <a:ext uri="{28A0092B-C50C-407E-A947-70E740481C1C}"/>
                      </a:extLst>
                    </a:blip>
                    <a:srcRect/>
                    <a:stretch>
                      <a:fillRect/>
                    </a:stretch>
                  </pic:blipFill>
                  <pic:spPr bwMode="auto">
                    <a:xfrm>
                      <a:off x="0" y="0"/>
                      <a:ext cx="5365115" cy="4716780"/>
                    </a:xfrm>
                    <a:prstGeom prst="rect">
                      <a:avLst/>
                    </a:prstGeom>
                    <a:noFill/>
                  </pic:spPr>
                </pic:pic>
              </a:graphicData>
            </a:graphic>
          </wp:anchor>
        </w:drawing>
      </w:r>
    </w:p>
    <w:p>
      <w:pPr>
        <w:spacing w:after="0" w:line="282"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Состояния</w:t>
      </w:r>
      <w:r>
        <w:rPr>
          <w:rFonts w:ascii="Verdana" w:cs="Verdana" w:eastAsia="Verdana" w:hAnsi="Verdana"/>
          <w:sz w:val="17"/>
          <w:szCs w:val="17"/>
          <w:color w:val="auto"/>
        </w:rPr>
        <w:t>,</w:t>
      </w:r>
      <w:r>
        <w:rPr>
          <w:rFonts w:ascii="Verdana" w:cs="Verdana" w:eastAsia="Verdana" w:hAnsi="Verdana"/>
          <w:sz w:val="17"/>
          <w:szCs w:val="17"/>
          <w:color w:val="auto"/>
        </w:rPr>
        <w:t xml:space="preserve"> при которых наиболее часто встречается гипертензия </w:t>
      </w:r>
      <w:r>
        <w:rPr>
          <w:rFonts w:ascii="Verdana" w:cs="Verdana" w:eastAsia="Verdana" w:hAnsi="Verdana"/>
          <w:sz w:val="17"/>
          <w:szCs w:val="17"/>
          <w:color w:val="auto"/>
        </w:rPr>
        <w:t>«</w:t>
      </w:r>
      <w:r>
        <w:rPr>
          <w:rFonts w:ascii="Verdana" w:cs="Verdana" w:eastAsia="Verdana" w:hAnsi="Verdana"/>
          <w:sz w:val="17"/>
          <w:szCs w:val="17"/>
          <w:color w:val="auto"/>
        </w:rPr>
        <w:t>белого халата</w:t>
      </w:r>
      <w:r>
        <w:rPr>
          <w:rFonts w:ascii="Verdana" w:cs="Verdana" w:eastAsia="Verdana" w:hAnsi="Verdana"/>
          <w:sz w:val="17"/>
          <w:szCs w:val="17"/>
          <w:color w:val="auto"/>
        </w:rPr>
        <w:t>»,</w:t>
      </w:r>
      <w:r>
        <w:rPr>
          <w:rFonts w:ascii="Verdana" w:cs="Verdana" w:eastAsia="Verdana" w:hAnsi="Verdana"/>
          <w:sz w:val="17"/>
          <w:szCs w:val="17"/>
          <w:color w:val="auto"/>
        </w:rPr>
        <w:t xml:space="preserve"> в том числе</w:t>
      </w:r>
      <w:r>
        <w:rPr>
          <w:rFonts w:ascii="Verdana" w:cs="Verdana" w:eastAsia="Verdana" w:hAnsi="Verdana"/>
          <w:sz w:val="17"/>
          <w:szCs w:val="17"/>
          <w:color w:val="auto"/>
        </w:rPr>
        <w:t>:</w:t>
      </w:r>
    </w:p>
    <w:p>
      <w:pPr>
        <w:spacing w:after="0" w:line="51" w:lineRule="exact"/>
        <w:rPr>
          <w:sz w:val="20"/>
          <w:szCs w:val="20"/>
          <w:color w:val="auto"/>
        </w:rPr>
      </w:pPr>
    </w:p>
    <w:p>
      <w:pPr>
        <w:ind w:left="840" w:right="380"/>
        <w:spacing w:after="0" w:line="453" w:lineRule="auto"/>
        <w:rPr>
          <w:sz w:val="20"/>
          <w:szCs w:val="20"/>
          <w:color w:val="auto"/>
        </w:rPr>
      </w:pPr>
      <w:r>
        <w:rPr>
          <w:rFonts w:ascii="Verdana" w:cs="Verdana" w:eastAsia="Verdana" w:hAnsi="Verdana"/>
          <w:sz w:val="17"/>
          <w:szCs w:val="17"/>
          <w:color w:val="auto"/>
        </w:rPr>
        <w:t xml:space="preserve">Артериальная гипертензия </w:t>
      </w:r>
      <w:r>
        <w:rPr>
          <w:rFonts w:ascii="Verdana" w:cs="Verdana" w:eastAsia="Verdana" w:hAnsi="Verdana"/>
          <w:sz w:val="17"/>
          <w:szCs w:val="17"/>
          <w:color w:val="auto"/>
        </w:rPr>
        <w:t>1-</w:t>
      </w:r>
      <w:r>
        <w:rPr>
          <w:rFonts w:ascii="Verdana" w:cs="Verdana" w:eastAsia="Verdana" w:hAnsi="Verdana"/>
          <w:sz w:val="17"/>
          <w:szCs w:val="17"/>
          <w:color w:val="auto"/>
        </w:rPr>
        <w:t>й степени по данным 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измеренного в медицинском учреждении</w:t>
      </w:r>
    </w:p>
    <w:p>
      <w:pPr>
        <w:ind w:left="840" w:right="380"/>
        <w:spacing w:after="0" w:line="468" w:lineRule="auto"/>
        <w:rPr>
          <w:sz w:val="20"/>
          <w:szCs w:val="20"/>
          <w:color w:val="auto"/>
        </w:rPr>
      </w:pPr>
      <w:r>
        <w:rPr>
          <w:rFonts w:ascii="Verdana" w:cs="Verdana" w:eastAsia="Verdana" w:hAnsi="Verdana"/>
          <w:sz w:val="17"/>
          <w:szCs w:val="17"/>
          <w:color w:val="auto"/>
        </w:rPr>
        <w:t>Выраженное повышение 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измеренного в медицинском учреждении</w:t>
      </w:r>
      <w:r>
        <w:rPr>
          <w:rFonts w:ascii="Verdana" w:cs="Verdana" w:eastAsia="Verdana" w:hAnsi="Verdana"/>
          <w:sz w:val="17"/>
          <w:szCs w:val="17"/>
          <w:color w:val="auto"/>
        </w:rPr>
        <w:t>,</w:t>
      </w:r>
      <w:r>
        <w:rPr>
          <w:rFonts w:ascii="Verdana" w:cs="Verdana" w:eastAsia="Verdana" w:hAnsi="Verdana"/>
          <w:sz w:val="17"/>
          <w:szCs w:val="17"/>
          <w:color w:val="auto"/>
        </w:rPr>
        <w:t xml:space="preserve"> без признаков ПОМ</w:t>
      </w:r>
    </w:p>
    <w:p>
      <w:pPr>
        <w:spacing w:after="0" w:line="185"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Состояния</w:t>
      </w:r>
      <w:r>
        <w:rPr>
          <w:rFonts w:ascii="Verdana" w:cs="Verdana" w:eastAsia="Verdana" w:hAnsi="Verdana"/>
          <w:sz w:val="17"/>
          <w:szCs w:val="17"/>
          <w:color w:val="auto"/>
        </w:rPr>
        <w:t>,</w:t>
      </w:r>
      <w:r>
        <w:rPr>
          <w:rFonts w:ascii="Verdana" w:cs="Verdana" w:eastAsia="Verdana" w:hAnsi="Verdana"/>
          <w:sz w:val="17"/>
          <w:szCs w:val="17"/>
          <w:color w:val="auto"/>
        </w:rPr>
        <w:t xml:space="preserve"> при которых наиболее часто встречается маскированная гипертензия</w:t>
      </w:r>
      <w:r>
        <w:rPr>
          <w:rFonts w:ascii="Verdana" w:cs="Verdana" w:eastAsia="Verdana" w:hAnsi="Verdana"/>
          <w:sz w:val="17"/>
          <w:szCs w:val="17"/>
          <w:color w:val="auto"/>
        </w:rPr>
        <w:t>,</w:t>
      </w:r>
      <w:r>
        <w:rPr>
          <w:rFonts w:ascii="Verdana" w:cs="Verdana" w:eastAsia="Verdana" w:hAnsi="Verdana"/>
          <w:sz w:val="17"/>
          <w:szCs w:val="17"/>
          <w:color w:val="auto"/>
        </w:rPr>
        <w:t xml:space="preserve"> в том числе</w:t>
      </w:r>
      <w:r>
        <w:rPr>
          <w:rFonts w:ascii="Verdana" w:cs="Verdana" w:eastAsia="Verdana" w:hAnsi="Verdana"/>
          <w:sz w:val="17"/>
          <w:szCs w:val="17"/>
          <w:color w:val="auto"/>
        </w:rPr>
        <w:t>:</w:t>
      </w:r>
    </w:p>
    <w:p>
      <w:pPr>
        <w:spacing w:after="0" w:line="51"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Высокое нормальное 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измеренное в медицинском учреждении</w:t>
      </w:r>
    </w:p>
    <w:p>
      <w:pPr>
        <w:spacing w:after="0" w:line="184" w:lineRule="exact"/>
        <w:rPr>
          <w:sz w:val="20"/>
          <w:szCs w:val="20"/>
          <w:color w:val="auto"/>
        </w:rPr>
      </w:pPr>
    </w:p>
    <w:p>
      <w:pPr>
        <w:ind w:left="840" w:right="380"/>
        <w:spacing w:after="0" w:line="468" w:lineRule="auto"/>
        <w:rPr>
          <w:sz w:val="20"/>
          <w:szCs w:val="20"/>
          <w:color w:val="auto"/>
        </w:rPr>
      </w:pPr>
      <w:r>
        <w:rPr>
          <w:rFonts w:ascii="Verdana" w:cs="Verdana" w:eastAsia="Verdana" w:hAnsi="Verdana"/>
          <w:sz w:val="17"/>
          <w:szCs w:val="17"/>
          <w:color w:val="auto"/>
        </w:rPr>
        <w:t>Нормальное 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измеренное в медицинском учреждении</w:t>
      </w:r>
      <w:r>
        <w:rPr>
          <w:rFonts w:ascii="Verdana" w:cs="Verdana" w:eastAsia="Verdana" w:hAnsi="Verdana"/>
          <w:sz w:val="17"/>
          <w:szCs w:val="17"/>
          <w:color w:val="auto"/>
        </w:rPr>
        <w:t>,</w:t>
      </w:r>
      <w:r>
        <w:rPr>
          <w:rFonts w:ascii="Verdana" w:cs="Verdana" w:eastAsia="Verdana" w:hAnsi="Verdana"/>
          <w:sz w:val="17"/>
          <w:szCs w:val="17"/>
          <w:color w:val="auto"/>
        </w:rPr>
        <w:t xml:space="preserve"> у пациентов с ПОМ и высоким общим 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сосудистым риском</w:t>
      </w:r>
    </w:p>
    <w:p>
      <w:pPr>
        <w:spacing w:after="0" w:line="185"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Постуральная и постпрандиальная гипотензия у пациентов</w:t>
      </w:r>
      <w:r>
        <w:rPr>
          <w:rFonts w:ascii="Verdana" w:cs="Verdana" w:eastAsia="Verdana" w:hAnsi="Verdana"/>
          <w:sz w:val="17"/>
          <w:szCs w:val="17"/>
          <w:color w:val="auto"/>
        </w:rPr>
        <w:t>,</w:t>
      </w:r>
      <w:r>
        <w:rPr>
          <w:rFonts w:ascii="Verdana" w:cs="Verdana" w:eastAsia="Verdana" w:hAnsi="Verdana"/>
          <w:sz w:val="17"/>
          <w:szCs w:val="17"/>
          <w:color w:val="auto"/>
        </w:rPr>
        <w:t xml:space="preserve"> получающих или не получающих лечение</w:t>
      </w:r>
    </w:p>
    <w:p>
      <w:pPr>
        <w:spacing w:after="0" w:line="226"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Обследование по поводу резистентной АГ</w:t>
      </w:r>
    </w:p>
    <w:p>
      <w:pPr>
        <w:ind w:left="520" w:right="2300"/>
        <w:spacing w:after="0" w:line="220" w:lineRule="auto"/>
        <w:rPr>
          <w:sz w:val="20"/>
          <w:szCs w:val="20"/>
          <w:color w:val="auto"/>
        </w:rPr>
      </w:pPr>
      <w:r>
        <w:rPr>
          <w:rFonts w:ascii="Verdana" w:cs="Verdana" w:eastAsia="Verdana" w:hAnsi="Verdana"/>
          <w:sz w:val="17"/>
          <w:szCs w:val="17"/>
          <w:color w:val="auto"/>
        </w:rPr>
        <w:t>Оценка контроля АД</w:t>
      </w:r>
      <w:r>
        <w:rPr>
          <w:rFonts w:ascii="Verdana" w:cs="Verdana" w:eastAsia="Verdana" w:hAnsi="Verdana"/>
          <w:sz w:val="17"/>
          <w:szCs w:val="17"/>
          <w:color w:val="auto"/>
        </w:rPr>
        <w:t>,</w:t>
      </w:r>
      <w:r>
        <w:rPr>
          <w:rFonts w:ascii="Verdana" w:cs="Verdana" w:eastAsia="Verdana" w:hAnsi="Verdana"/>
          <w:sz w:val="17"/>
          <w:szCs w:val="17"/>
          <w:color w:val="auto"/>
        </w:rPr>
        <w:t xml:space="preserve"> особенно при лечении пациентов высокого риска Чрезмерное повышение АД при физической нагрузке</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При наличии значимой вариабельности 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измеренного в медицинском учреждении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Для оценки симптомов возможной гипотензии на фоне лечения</w:t>
      </w:r>
    </w:p>
    <w:p>
      <w:pPr>
        <w:spacing w:after="0" w:line="23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Специфические показания для СМАД</w:t>
      </w:r>
      <w:r>
        <w:rPr>
          <w:rFonts w:ascii="Verdana" w:cs="Verdana" w:eastAsia="Verdana" w:hAnsi="Verdana"/>
          <w:sz w:val="17"/>
          <w:szCs w:val="17"/>
          <w:color w:val="auto"/>
        </w:rPr>
        <w:t>:</w:t>
      </w:r>
    </w:p>
    <w:p>
      <w:pPr>
        <w:jc w:val="both"/>
        <w:ind w:left="520" w:right="380"/>
        <w:spacing w:after="0" w:line="210" w:lineRule="auto"/>
        <w:rPr>
          <w:sz w:val="20"/>
          <w:szCs w:val="20"/>
          <w:color w:val="auto"/>
        </w:rPr>
      </w:pPr>
      <w:r>
        <w:rPr>
          <w:rFonts w:ascii="Verdana" w:cs="Verdana" w:eastAsia="Verdana" w:hAnsi="Verdana"/>
          <w:sz w:val="17"/>
          <w:szCs w:val="17"/>
          <w:color w:val="auto"/>
        </w:rPr>
        <w:t xml:space="preserve">оценка ночного АД и суточного индекса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при подозрении на ночную гипертензию</w:t>
      </w:r>
      <w:r>
        <w:rPr>
          <w:rFonts w:ascii="Verdana" w:cs="Verdana" w:eastAsia="Verdana" w:hAnsi="Verdana"/>
          <w:sz w:val="17"/>
          <w:szCs w:val="17"/>
          <w:color w:val="auto"/>
        </w:rPr>
        <w:t>,</w:t>
      </w:r>
      <w:r>
        <w:rPr>
          <w:rFonts w:ascii="Verdana" w:cs="Verdana" w:eastAsia="Verdana" w:hAnsi="Verdana"/>
          <w:sz w:val="17"/>
          <w:szCs w:val="17"/>
          <w:color w:val="auto"/>
        </w:rPr>
        <w:t xml:space="preserve"> в том числе</w:t>
      </w:r>
      <w:r>
        <w:rPr>
          <w:rFonts w:ascii="Verdana" w:cs="Verdana" w:eastAsia="Verdana" w:hAnsi="Verdana"/>
          <w:sz w:val="17"/>
          <w:szCs w:val="17"/>
          <w:color w:val="auto"/>
        </w:rPr>
        <w:t>,</w:t>
      </w:r>
      <w:r>
        <w:rPr>
          <w:rFonts w:ascii="Verdana" w:cs="Verdana" w:eastAsia="Verdana" w:hAnsi="Verdana"/>
          <w:sz w:val="17"/>
          <w:szCs w:val="17"/>
          <w:color w:val="auto"/>
        </w:rPr>
        <w:t xml:space="preserve"> при синдроме ночного апноэ</w:t>
      </w:r>
      <w:r>
        <w:rPr>
          <w:rFonts w:ascii="Verdana" w:cs="Verdana" w:eastAsia="Verdana" w:hAnsi="Verdana"/>
          <w:sz w:val="17"/>
          <w:szCs w:val="17"/>
          <w:color w:val="auto"/>
        </w:rPr>
        <w:t>,</w:t>
      </w:r>
      <w:r>
        <w:rPr>
          <w:rFonts w:ascii="Verdana" w:cs="Verdana" w:eastAsia="Verdana" w:hAnsi="Verdana"/>
          <w:sz w:val="17"/>
          <w:szCs w:val="17"/>
          <w:color w:val="auto"/>
        </w:rPr>
        <w:t xml:space="preserve"> ХБП</w:t>
      </w:r>
      <w:r>
        <w:rPr>
          <w:rFonts w:ascii="Verdana" w:cs="Verdana" w:eastAsia="Verdana" w:hAnsi="Verdana"/>
          <w:sz w:val="17"/>
          <w:szCs w:val="17"/>
          <w:color w:val="auto"/>
        </w:rPr>
        <w:t>,</w:t>
      </w:r>
      <w:r>
        <w:rPr>
          <w:rFonts w:ascii="Verdana" w:cs="Verdana" w:eastAsia="Verdana" w:hAnsi="Verdana"/>
          <w:sz w:val="17"/>
          <w:szCs w:val="17"/>
          <w:color w:val="auto"/>
        </w:rPr>
        <w:t xml:space="preserve"> гипертензии эндокринной этиологии или автономной дисфункции</w:t>
      </w:r>
      <w:r>
        <w:rPr>
          <w:rFonts w:ascii="Verdana" w:cs="Verdana" w:eastAsia="Verdana" w:hAnsi="Verdana"/>
          <w:sz w:val="17"/>
          <w:szCs w:val="17"/>
          <w:color w:val="auto"/>
        </w:rPr>
        <w:t>)</w:t>
      </w:r>
    </w:p>
    <w:p>
      <w:pPr>
        <w:spacing w:after="0" w:line="153"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color w:val="auto"/>
        </w:rPr>
        <w:t xml:space="preserve">СМАД </w:t>
      </w:r>
      <w:r>
        <w:rPr>
          <w:rFonts w:ascii="Arial" w:cs="Arial" w:eastAsia="Arial" w:hAnsi="Arial"/>
          <w:sz w:val="27"/>
          <w:szCs w:val="27"/>
          <w:color w:val="auto"/>
        </w:rPr>
        <w:t>—</w:t>
      </w:r>
      <w:r>
        <w:rPr>
          <w:rFonts w:ascii="Arial" w:cs="Arial" w:eastAsia="Arial" w:hAnsi="Arial"/>
          <w:sz w:val="27"/>
          <w:szCs w:val="27"/>
          <w:color w:val="auto"/>
        </w:rPr>
        <w:t xml:space="preserve"> суточное мониторирование АД</w:t>
      </w:r>
      <w:r>
        <w:rPr>
          <w:rFonts w:ascii="Arial" w:cs="Arial" w:eastAsia="Arial" w:hAnsi="Arial"/>
          <w:sz w:val="27"/>
          <w:szCs w:val="27"/>
          <w:color w:val="auto"/>
        </w:rPr>
        <w:t>;</w:t>
      </w:r>
      <w:r>
        <w:rPr>
          <w:rFonts w:ascii="Arial" w:cs="Arial" w:eastAsia="Arial" w:hAnsi="Arial"/>
          <w:sz w:val="27"/>
          <w:szCs w:val="27"/>
          <w:color w:val="auto"/>
        </w:rPr>
        <w:t xml:space="preserve"> ДМАД </w:t>
      </w:r>
      <w:r>
        <w:rPr>
          <w:rFonts w:ascii="Arial" w:cs="Arial" w:eastAsia="Arial" w:hAnsi="Arial"/>
          <w:sz w:val="27"/>
          <w:szCs w:val="27"/>
          <w:color w:val="auto"/>
        </w:rPr>
        <w:t>—</w:t>
      </w:r>
      <w:r>
        <w:rPr>
          <w:rFonts w:ascii="Arial" w:cs="Arial" w:eastAsia="Arial" w:hAnsi="Arial"/>
          <w:sz w:val="27"/>
          <w:szCs w:val="27"/>
          <w:color w:val="auto"/>
        </w:rPr>
        <w:t xml:space="preserve"> домашнее мониторирование АД</w:t>
      </w:r>
    </w:p>
    <w:p>
      <w:pPr>
        <w:spacing w:after="0" w:line="186" w:lineRule="exact"/>
        <w:rPr>
          <w:sz w:val="20"/>
          <w:szCs w:val="20"/>
          <w:color w:val="auto"/>
        </w:rPr>
      </w:pPr>
    </w:p>
    <w:p>
      <w:pPr>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8/</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Сравнение методов суточного и домашнего мониторирования артериального давления</w:t>
      </w:r>
    </w:p>
    <w:p>
      <w:pPr>
        <w:spacing w:after="0" w:line="139"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424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СМАД</w:t>
            </w:r>
          </w:p>
        </w:tc>
        <w:tc>
          <w:tcPr>
            <w:tcW w:w="422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ДМАД</w:t>
            </w:r>
          </w:p>
        </w:tc>
      </w:tr>
      <w:tr>
        <w:trPr>
          <w:trHeight w:val="117"/>
        </w:trPr>
        <w:tc>
          <w:tcPr>
            <w:tcW w:w="4240" w:type="dxa"/>
            <w:vAlign w:val="bottom"/>
            <w:tcBorders>
              <w:left w:val="single" w:sz="8" w:color="auto"/>
              <w:bottom w:val="single" w:sz="8" w:color="auto"/>
              <w:right w:val="single" w:sz="8" w:color="auto"/>
            </w:tcBorders>
          </w:tcPr>
          <w:p>
            <w:pPr>
              <w:spacing w:after="0"/>
              <w:rPr>
                <w:sz w:val="10"/>
                <w:szCs w:val="10"/>
                <w:color w:val="auto"/>
              </w:rPr>
            </w:pPr>
          </w:p>
        </w:tc>
        <w:tc>
          <w:tcPr>
            <w:tcW w:w="4220" w:type="dxa"/>
            <w:vAlign w:val="bottom"/>
            <w:tcBorders>
              <w:bottom w:val="single" w:sz="8" w:color="auto"/>
              <w:right w:val="single" w:sz="8" w:color="auto"/>
            </w:tcBorders>
          </w:tcPr>
          <w:p>
            <w:pPr>
              <w:spacing w:after="0"/>
              <w:rPr>
                <w:sz w:val="10"/>
                <w:szCs w:val="10"/>
                <w:color w:val="auto"/>
              </w:rPr>
            </w:pPr>
          </w:p>
        </w:tc>
      </w:tr>
    </w:tbl>
    <w:p>
      <w:pPr>
        <w:spacing w:after="0" w:line="20" w:lineRule="exact"/>
        <w:rPr>
          <w:sz w:val="20"/>
          <w:szCs w:val="20"/>
          <w:color w:val="auto"/>
        </w:rPr>
      </w:pPr>
    </w:p>
    <w:p>
      <w:pPr>
        <w:sectPr>
          <w:pgSz w:w="11900" w:h="16840" w:orient="portrait"/>
          <w:cols w:equalWidth="0" w:num="1">
            <w:col w:w="9020"/>
          </w:cols>
          <w:pgMar w:left="1440" w:top="19" w:right="1440" w:bottom="1440" w:gutter="0" w:footer="0" w:header="0"/>
        </w:sectPr>
      </w:pPr>
    </w:p>
    <w:bookmarkStart w:id="141" w:name="page142"/>
    <w:bookmarkEnd w:id="141"/>
    <w:tbl>
      <w:tblPr>
        <w:tblLayout w:type="fixed"/>
        <w:tblInd w:w="370" w:type="dxa"/>
        <w:tblCellMar>
          <w:top w:w="0" w:type="dxa"/>
          <w:left w:w="0" w:type="dxa"/>
          <w:bottom w:w="0" w:type="dxa"/>
          <w:right w:w="0" w:type="dxa"/>
        </w:tblCellMar>
      </w:tblPr>
      <w:tr>
        <w:trPr>
          <w:trHeight w:val="343"/>
        </w:trPr>
        <w:tc>
          <w:tcPr>
            <w:tcW w:w="158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color w:val="auto"/>
              </w:rPr>
              <w:t>Преимущества</w:t>
            </w:r>
            <w:r>
              <w:rPr>
                <w:rFonts w:ascii="Verdana" w:cs="Verdana" w:eastAsia="Verdana" w:hAnsi="Verdana"/>
                <w:sz w:val="17"/>
                <w:szCs w:val="17"/>
                <w:color w:val="auto"/>
              </w:rPr>
              <w:t>:</w:t>
            </w:r>
          </w:p>
        </w:tc>
        <w:tc>
          <w:tcPr>
            <w:tcW w:w="60" w:type="dxa"/>
            <w:vAlign w:val="bottom"/>
            <w:tcBorders>
              <w:top w:val="single" w:sz="8" w:color="auto"/>
            </w:tcBorders>
          </w:tcPr>
          <w:p>
            <w:pPr>
              <w:spacing w:after="0"/>
              <w:rPr>
                <w:sz w:val="24"/>
                <w:szCs w:val="24"/>
                <w:color w:val="auto"/>
              </w:rPr>
            </w:pPr>
          </w:p>
        </w:tc>
        <w:tc>
          <w:tcPr>
            <w:tcW w:w="780" w:type="dxa"/>
            <w:vAlign w:val="bottom"/>
            <w:tcBorders>
              <w:top w:val="single" w:sz="8" w:color="auto"/>
            </w:tcBorders>
          </w:tcPr>
          <w:p>
            <w:pPr>
              <w:spacing w:after="0"/>
              <w:rPr>
                <w:sz w:val="24"/>
                <w:szCs w:val="24"/>
                <w:color w:val="auto"/>
              </w:rPr>
            </w:pPr>
          </w:p>
        </w:tc>
        <w:tc>
          <w:tcPr>
            <w:tcW w:w="320" w:type="dxa"/>
            <w:vAlign w:val="bottom"/>
            <w:tcBorders>
              <w:top w:val="single" w:sz="8" w:color="auto"/>
            </w:tcBorders>
          </w:tcPr>
          <w:p>
            <w:pPr>
              <w:spacing w:after="0"/>
              <w:rPr>
                <w:sz w:val="24"/>
                <w:szCs w:val="24"/>
                <w:color w:val="auto"/>
              </w:rPr>
            </w:pPr>
          </w:p>
        </w:tc>
        <w:tc>
          <w:tcPr>
            <w:tcW w:w="1000" w:type="dxa"/>
            <w:vAlign w:val="bottom"/>
            <w:tcBorders>
              <w:top w:val="single" w:sz="8" w:color="auto"/>
            </w:tcBorders>
          </w:tcPr>
          <w:p>
            <w:pPr>
              <w:spacing w:after="0"/>
              <w:rPr>
                <w:sz w:val="24"/>
                <w:szCs w:val="24"/>
                <w:color w:val="auto"/>
              </w:rPr>
            </w:pPr>
          </w:p>
        </w:tc>
        <w:tc>
          <w:tcPr>
            <w:tcW w:w="500" w:type="dxa"/>
            <w:vAlign w:val="bottom"/>
            <w:tcBorders>
              <w:top w:val="single" w:sz="8" w:color="auto"/>
              <w:right w:val="single" w:sz="8" w:color="auto"/>
            </w:tcBorders>
          </w:tcPr>
          <w:p>
            <w:pPr>
              <w:spacing w:after="0"/>
              <w:rPr>
                <w:sz w:val="24"/>
                <w:szCs w:val="24"/>
                <w:color w:val="auto"/>
              </w:rPr>
            </w:pPr>
          </w:p>
        </w:tc>
        <w:tc>
          <w:tcPr>
            <w:tcW w:w="158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rPr>
              <w:t>Преимущества</w:t>
            </w:r>
            <w:r>
              <w:rPr>
                <w:rFonts w:ascii="Verdana" w:cs="Verdana" w:eastAsia="Verdana" w:hAnsi="Verdana"/>
                <w:sz w:val="17"/>
                <w:szCs w:val="17"/>
                <w:color w:val="auto"/>
              </w:rPr>
              <w:t>:</w:t>
            </w:r>
          </w:p>
        </w:tc>
        <w:tc>
          <w:tcPr>
            <w:tcW w:w="480" w:type="dxa"/>
            <w:vAlign w:val="bottom"/>
            <w:tcBorders>
              <w:top w:val="single" w:sz="8" w:color="auto"/>
            </w:tcBorders>
          </w:tcPr>
          <w:p>
            <w:pPr>
              <w:spacing w:after="0"/>
              <w:rPr>
                <w:sz w:val="24"/>
                <w:szCs w:val="24"/>
                <w:color w:val="auto"/>
              </w:rPr>
            </w:pPr>
          </w:p>
        </w:tc>
        <w:tc>
          <w:tcPr>
            <w:tcW w:w="600" w:type="dxa"/>
            <w:vAlign w:val="bottom"/>
            <w:tcBorders>
              <w:top w:val="single" w:sz="8" w:color="auto"/>
            </w:tcBorders>
          </w:tcPr>
          <w:p>
            <w:pPr>
              <w:spacing w:after="0"/>
              <w:rPr>
                <w:sz w:val="24"/>
                <w:szCs w:val="24"/>
                <w:color w:val="auto"/>
              </w:rPr>
            </w:pPr>
          </w:p>
        </w:tc>
        <w:tc>
          <w:tcPr>
            <w:tcW w:w="600" w:type="dxa"/>
            <w:vAlign w:val="bottom"/>
            <w:tcBorders>
              <w:top w:val="single" w:sz="8" w:color="auto"/>
            </w:tcBorders>
          </w:tcPr>
          <w:p>
            <w:pPr>
              <w:spacing w:after="0"/>
              <w:rPr>
                <w:sz w:val="24"/>
                <w:szCs w:val="24"/>
                <w:color w:val="auto"/>
              </w:rPr>
            </w:pPr>
          </w:p>
        </w:tc>
        <w:tc>
          <w:tcPr>
            <w:tcW w:w="360" w:type="dxa"/>
            <w:vAlign w:val="bottom"/>
            <w:tcBorders>
              <w:top w:val="single" w:sz="8" w:color="auto"/>
            </w:tcBorders>
          </w:tcPr>
          <w:p>
            <w:pPr>
              <w:spacing w:after="0"/>
              <w:rPr>
                <w:sz w:val="24"/>
                <w:szCs w:val="24"/>
                <w:color w:val="auto"/>
              </w:rPr>
            </w:pPr>
          </w:p>
        </w:tc>
        <w:tc>
          <w:tcPr>
            <w:tcW w:w="600" w:type="dxa"/>
            <w:vAlign w:val="bottom"/>
            <w:tcBorders>
              <w:top w:val="single" w:sz="8" w:color="auto"/>
              <w:right w:val="single" w:sz="8" w:color="auto"/>
            </w:tcBorders>
          </w:tcPr>
          <w:p>
            <w:pPr>
              <w:spacing w:after="0"/>
              <w:rPr>
                <w:sz w:val="24"/>
                <w:szCs w:val="24"/>
                <w:color w:val="auto"/>
              </w:rPr>
            </w:pPr>
          </w:p>
        </w:tc>
      </w:tr>
      <w:tr>
        <w:trPr>
          <w:trHeight w:val="27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Позволяет</w:t>
            </w:r>
          </w:p>
        </w:tc>
        <w:tc>
          <w:tcPr>
            <w:tcW w:w="60" w:type="dxa"/>
            <w:vAlign w:val="bottom"/>
          </w:tcPr>
          <w:p>
            <w:pPr>
              <w:spacing w:after="0"/>
              <w:rPr>
                <w:sz w:val="23"/>
                <w:szCs w:val="23"/>
                <w:color w:val="auto"/>
              </w:rPr>
            </w:pPr>
          </w:p>
        </w:tc>
        <w:tc>
          <w:tcPr>
            <w:tcW w:w="780" w:type="dxa"/>
            <w:vAlign w:val="bottom"/>
          </w:tcPr>
          <w:p>
            <w:pPr>
              <w:spacing w:after="0"/>
              <w:rPr>
                <w:sz w:val="23"/>
                <w:szCs w:val="23"/>
                <w:color w:val="auto"/>
              </w:rPr>
            </w:pPr>
          </w:p>
        </w:tc>
        <w:tc>
          <w:tcPr>
            <w:tcW w:w="1820" w:type="dxa"/>
            <w:vAlign w:val="bottom"/>
            <w:tcBorders>
              <w:right w:val="single" w:sz="8" w:color="auto"/>
            </w:tcBorders>
            <w:gridSpan w:val="3"/>
          </w:tcPr>
          <w:p>
            <w:pPr>
              <w:jc w:val="right"/>
              <w:ind w:right="97"/>
              <w:spacing w:after="0"/>
              <w:rPr>
                <w:sz w:val="20"/>
                <w:szCs w:val="20"/>
                <w:color w:val="auto"/>
              </w:rPr>
            </w:pPr>
            <w:r>
              <w:rPr>
                <w:rFonts w:ascii="Verdana" w:cs="Verdana" w:eastAsia="Verdana" w:hAnsi="Verdana"/>
                <w:sz w:val="17"/>
                <w:szCs w:val="17"/>
                <w:color w:val="auto"/>
                <w:w w:val="96"/>
              </w:rPr>
              <w:t>идентифицировать</w:t>
            </w:r>
          </w:p>
        </w:tc>
        <w:tc>
          <w:tcPr>
            <w:tcW w:w="1580" w:type="dxa"/>
            <w:vAlign w:val="bottom"/>
            <w:gridSpan w:val="2"/>
          </w:tcPr>
          <w:p>
            <w:pPr>
              <w:ind w:left="460"/>
              <w:spacing w:after="0"/>
              <w:rPr>
                <w:sz w:val="20"/>
                <w:szCs w:val="20"/>
                <w:color w:val="auto"/>
              </w:rPr>
            </w:pPr>
            <w:r>
              <w:rPr>
                <w:rFonts w:ascii="Verdana" w:cs="Verdana" w:eastAsia="Verdana" w:hAnsi="Verdana"/>
                <w:sz w:val="17"/>
                <w:szCs w:val="17"/>
                <w:color w:val="auto"/>
              </w:rPr>
              <w:t>Позволяет</w:t>
            </w:r>
          </w:p>
        </w:tc>
        <w:tc>
          <w:tcPr>
            <w:tcW w:w="480" w:type="dxa"/>
            <w:vAlign w:val="bottom"/>
          </w:tcPr>
          <w:p>
            <w:pPr>
              <w:spacing w:after="0"/>
              <w:rPr>
                <w:sz w:val="23"/>
                <w:szCs w:val="23"/>
                <w:color w:val="auto"/>
              </w:rPr>
            </w:pPr>
          </w:p>
        </w:tc>
        <w:tc>
          <w:tcPr>
            <w:tcW w:w="2160" w:type="dxa"/>
            <w:vAlign w:val="bottom"/>
            <w:tcBorders>
              <w:right w:val="single" w:sz="8" w:color="auto"/>
            </w:tcBorders>
            <w:gridSpan w:val="4"/>
          </w:tcPr>
          <w:p>
            <w:pPr>
              <w:jc w:val="right"/>
              <w:ind w:right="97"/>
              <w:spacing w:after="0"/>
              <w:rPr>
                <w:sz w:val="20"/>
                <w:szCs w:val="20"/>
                <w:color w:val="auto"/>
              </w:rPr>
            </w:pPr>
            <w:r>
              <w:rPr>
                <w:rFonts w:ascii="Verdana" w:cs="Verdana" w:eastAsia="Verdana" w:hAnsi="Verdana"/>
                <w:sz w:val="17"/>
                <w:szCs w:val="17"/>
                <w:color w:val="auto"/>
              </w:rPr>
              <w:t>идентифицировать</w:t>
            </w:r>
          </w:p>
        </w:tc>
      </w:tr>
      <w:tr>
        <w:trPr>
          <w:trHeight w:val="390"/>
        </w:trPr>
        <w:tc>
          <w:tcPr>
            <w:tcW w:w="1640" w:type="dxa"/>
            <w:vAlign w:val="bottom"/>
            <w:tcBorders>
              <w:left w:val="single" w:sz="8" w:color="auto"/>
            </w:tcBorders>
            <w:gridSpan w:val="2"/>
          </w:tcPr>
          <w:p>
            <w:pPr>
              <w:ind w:left="480"/>
              <w:spacing w:after="0"/>
              <w:rPr>
                <w:sz w:val="20"/>
                <w:szCs w:val="20"/>
                <w:color w:val="auto"/>
              </w:rPr>
            </w:pPr>
            <w:r>
              <w:rPr>
                <w:rFonts w:ascii="Verdana" w:cs="Verdana" w:eastAsia="Verdana" w:hAnsi="Verdana"/>
                <w:sz w:val="17"/>
                <w:szCs w:val="17"/>
                <w:color w:val="auto"/>
              </w:rPr>
              <w:t>гипертензию</w:t>
            </w:r>
          </w:p>
        </w:tc>
        <w:tc>
          <w:tcPr>
            <w:tcW w:w="1100" w:type="dxa"/>
            <w:vAlign w:val="bottom"/>
            <w:gridSpan w:val="2"/>
          </w:tcPr>
          <w:p>
            <w:pPr>
              <w:jc w:val="right"/>
              <w:ind w:right="57"/>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белого</w:t>
            </w:r>
          </w:p>
        </w:tc>
        <w:tc>
          <w:tcPr>
            <w:tcW w:w="1000" w:type="dxa"/>
            <w:vAlign w:val="bottom"/>
          </w:tcPr>
          <w:p>
            <w:pPr>
              <w:ind w:left="200"/>
              <w:spacing w:after="0"/>
              <w:rPr>
                <w:sz w:val="20"/>
                <w:szCs w:val="20"/>
                <w:color w:val="auto"/>
              </w:rPr>
            </w:pPr>
            <w:r>
              <w:rPr>
                <w:rFonts w:ascii="Verdana" w:cs="Verdana" w:eastAsia="Verdana" w:hAnsi="Verdana"/>
                <w:sz w:val="17"/>
                <w:szCs w:val="17"/>
                <w:color w:val="auto"/>
              </w:rPr>
              <w:t>халата</w:t>
            </w:r>
            <w:r>
              <w:rPr>
                <w:rFonts w:ascii="Verdana" w:cs="Verdana" w:eastAsia="Verdana" w:hAnsi="Verdana"/>
                <w:sz w:val="17"/>
                <w:szCs w:val="17"/>
                <w:color w:val="auto"/>
              </w:rPr>
              <w:t>»</w:t>
            </w:r>
          </w:p>
        </w:tc>
        <w:tc>
          <w:tcPr>
            <w:tcW w:w="5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и</w:t>
            </w:r>
          </w:p>
        </w:tc>
        <w:tc>
          <w:tcPr>
            <w:tcW w:w="1580" w:type="dxa"/>
            <w:vAlign w:val="bottom"/>
            <w:gridSpan w:val="2"/>
          </w:tcPr>
          <w:p>
            <w:pPr>
              <w:ind w:left="460"/>
              <w:spacing w:after="0"/>
              <w:rPr>
                <w:sz w:val="20"/>
                <w:szCs w:val="20"/>
                <w:color w:val="auto"/>
              </w:rPr>
            </w:pPr>
            <w:r>
              <w:rPr>
                <w:rFonts w:ascii="Verdana" w:cs="Verdana" w:eastAsia="Verdana" w:hAnsi="Verdana"/>
                <w:sz w:val="17"/>
                <w:szCs w:val="17"/>
                <w:color w:val="auto"/>
                <w:w w:val="96"/>
              </w:rPr>
              <w:t>гипертензию</w:t>
            </w:r>
          </w:p>
        </w:tc>
        <w:tc>
          <w:tcPr>
            <w:tcW w:w="1080" w:type="dxa"/>
            <w:vAlign w:val="bottom"/>
            <w:gridSpan w:val="2"/>
          </w:tcPr>
          <w:p>
            <w:pPr>
              <w:jc w:val="right"/>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белого</w:t>
            </w:r>
          </w:p>
        </w:tc>
        <w:tc>
          <w:tcPr>
            <w:tcW w:w="960" w:type="dxa"/>
            <w:vAlign w:val="bottom"/>
            <w:gridSpan w:val="2"/>
          </w:tcPr>
          <w:p>
            <w:pPr>
              <w:ind w:left="260"/>
              <w:spacing w:after="0"/>
              <w:rPr>
                <w:sz w:val="20"/>
                <w:szCs w:val="20"/>
                <w:color w:val="auto"/>
              </w:rPr>
            </w:pPr>
            <w:r>
              <w:rPr>
                <w:rFonts w:ascii="Verdana" w:cs="Verdana" w:eastAsia="Verdana" w:hAnsi="Verdana"/>
                <w:sz w:val="17"/>
                <w:szCs w:val="17"/>
                <w:color w:val="auto"/>
                <w:w w:val="96"/>
              </w:rPr>
              <w:t>халата</w:t>
            </w:r>
            <w:r>
              <w:rPr>
                <w:rFonts w:ascii="Verdana" w:cs="Verdana" w:eastAsia="Verdana" w:hAnsi="Verdana"/>
                <w:sz w:val="17"/>
                <w:szCs w:val="17"/>
                <w:color w:val="auto"/>
                <w:w w:val="96"/>
              </w:rPr>
              <w:t>»</w:t>
            </w:r>
          </w:p>
        </w:tc>
        <w:tc>
          <w:tcPr>
            <w:tcW w:w="6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и</w:t>
            </w:r>
          </w:p>
        </w:tc>
      </w:tr>
      <w:tr>
        <w:trPr>
          <w:trHeight w:val="390"/>
        </w:trPr>
        <w:tc>
          <w:tcPr>
            <w:tcW w:w="3740" w:type="dxa"/>
            <w:vAlign w:val="bottom"/>
            <w:tcBorders>
              <w:left w:val="single" w:sz="8" w:color="auto"/>
            </w:tcBorders>
            <w:gridSpan w:val="5"/>
          </w:tcPr>
          <w:p>
            <w:pPr>
              <w:ind w:left="480"/>
              <w:spacing w:after="0"/>
              <w:rPr>
                <w:sz w:val="20"/>
                <w:szCs w:val="20"/>
                <w:color w:val="auto"/>
              </w:rPr>
            </w:pPr>
            <w:r>
              <w:rPr>
                <w:rFonts w:ascii="Verdana" w:cs="Verdana" w:eastAsia="Verdana" w:hAnsi="Verdana"/>
                <w:sz w:val="17"/>
                <w:szCs w:val="17"/>
                <w:color w:val="auto"/>
              </w:rPr>
              <w:t>маскированную гипертензию</w:t>
            </w:r>
          </w:p>
        </w:tc>
        <w:tc>
          <w:tcPr>
            <w:tcW w:w="500" w:type="dxa"/>
            <w:vAlign w:val="bottom"/>
            <w:tcBorders>
              <w:right w:val="single" w:sz="8" w:color="auto"/>
            </w:tcBorders>
          </w:tcPr>
          <w:p>
            <w:pPr>
              <w:spacing w:after="0"/>
              <w:rPr>
                <w:sz w:val="24"/>
                <w:szCs w:val="24"/>
                <w:color w:val="auto"/>
              </w:rPr>
            </w:pPr>
          </w:p>
        </w:tc>
        <w:tc>
          <w:tcPr>
            <w:tcW w:w="3260" w:type="dxa"/>
            <w:vAlign w:val="bottom"/>
            <w:gridSpan w:val="5"/>
          </w:tcPr>
          <w:p>
            <w:pPr>
              <w:ind w:left="460"/>
              <w:spacing w:after="0"/>
              <w:rPr>
                <w:sz w:val="20"/>
                <w:szCs w:val="20"/>
                <w:color w:val="auto"/>
              </w:rPr>
            </w:pPr>
            <w:r>
              <w:rPr>
                <w:rFonts w:ascii="Verdana" w:cs="Verdana" w:eastAsia="Verdana" w:hAnsi="Verdana"/>
                <w:sz w:val="17"/>
                <w:szCs w:val="17"/>
                <w:color w:val="auto"/>
              </w:rPr>
              <w:t>маскированную гипертензию</w:t>
            </w: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390"/>
        </w:trPr>
        <w:tc>
          <w:tcPr>
            <w:tcW w:w="2420" w:type="dxa"/>
            <w:vAlign w:val="bottom"/>
            <w:tcBorders>
              <w:left w:val="single" w:sz="8" w:color="auto"/>
            </w:tcBorders>
            <w:gridSpan w:val="3"/>
          </w:tcPr>
          <w:p>
            <w:pPr>
              <w:ind w:left="480"/>
              <w:spacing w:after="0"/>
              <w:rPr>
                <w:sz w:val="20"/>
                <w:szCs w:val="20"/>
                <w:color w:val="auto"/>
              </w:rPr>
            </w:pPr>
            <w:r>
              <w:rPr>
                <w:rFonts w:ascii="Verdana" w:cs="Verdana" w:eastAsia="Verdana" w:hAnsi="Verdana"/>
                <w:sz w:val="17"/>
                <w:szCs w:val="17"/>
                <w:color w:val="auto"/>
              </w:rPr>
              <w:t>Более  существенная</w:t>
            </w:r>
          </w:p>
        </w:tc>
        <w:tc>
          <w:tcPr>
            <w:tcW w:w="1820" w:type="dxa"/>
            <w:vAlign w:val="bottom"/>
            <w:tcBorders>
              <w:right w:val="single" w:sz="8" w:color="auto"/>
            </w:tcBorders>
            <w:gridSpan w:val="3"/>
          </w:tcPr>
          <w:p>
            <w:pPr>
              <w:jc w:val="right"/>
              <w:ind w:right="97"/>
              <w:spacing w:after="0"/>
              <w:rPr>
                <w:sz w:val="20"/>
                <w:szCs w:val="20"/>
                <w:color w:val="auto"/>
              </w:rPr>
            </w:pPr>
            <w:r>
              <w:rPr>
                <w:rFonts w:ascii="Verdana" w:cs="Verdana" w:eastAsia="Verdana" w:hAnsi="Verdana"/>
                <w:sz w:val="17"/>
                <w:szCs w:val="17"/>
                <w:color w:val="auto"/>
              </w:rPr>
              <w:t>прогностическая</w:t>
            </w:r>
          </w:p>
        </w:tc>
        <w:tc>
          <w:tcPr>
            <w:tcW w:w="3620" w:type="dxa"/>
            <w:vAlign w:val="bottom"/>
            <w:gridSpan w:val="6"/>
          </w:tcPr>
          <w:p>
            <w:pPr>
              <w:ind w:left="460"/>
              <w:spacing w:after="0"/>
              <w:rPr>
                <w:sz w:val="20"/>
                <w:szCs w:val="20"/>
                <w:color w:val="auto"/>
              </w:rPr>
            </w:pPr>
            <w:r>
              <w:rPr>
                <w:rFonts w:ascii="Verdana" w:cs="Verdana" w:eastAsia="Verdana" w:hAnsi="Verdana"/>
                <w:sz w:val="17"/>
                <w:szCs w:val="17"/>
                <w:color w:val="auto"/>
              </w:rPr>
              <w:t>Дешевизна и широкая доступность</w:t>
            </w:r>
          </w:p>
        </w:tc>
        <w:tc>
          <w:tcPr>
            <w:tcW w:w="600" w:type="dxa"/>
            <w:vAlign w:val="bottom"/>
            <w:tcBorders>
              <w:right w:val="single" w:sz="8" w:color="auto"/>
            </w:tcBorders>
          </w:tcPr>
          <w:p>
            <w:pPr>
              <w:spacing w:after="0"/>
              <w:rPr>
                <w:sz w:val="24"/>
                <w:szCs w:val="24"/>
                <w:color w:val="auto"/>
              </w:rPr>
            </w:pP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значимость</w:t>
            </w:r>
          </w:p>
        </w:tc>
        <w:tc>
          <w:tcPr>
            <w:tcW w:w="6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4220" w:type="dxa"/>
            <w:vAlign w:val="bottom"/>
            <w:tcBorders>
              <w:right w:val="single" w:sz="8" w:color="auto"/>
            </w:tcBorders>
            <w:gridSpan w:val="7"/>
          </w:tcPr>
          <w:p>
            <w:pPr>
              <w:ind w:left="460"/>
              <w:spacing w:after="0"/>
              <w:rPr>
                <w:sz w:val="20"/>
                <w:szCs w:val="20"/>
                <w:color w:val="auto"/>
              </w:rPr>
            </w:pPr>
            <w:r>
              <w:rPr>
                <w:rFonts w:ascii="Verdana" w:cs="Verdana" w:eastAsia="Verdana" w:hAnsi="Verdana"/>
                <w:sz w:val="17"/>
                <w:szCs w:val="17"/>
                <w:color w:val="auto"/>
              </w:rPr>
              <w:t>Измерения   в   домашних   условиях</w:t>
            </w:r>
            <w:r>
              <w:rPr>
                <w:rFonts w:ascii="Verdana" w:cs="Verdana" w:eastAsia="Verdana" w:hAnsi="Verdana"/>
                <w:sz w:val="17"/>
                <w:szCs w:val="17"/>
                <w:color w:val="auto"/>
              </w:rPr>
              <w:t>,</w:t>
            </w:r>
          </w:p>
        </w:tc>
      </w:tr>
      <w:tr>
        <w:trPr>
          <w:trHeight w:val="390"/>
        </w:trPr>
        <w:tc>
          <w:tcPr>
            <w:tcW w:w="2420" w:type="dxa"/>
            <w:vAlign w:val="bottom"/>
            <w:tcBorders>
              <w:left w:val="single" w:sz="8" w:color="auto"/>
            </w:tcBorders>
            <w:gridSpan w:val="3"/>
          </w:tcPr>
          <w:p>
            <w:pPr>
              <w:ind w:left="480"/>
              <w:spacing w:after="0"/>
              <w:rPr>
                <w:sz w:val="20"/>
                <w:szCs w:val="20"/>
                <w:color w:val="auto"/>
              </w:rPr>
            </w:pPr>
            <w:r>
              <w:rPr>
                <w:rFonts w:ascii="Verdana" w:cs="Verdana" w:eastAsia="Verdana" w:hAnsi="Verdana"/>
                <w:sz w:val="17"/>
                <w:szCs w:val="17"/>
                <w:color w:val="auto"/>
              </w:rPr>
              <w:t>Ночные измерения</w:t>
            </w: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320" w:type="dxa"/>
            <w:vAlign w:val="bottom"/>
          </w:tcPr>
          <w:p>
            <w:pPr>
              <w:ind w:left="460"/>
              <w:spacing w:after="0"/>
              <w:rPr>
                <w:sz w:val="20"/>
                <w:szCs w:val="20"/>
                <w:color w:val="auto"/>
              </w:rPr>
            </w:pPr>
            <w:r>
              <w:rPr>
                <w:rFonts w:ascii="Verdana" w:cs="Verdana" w:eastAsia="Verdana" w:hAnsi="Verdana"/>
                <w:sz w:val="17"/>
                <w:szCs w:val="17"/>
                <w:color w:val="auto"/>
              </w:rPr>
              <w:t>которые</w:t>
            </w:r>
          </w:p>
        </w:tc>
        <w:tc>
          <w:tcPr>
            <w:tcW w:w="260" w:type="dxa"/>
            <w:vAlign w:val="bottom"/>
          </w:tcPr>
          <w:p>
            <w:pPr>
              <w:spacing w:after="0"/>
              <w:rPr>
                <w:sz w:val="24"/>
                <w:szCs w:val="24"/>
                <w:color w:val="auto"/>
              </w:rPr>
            </w:pPr>
          </w:p>
        </w:tc>
        <w:tc>
          <w:tcPr>
            <w:tcW w:w="1680" w:type="dxa"/>
            <w:vAlign w:val="bottom"/>
            <w:gridSpan w:val="3"/>
          </w:tcPr>
          <w:p>
            <w:pPr>
              <w:spacing w:after="0"/>
              <w:rPr>
                <w:sz w:val="20"/>
                <w:szCs w:val="20"/>
                <w:color w:val="auto"/>
              </w:rPr>
            </w:pPr>
            <w:r>
              <w:rPr>
                <w:rFonts w:ascii="Verdana" w:cs="Verdana" w:eastAsia="Verdana" w:hAnsi="Verdana"/>
                <w:sz w:val="17"/>
                <w:szCs w:val="17"/>
                <w:color w:val="auto"/>
              </w:rPr>
              <w:t>предоставляют</w:t>
            </w:r>
          </w:p>
        </w:tc>
        <w:tc>
          <w:tcPr>
            <w:tcW w:w="9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w w:val="97"/>
              </w:rPr>
              <w:t>больший</w:t>
            </w: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Измерения</w:t>
            </w:r>
          </w:p>
        </w:tc>
        <w:tc>
          <w:tcPr>
            <w:tcW w:w="60" w:type="dxa"/>
            <w:vAlign w:val="bottom"/>
          </w:tcPr>
          <w:p>
            <w:pPr>
              <w:spacing w:after="0"/>
              <w:rPr>
                <w:sz w:val="24"/>
                <w:szCs w:val="24"/>
                <w:color w:val="auto"/>
              </w:rPr>
            </w:pPr>
          </w:p>
        </w:tc>
        <w:tc>
          <w:tcPr>
            <w:tcW w:w="1100" w:type="dxa"/>
            <w:vAlign w:val="bottom"/>
            <w:gridSpan w:val="2"/>
          </w:tcPr>
          <w:p>
            <w:pPr>
              <w:jc w:val="right"/>
              <w:spacing w:after="0"/>
              <w:rPr>
                <w:sz w:val="20"/>
                <w:szCs w:val="20"/>
                <w:color w:val="auto"/>
              </w:rPr>
            </w:pPr>
            <w:r>
              <w:rPr>
                <w:rFonts w:ascii="Verdana" w:cs="Verdana" w:eastAsia="Verdana" w:hAnsi="Verdana"/>
                <w:sz w:val="17"/>
                <w:szCs w:val="17"/>
                <w:color w:val="auto"/>
                <w:w w:val="99"/>
              </w:rPr>
              <w:t>проводятся</w:t>
            </w:r>
          </w:p>
        </w:tc>
        <w:tc>
          <w:tcPr>
            <w:tcW w:w="150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в   условиях</w:t>
            </w:r>
          </w:p>
        </w:tc>
        <w:tc>
          <w:tcPr>
            <w:tcW w:w="3260" w:type="dxa"/>
            <w:vAlign w:val="bottom"/>
            <w:gridSpan w:val="5"/>
          </w:tcPr>
          <w:p>
            <w:pPr>
              <w:ind w:left="460"/>
              <w:spacing w:after="0"/>
              <w:rPr>
                <w:sz w:val="20"/>
                <w:szCs w:val="20"/>
                <w:color w:val="auto"/>
              </w:rPr>
            </w:pPr>
            <w:r>
              <w:rPr>
                <w:rFonts w:ascii="Verdana" w:cs="Verdana" w:eastAsia="Verdana" w:hAnsi="Verdana"/>
                <w:sz w:val="17"/>
                <w:szCs w:val="17"/>
                <w:color w:val="auto"/>
              </w:rPr>
              <w:t>комфорт</w:t>
            </w:r>
            <w:r>
              <w:rPr>
                <w:rFonts w:ascii="Verdana" w:cs="Verdana" w:eastAsia="Verdana" w:hAnsi="Verdana"/>
                <w:sz w:val="17"/>
                <w:szCs w:val="17"/>
                <w:color w:val="auto"/>
              </w:rPr>
              <w:t>,</w:t>
            </w:r>
            <w:r>
              <w:rPr>
                <w:rFonts w:ascii="Verdana" w:cs="Verdana" w:eastAsia="Verdana" w:hAnsi="Verdana"/>
                <w:sz w:val="17"/>
                <w:szCs w:val="17"/>
                <w:color w:val="auto"/>
              </w:rPr>
              <w:t xml:space="preserve"> чем кабинет врача</w:t>
            </w: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390"/>
        </w:trPr>
        <w:tc>
          <w:tcPr>
            <w:tcW w:w="2420" w:type="dxa"/>
            <w:vAlign w:val="bottom"/>
            <w:tcBorders>
              <w:left w:val="single" w:sz="8" w:color="auto"/>
            </w:tcBorders>
            <w:gridSpan w:val="3"/>
          </w:tcPr>
          <w:p>
            <w:pPr>
              <w:ind w:left="480"/>
              <w:spacing w:after="0"/>
              <w:rPr>
                <w:sz w:val="20"/>
                <w:szCs w:val="20"/>
                <w:color w:val="auto"/>
              </w:rPr>
            </w:pPr>
            <w:r>
              <w:rPr>
                <w:rFonts w:ascii="Verdana" w:cs="Verdana" w:eastAsia="Verdana" w:hAnsi="Verdana"/>
                <w:sz w:val="17"/>
                <w:szCs w:val="17"/>
                <w:color w:val="auto"/>
              </w:rPr>
              <w:t>реальной жизни</w:t>
            </w: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580" w:type="dxa"/>
            <w:vAlign w:val="bottom"/>
            <w:gridSpan w:val="2"/>
          </w:tcPr>
          <w:p>
            <w:pPr>
              <w:ind w:left="460"/>
              <w:spacing w:after="0"/>
              <w:rPr>
                <w:sz w:val="20"/>
                <w:szCs w:val="20"/>
                <w:color w:val="auto"/>
              </w:rPr>
            </w:pPr>
            <w:r>
              <w:rPr>
                <w:rFonts w:ascii="Verdana" w:cs="Verdana" w:eastAsia="Verdana" w:hAnsi="Verdana"/>
                <w:sz w:val="17"/>
                <w:szCs w:val="17"/>
                <w:color w:val="auto"/>
              </w:rPr>
              <w:t>Вовлечение</w:t>
            </w:r>
          </w:p>
        </w:tc>
        <w:tc>
          <w:tcPr>
            <w:tcW w:w="1080" w:type="dxa"/>
            <w:vAlign w:val="bottom"/>
            <w:gridSpan w:val="2"/>
          </w:tcPr>
          <w:p>
            <w:pPr>
              <w:jc w:val="right"/>
              <w:spacing w:after="0"/>
              <w:rPr>
                <w:sz w:val="20"/>
                <w:szCs w:val="20"/>
                <w:color w:val="auto"/>
              </w:rPr>
            </w:pPr>
            <w:r>
              <w:rPr>
                <w:rFonts w:ascii="Verdana" w:cs="Verdana" w:eastAsia="Verdana" w:hAnsi="Verdana"/>
                <w:sz w:val="17"/>
                <w:szCs w:val="17"/>
                <w:color w:val="auto"/>
              </w:rPr>
              <w:t>пациента</w:t>
            </w:r>
          </w:p>
        </w:tc>
        <w:tc>
          <w:tcPr>
            <w:tcW w:w="600" w:type="dxa"/>
            <w:vAlign w:val="bottom"/>
          </w:tcPr>
          <w:p>
            <w:pPr>
              <w:jc w:val="right"/>
              <w:ind w:right="157"/>
              <w:spacing w:after="0"/>
              <w:rPr>
                <w:sz w:val="20"/>
                <w:szCs w:val="20"/>
                <w:color w:val="auto"/>
              </w:rPr>
            </w:pPr>
            <w:r>
              <w:rPr>
                <w:rFonts w:ascii="Verdana" w:cs="Verdana" w:eastAsia="Verdana" w:hAnsi="Verdana"/>
                <w:sz w:val="17"/>
                <w:szCs w:val="17"/>
                <w:color w:val="auto"/>
              </w:rPr>
              <w:t>в</w:t>
            </w:r>
          </w:p>
        </w:tc>
        <w:tc>
          <w:tcPr>
            <w:tcW w:w="9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процесс</w:t>
            </w:r>
          </w:p>
        </w:tc>
      </w:tr>
      <w:tr>
        <w:trPr>
          <w:trHeight w:val="390"/>
        </w:trPr>
        <w:tc>
          <w:tcPr>
            <w:tcW w:w="2420" w:type="dxa"/>
            <w:vAlign w:val="bottom"/>
            <w:tcBorders>
              <w:left w:val="single" w:sz="8" w:color="auto"/>
            </w:tcBorders>
            <w:gridSpan w:val="3"/>
          </w:tcPr>
          <w:p>
            <w:pPr>
              <w:ind w:left="480"/>
              <w:spacing w:after="0"/>
              <w:rPr>
                <w:sz w:val="20"/>
                <w:szCs w:val="20"/>
                <w:color w:val="auto"/>
              </w:rPr>
            </w:pPr>
            <w:r>
              <w:rPr>
                <w:rFonts w:ascii="Verdana" w:cs="Verdana" w:eastAsia="Verdana" w:hAnsi="Verdana"/>
                <w:sz w:val="17"/>
                <w:szCs w:val="17"/>
                <w:color w:val="auto"/>
              </w:rPr>
              <w:t>Дополнительное</w:t>
            </w:r>
          </w:p>
        </w:tc>
        <w:tc>
          <w:tcPr>
            <w:tcW w:w="1820" w:type="dxa"/>
            <w:vAlign w:val="bottom"/>
            <w:tcBorders>
              <w:right w:val="single" w:sz="8" w:color="auto"/>
            </w:tcBorders>
            <w:gridSpan w:val="3"/>
          </w:tcPr>
          <w:p>
            <w:pPr>
              <w:jc w:val="right"/>
              <w:ind w:right="97"/>
              <w:spacing w:after="0"/>
              <w:rPr>
                <w:sz w:val="20"/>
                <w:szCs w:val="20"/>
                <w:color w:val="auto"/>
              </w:rPr>
            </w:pPr>
            <w:r>
              <w:rPr>
                <w:rFonts w:ascii="Verdana" w:cs="Verdana" w:eastAsia="Verdana" w:hAnsi="Verdana"/>
                <w:sz w:val="17"/>
                <w:szCs w:val="17"/>
                <w:color w:val="auto"/>
              </w:rPr>
              <w:t>прогностическое</w:t>
            </w:r>
          </w:p>
        </w:tc>
        <w:tc>
          <w:tcPr>
            <w:tcW w:w="2060" w:type="dxa"/>
            <w:vAlign w:val="bottom"/>
            <w:gridSpan w:val="3"/>
          </w:tcPr>
          <w:p>
            <w:pPr>
              <w:ind w:left="460"/>
              <w:spacing w:after="0"/>
              <w:rPr>
                <w:sz w:val="20"/>
                <w:szCs w:val="20"/>
                <w:color w:val="auto"/>
              </w:rPr>
            </w:pPr>
            <w:r>
              <w:rPr>
                <w:rFonts w:ascii="Verdana" w:cs="Verdana" w:eastAsia="Verdana" w:hAnsi="Verdana"/>
                <w:sz w:val="17"/>
                <w:szCs w:val="17"/>
                <w:color w:val="auto"/>
              </w:rPr>
              <w:t>измерения АД</w:t>
            </w:r>
          </w:p>
        </w:tc>
        <w:tc>
          <w:tcPr>
            <w:tcW w:w="60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390"/>
        </w:trPr>
        <w:tc>
          <w:tcPr>
            <w:tcW w:w="3740" w:type="dxa"/>
            <w:vAlign w:val="bottom"/>
            <w:tcBorders>
              <w:left w:val="single" w:sz="8" w:color="auto"/>
            </w:tcBorders>
            <w:gridSpan w:val="5"/>
          </w:tcPr>
          <w:p>
            <w:pPr>
              <w:ind w:left="480"/>
              <w:spacing w:after="0"/>
              <w:rPr>
                <w:sz w:val="20"/>
                <w:szCs w:val="20"/>
                <w:color w:val="auto"/>
              </w:rPr>
            </w:pPr>
            <w:r>
              <w:rPr>
                <w:rFonts w:ascii="Verdana" w:cs="Verdana" w:eastAsia="Verdana" w:hAnsi="Verdana"/>
                <w:sz w:val="17"/>
                <w:szCs w:val="17"/>
                <w:color w:val="auto"/>
              </w:rPr>
              <w:t>значение разных фенотипов АД</w:t>
            </w:r>
          </w:p>
        </w:tc>
        <w:tc>
          <w:tcPr>
            <w:tcW w:w="500" w:type="dxa"/>
            <w:vAlign w:val="bottom"/>
            <w:tcBorders>
              <w:right w:val="single" w:sz="8" w:color="auto"/>
            </w:tcBorders>
          </w:tcPr>
          <w:p>
            <w:pPr>
              <w:spacing w:after="0"/>
              <w:rPr>
                <w:sz w:val="24"/>
                <w:szCs w:val="24"/>
                <w:color w:val="auto"/>
              </w:rPr>
            </w:pPr>
          </w:p>
        </w:tc>
        <w:tc>
          <w:tcPr>
            <w:tcW w:w="1320" w:type="dxa"/>
            <w:vAlign w:val="bottom"/>
          </w:tcPr>
          <w:p>
            <w:pPr>
              <w:ind w:left="460"/>
              <w:spacing w:after="0"/>
              <w:rPr>
                <w:sz w:val="20"/>
                <w:szCs w:val="20"/>
                <w:color w:val="auto"/>
              </w:rPr>
            </w:pPr>
            <w:r>
              <w:rPr>
                <w:rFonts w:ascii="Verdana" w:cs="Verdana" w:eastAsia="Verdana" w:hAnsi="Verdana"/>
                <w:sz w:val="17"/>
                <w:szCs w:val="17"/>
                <w:color w:val="auto"/>
              </w:rPr>
              <w:t>Легко</w:t>
            </w:r>
          </w:p>
        </w:tc>
        <w:tc>
          <w:tcPr>
            <w:tcW w:w="1340" w:type="dxa"/>
            <w:vAlign w:val="bottom"/>
            <w:gridSpan w:val="3"/>
          </w:tcPr>
          <w:p>
            <w:pPr>
              <w:jc w:val="right"/>
              <w:ind w:right="237"/>
              <w:spacing w:after="0"/>
              <w:rPr>
                <w:sz w:val="20"/>
                <w:szCs w:val="20"/>
                <w:color w:val="auto"/>
              </w:rPr>
            </w:pPr>
            <w:r>
              <w:rPr>
                <w:rFonts w:ascii="Verdana" w:cs="Verdana" w:eastAsia="Verdana" w:hAnsi="Verdana"/>
                <w:sz w:val="17"/>
                <w:szCs w:val="17"/>
                <w:color w:val="auto"/>
                <w:w w:val="94"/>
              </w:rPr>
              <w:t>выполнимо</w:t>
            </w:r>
            <w:r>
              <w:rPr>
                <w:rFonts w:ascii="Verdana" w:cs="Verdana" w:eastAsia="Verdana" w:hAnsi="Verdana"/>
                <w:sz w:val="17"/>
                <w:szCs w:val="17"/>
                <w:color w:val="auto"/>
                <w:w w:val="94"/>
              </w:rPr>
              <w:t>,</w:t>
            </w:r>
          </w:p>
        </w:tc>
        <w:tc>
          <w:tcPr>
            <w:tcW w:w="600" w:type="dxa"/>
            <w:vAlign w:val="bottom"/>
          </w:tcPr>
          <w:p>
            <w:pPr>
              <w:jc w:val="right"/>
              <w:spacing w:after="0"/>
              <w:rPr>
                <w:sz w:val="20"/>
                <w:szCs w:val="20"/>
                <w:color w:val="auto"/>
              </w:rPr>
            </w:pPr>
            <w:r>
              <w:rPr>
                <w:rFonts w:ascii="Verdana" w:cs="Verdana" w:eastAsia="Verdana" w:hAnsi="Verdana"/>
                <w:sz w:val="17"/>
                <w:szCs w:val="17"/>
                <w:color w:val="auto"/>
              </w:rPr>
              <w:t>может</w:t>
            </w:r>
          </w:p>
        </w:tc>
        <w:tc>
          <w:tcPr>
            <w:tcW w:w="360" w:type="dxa"/>
            <w:vAlign w:val="bottom"/>
          </w:tcPr>
          <w:p>
            <w:pPr>
              <w:spacing w:after="0"/>
              <w:rPr>
                <w:sz w:val="24"/>
                <w:szCs w:val="24"/>
                <w:color w:val="auto"/>
              </w:rPr>
            </w:pPr>
          </w:p>
        </w:tc>
        <w:tc>
          <w:tcPr>
            <w:tcW w:w="6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w w:val="94"/>
              </w:rPr>
              <w:t>быть</w:t>
            </w: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Большой</w:t>
            </w:r>
          </w:p>
        </w:tc>
        <w:tc>
          <w:tcPr>
            <w:tcW w:w="840" w:type="dxa"/>
            <w:vAlign w:val="bottom"/>
            <w:gridSpan w:val="2"/>
          </w:tcPr>
          <w:p>
            <w:pPr>
              <w:spacing w:after="0"/>
              <w:rPr>
                <w:sz w:val="20"/>
                <w:szCs w:val="20"/>
                <w:color w:val="auto"/>
              </w:rPr>
            </w:pPr>
            <w:r>
              <w:rPr>
                <w:rFonts w:ascii="Verdana" w:cs="Verdana" w:eastAsia="Verdana" w:hAnsi="Verdana"/>
                <w:sz w:val="17"/>
                <w:szCs w:val="17"/>
                <w:color w:val="auto"/>
              </w:rPr>
              <w:t>объем</w:t>
            </w:r>
          </w:p>
        </w:tc>
        <w:tc>
          <w:tcPr>
            <w:tcW w:w="1320" w:type="dxa"/>
            <w:vAlign w:val="bottom"/>
            <w:gridSpan w:val="2"/>
          </w:tcPr>
          <w:p>
            <w:pPr>
              <w:ind w:left="20"/>
              <w:spacing w:after="0"/>
              <w:rPr>
                <w:sz w:val="20"/>
                <w:szCs w:val="20"/>
                <w:color w:val="auto"/>
              </w:rPr>
            </w:pPr>
            <w:r>
              <w:rPr>
                <w:rFonts w:ascii="Verdana" w:cs="Verdana" w:eastAsia="Verdana" w:hAnsi="Verdana"/>
                <w:sz w:val="17"/>
                <w:szCs w:val="17"/>
                <w:color w:val="auto"/>
              </w:rPr>
              <w:t>информации</w:t>
            </w:r>
          </w:p>
        </w:tc>
        <w:tc>
          <w:tcPr>
            <w:tcW w:w="5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на</w:t>
            </w:r>
          </w:p>
        </w:tc>
        <w:tc>
          <w:tcPr>
            <w:tcW w:w="2060" w:type="dxa"/>
            <w:vAlign w:val="bottom"/>
            <w:gridSpan w:val="3"/>
          </w:tcPr>
          <w:p>
            <w:pPr>
              <w:ind w:left="460"/>
              <w:spacing w:after="0"/>
              <w:rPr>
                <w:sz w:val="20"/>
                <w:szCs w:val="20"/>
                <w:color w:val="auto"/>
              </w:rPr>
            </w:pPr>
            <w:r>
              <w:rPr>
                <w:rFonts w:ascii="Verdana" w:cs="Verdana" w:eastAsia="Verdana" w:hAnsi="Verdana"/>
                <w:sz w:val="17"/>
                <w:szCs w:val="17"/>
                <w:color w:val="auto"/>
              </w:rPr>
              <w:t>использовано  в</w:t>
            </w:r>
          </w:p>
        </w:tc>
        <w:tc>
          <w:tcPr>
            <w:tcW w:w="2160" w:type="dxa"/>
            <w:vAlign w:val="bottom"/>
            <w:tcBorders>
              <w:right w:val="single" w:sz="8" w:color="auto"/>
            </w:tcBorders>
            <w:gridSpan w:val="4"/>
          </w:tcPr>
          <w:p>
            <w:pPr>
              <w:jc w:val="right"/>
              <w:ind w:right="97"/>
              <w:spacing w:after="0"/>
              <w:rPr>
                <w:sz w:val="20"/>
                <w:szCs w:val="20"/>
                <w:color w:val="auto"/>
              </w:rPr>
            </w:pPr>
            <w:r>
              <w:rPr>
                <w:rFonts w:ascii="Verdana" w:cs="Verdana" w:eastAsia="Verdana" w:hAnsi="Verdana"/>
                <w:sz w:val="17"/>
                <w:szCs w:val="17"/>
                <w:color w:val="auto"/>
              </w:rPr>
              <w:t>течение  длительного</w:t>
            </w: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основании</w:t>
            </w:r>
          </w:p>
        </w:tc>
        <w:tc>
          <w:tcPr>
            <w:tcW w:w="60" w:type="dxa"/>
            <w:vAlign w:val="bottom"/>
          </w:tcPr>
          <w:p>
            <w:pPr>
              <w:spacing w:after="0"/>
              <w:rPr>
                <w:sz w:val="24"/>
                <w:szCs w:val="24"/>
                <w:color w:val="auto"/>
              </w:rPr>
            </w:pPr>
          </w:p>
        </w:tc>
        <w:tc>
          <w:tcPr>
            <w:tcW w:w="780" w:type="dxa"/>
            <w:vAlign w:val="bottom"/>
          </w:tcPr>
          <w:p>
            <w:pPr>
              <w:ind w:left="160"/>
              <w:spacing w:after="0"/>
              <w:rPr>
                <w:sz w:val="20"/>
                <w:szCs w:val="20"/>
                <w:color w:val="auto"/>
              </w:rPr>
            </w:pPr>
            <w:r>
              <w:rPr>
                <w:rFonts w:ascii="Verdana" w:cs="Verdana" w:eastAsia="Verdana" w:hAnsi="Verdana"/>
                <w:sz w:val="17"/>
                <w:szCs w:val="17"/>
                <w:color w:val="auto"/>
                <w:w w:val="99"/>
              </w:rPr>
              <w:t>одного</w:t>
            </w:r>
          </w:p>
        </w:tc>
        <w:tc>
          <w:tcPr>
            <w:tcW w:w="320" w:type="dxa"/>
            <w:vAlign w:val="bottom"/>
          </w:tcPr>
          <w:p>
            <w:pPr>
              <w:spacing w:after="0"/>
              <w:rPr>
                <w:sz w:val="24"/>
                <w:szCs w:val="24"/>
                <w:color w:val="auto"/>
              </w:rPr>
            </w:pPr>
          </w:p>
        </w:tc>
        <w:tc>
          <w:tcPr>
            <w:tcW w:w="150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исследования</w:t>
            </w:r>
            <w:r>
              <w:rPr>
                <w:rFonts w:ascii="Verdana" w:cs="Verdana" w:eastAsia="Verdana" w:hAnsi="Verdana"/>
                <w:sz w:val="17"/>
                <w:szCs w:val="17"/>
                <w:color w:val="auto"/>
              </w:rPr>
              <w:t>,</w:t>
            </w:r>
          </w:p>
        </w:tc>
        <w:tc>
          <w:tcPr>
            <w:tcW w:w="1320" w:type="dxa"/>
            <w:vAlign w:val="bottom"/>
          </w:tcPr>
          <w:p>
            <w:pPr>
              <w:ind w:left="460"/>
              <w:spacing w:after="0"/>
              <w:rPr>
                <w:sz w:val="20"/>
                <w:szCs w:val="20"/>
                <w:color w:val="auto"/>
              </w:rPr>
            </w:pPr>
            <w:r>
              <w:rPr>
                <w:rFonts w:ascii="Verdana" w:cs="Verdana" w:eastAsia="Verdana" w:hAnsi="Verdana"/>
                <w:sz w:val="17"/>
                <w:szCs w:val="17"/>
                <w:color w:val="auto"/>
              </w:rPr>
              <w:t>периода</w:t>
            </w:r>
          </w:p>
        </w:tc>
        <w:tc>
          <w:tcPr>
            <w:tcW w:w="260" w:type="dxa"/>
            <w:vAlign w:val="bottom"/>
          </w:tcPr>
          <w:p>
            <w:pPr>
              <w:spacing w:after="0"/>
              <w:rPr>
                <w:sz w:val="24"/>
                <w:szCs w:val="24"/>
                <w:color w:val="auto"/>
              </w:rPr>
            </w:pPr>
          </w:p>
        </w:tc>
        <w:tc>
          <w:tcPr>
            <w:tcW w:w="1080" w:type="dxa"/>
            <w:vAlign w:val="bottom"/>
            <w:gridSpan w:val="2"/>
          </w:tcPr>
          <w:p>
            <w:pPr>
              <w:spacing w:after="0"/>
              <w:rPr>
                <w:sz w:val="20"/>
                <w:szCs w:val="20"/>
                <w:color w:val="auto"/>
              </w:rPr>
            </w:pPr>
            <w:r>
              <w:rPr>
                <w:rFonts w:ascii="Verdana" w:cs="Verdana" w:eastAsia="Verdana" w:hAnsi="Verdana"/>
                <w:sz w:val="17"/>
                <w:szCs w:val="17"/>
                <w:color w:val="auto"/>
              </w:rPr>
              <w:t>времени</w:t>
            </w:r>
          </w:p>
        </w:tc>
        <w:tc>
          <w:tcPr>
            <w:tcW w:w="600" w:type="dxa"/>
            <w:vAlign w:val="bottom"/>
          </w:tcPr>
          <w:p>
            <w:pPr>
              <w:jc w:val="right"/>
              <w:ind w:right="157"/>
              <w:spacing w:after="0"/>
              <w:rPr>
                <w:sz w:val="20"/>
                <w:szCs w:val="20"/>
                <w:color w:val="auto"/>
              </w:rPr>
            </w:pPr>
            <w:r>
              <w:rPr>
                <w:rFonts w:ascii="Verdana" w:cs="Verdana" w:eastAsia="Verdana" w:hAnsi="Verdana"/>
                <w:sz w:val="17"/>
                <w:szCs w:val="17"/>
                <w:color w:val="auto"/>
              </w:rPr>
              <w:t>для</w:t>
            </w:r>
          </w:p>
        </w:tc>
        <w:tc>
          <w:tcPr>
            <w:tcW w:w="9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оценки</w:t>
            </w:r>
          </w:p>
        </w:tc>
      </w:tr>
      <w:tr>
        <w:trPr>
          <w:trHeight w:val="390"/>
        </w:trPr>
        <w:tc>
          <w:tcPr>
            <w:tcW w:w="4240" w:type="dxa"/>
            <w:vAlign w:val="bottom"/>
            <w:tcBorders>
              <w:left w:val="single" w:sz="8" w:color="auto"/>
              <w:right w:val="single" w:sz="8" w:color="auto"/>
            </w:tcBorders>
            <w:gridSpan w:val="6"/>
          </w:tcPr>
          <w:p>
            <w:pPr>
              <w:ind w:left="480"/>
              <w:spacing w:after="0"/>
              <w:rPr>
                <w:sz w:val="20"/>
                <w:szCs w:val="20"/>
                <w:color w:val="auto"/>
              </w:rPr>
            </w:pPr>
            <w:r>
              <w:rPr>
                <w:rFonts w:ascii="Verdana" w:cs="Verdana" w:eastAsia="Verdana" w:hAnsi="Verdana"/>
                <w:sz w:val="17"/>
                <w:szCs w:val="17"/>
                <w:color w:val="auto"/>
              </w:rPr>
              <w:t>включая краткосрочную вариабельность</w:t>
            </w:r>
          </w:p>
        </w:tc>
        <w:tc>
          <w:tcPr>
            <w:tcW w:w="3620" w:type="dxa"/>
            <w:vAlign w:val="bottom"/>
            <w:gridSpan w:val="6"/>
          </w:tcPr>
          <w:p>
            <w:pPr>
              <w:ind w:left="460"/>
              <w:spacing w:after="0"/>
              <w:rPr>
                <w:sz w:val="20"/>
                <w:szCs w:val="20"/>
                <w:color w:val="auto"/>
              </w:rPr>
            </w:pPr>
            <w:r>
              <w:rPr>
                <w:rFonts w:ascii="Verdana" w:cs="Verdana" w:eastAsia="Verdana" w:hAnsi="Verdana"/>
                <w:sz w:val="17"/>
                <w:szCs w:val="17"/>
                <w:color w:val="auto"/>
              </w:rPr>
              <w:t>вариабельности АД от дня ко дню</w:t>
            </w:r>
          </w:p>
        </w:tc>
        <w:tc>
          <w:tcPr>
            <w:tcW w:w="600" w:type="dxa"/>
            <w:vAlign w:val="bottom"/>
            <w:tcBorders>
              <w:right w:val="single" w:sz="8" w:color="auto"/>
            </w:tcBorders>
          </w:tcPr>
          <w:p>
            <w:pPr>
              <w:spacing w:after="0"/>
              <w:rPr>
                <w:sz w:val="24"/>
                <w:szCs w:val="24"/>
                <w:color w:val="auto"/>
              </w:rPr>
            </w:pP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АД</w:t>
            </w:r>
          </w:p>
        </w:tc>
        <w:tc>
          <w:tcPr>
            <w:tcW w:w="6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320" w:type="dxa"/>
            <w:vAlign w:val="bottom"/>
          </w:tcPr>
          <w:p>
            <w:pPr>
              <w:spacing w:after="0"/>
              <w:rPr>
                <w:sz w:val="24"/>
                <w:szCs w:val="24"/>
                <w:color w:val="auto"/>
              </w:rPr>
            </w:pPr>
          </w:p>
        </w:tc>
        <w:tc>
          <w:tcPr>
            <w:tcW w:w="260" w:type="dxa"/>
            <w:vAlign w:val="bottom"/>
          </w:tcPr>
          <w:p>
            <w:pPr>
              <w:spacing w:after="0"/>
              <w:rPr>
                <w:sz w:val="24"/>
                <w:szCs w:val="24"/>
                <w:color w:val="auto"/>
              </w:rPr>
            </w:pPr>
          </w:p>
        </w:tc>
        <w:tc>
          <w:tcPr>
            <w:tcW w:w="48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237"/>
        </w:trPr>
        <w:tc>
          <w:tcPr>
            <w:tcW w:w="1580" w:type="dxa"/>
            <w:vAlign w:val="bottom"/>
            <w:tcBorders>
              <w:left w:val="single" w:sz="8" w:color="auto"/>
              <w:bottom w:val="single" w:sz="8" w:color="auto"/>
            </w:tcBorders>
          </w:tcPr>
          <w:p>
            <w:pPr>
              <w:spacing w:after="0"/>
              <w:rPr>
                <w:sz w:val="20"/>
                <w:szCs w:val="20"/>
                <w:color w:val="auto"/>
              </w:rPr>
            </w:pPr>
          </w:p>
        </w:tc>
        <w:tc>
          <w:tcPr>
            <w:tcW w:w="60" w:type="dxa"/>
            <w:vAlign w:val="bottom"/>
            <w:tcBorders>
              <w:bottom w:val="single" w:sz="8" w:color="auto"/>
            </w:tcBorders>
          </w:tcPr>
          <w:p>
            <w:pPr>
              <w:spacing w:after="0"/>
              <w:rPr>
                <w:sz w:val="20"/>
                <w:szCs w:val="20"/>
                <w:color w:val="auto"/>
              </w:rPr>
            </w:pPr>
          </w:p>
        </w:tc>
        <w:tc>
          <w:tcPr>
            <w:tcW w:w="780" w:type="dxa"/>
            <w:vAlign w:val="bottom"/>
            <w:tcBorders>
              <w:bottom w:val="single" w:sz="8" w:color="auto"/>
            </w:tcBorders>
          </w:tcPr>
          <w:p>
            <w:pPr>
              <w:spacing w:after="0"/>
              <w:rPr>
                <w:sz w:val="20"/>
                <w:szCs w:val="20"/>
                <w:color w:val="auto"/>
              </w:rPr>
            </w:pPr>
          </w:p>
        </w:tc>
        <w:tc>
          <w:tcPr>
            <w:tcW w:w="320" w:type="dxa"/>
            <w:vAlign w:val="bottom"/>
            <w:tcBorders>
              <w:bottom w:val="single" w:sz="8" w:color="auto"/>
            </w:tcBorders>
          </w:tcPr>
          <w:p>
            <w:pPr>
              <w:spacing w:after="0"/>
              <w:rPr>
                <w:sz w:val="20"/>
                <w:szCs w:val="20"/>
                <w:color w:val="auto"/>
              </w:rPr>
            </w:pPr>
          </w:p>
        </w:tc>
        <w:tc>
          <w:tcPr>
            <w:tcW w:w="1000" w:type="dxa"/>
            <w:vAlign w:val="bottom"/>
            <w:tcBorders>
              <w:bottom w:val="single" w:sz="8" w:color="auto"/>
            </w:tcBorders>
          </w:tcPr>
          <w:p>
            <w:pPr>
              <w:spacing w:after="0"/>
              <w:rPr>
                <w:sz w:val="20"/>
                <w:szCs w:val="20"/>
                <w:color w:val="auto"/>
              </w:rPr>
            </w:pPr>
          </w:p>
        </w:tc>
        <w:tc>
          <w:tcPr>
            <w:tcW w:w="500" w:type="dxa"/>
            <w:vAlign w:val="bottom"/>
            <w:tcBorders>
              <w:bottom w:val="single" w:sz="8" w:color="auto"/>
              <w:right w:val="single" w:sz="8" w:color="auto"/>
            </w:tcBorders>
          </w:tcPr>
          <w:p>
            <w:pPr>
              <w:spacing w:after="0"/>
              <w:rPr>
                <w:sz w:val="20"/>
                <w:szCs w:val="20"/>
                <w:color w:val="auto"/>
              </w:rPr>
            </w:pPr>
          </w:p>
        </w:tc>
        <w:tc>
          <w:tcPr>
            <w:tcW w:w="1320" w:type="dxa"/>
            <w:vAlign w:val="bottom"/>
            <w:tcBorders>
              <w:bottom w:val="single" w:sz="8" w:color="auto"/>
            </w:tcBorders>
          </w:tcPr>
          <w:p>
            <w:pPr>
              <w:spacing w:after="0"/>
              <w:rPr>
                <w:sz w:val="20"/>
                <w:szCs w:val="20"/>
                <w:color w:val="auto"/>
              </w:rPr>
            </w:pPr>
          </w:p>
        </w:tc>
        <w:tc>
          <w:tcPr>
            <w:tcW w:w="260" w:type="dxa"/>
            <w:vAlign w:val="bottom"/>
            <w:tcBorders>
              <w:bottom w:val="single" w:sz="8" w:color="auto"/>
            </w:tcBorders>
          </w:tcPr>
          <w:p>
            <w:pPr>
              <w:spacing w:after="0"/>
              <w:rPr>
                <w:sz w:val="20"/>
                <w:szCs w:val="20"/>
                <w:color w:val="auto"/>
              </w:rPr>
            </w:pPr>
          </w:p>
        </w:tc>
        <w:tc>
          <w:tcPr>
            <w:tcW w:w="480" w:type="dxa"/>
            <w:vAlign w:val="bottom"/>
            <w:tcBorders>
              <w:bottom w:val="single" w:sz="8" w:color="auto"/>
            </w:tcBorders>
          </w:tcPr>
          <w:p>
            <w:pPr>
              <w:spacing w:after="0"/>
              <w:rPr>
                <w:sz w:val="20"/>
                <w:szCs w:val="20"/>
                <w:color w:val="auto"/>
              </w:rPr>
            </w:pPr>
          </w:p>
        </w:tc>
        <w:tc>
          <w:tcPr>
            <w:tcW w:w="600" w:type="dxa"/>
            <w:vAlign w:val="bottom"/>
            <w:tcBorders>
              <w:bottom w:val="single" w:sz="8" w:color="auto"/>
            </w:tcBorders>
          </w:tcPr>
          <w:p>
            <w:pPr>
              <w:spacing w:after="0"/>
              <w:rPr>
                <w:sz w:val="20"/>
                <w:szCs w:val="20"/>
                <w:color w:val="auto"/>
              </w:rPr>
            </w:pPr>
          </w:p>
        </w:tc>
        <w:tc>
          <w:tcPr>
            <w:tcW w:w="600" w:type="dxa"/>
            <w:vAlign w:val="bottom"/>
            <w:tcBorders>
              <w:bottom w:val="single" w:sz="8" w:color="auto"/>
            </w:tcBorders>
          </w:tcPr>
          <w:p>
            <w:pPr>
              <w:spacing w:after="0"/>
              <w:rPr>
                <w:sz w:val="20"/>
                <w:szCs w:val="20"/>
                <w:color w:val="auto"/>
              </w:rPr>
            </w:pPr>
          </w:p>
        </w:tc>
        <w:tc>
          <w:tcPr>
            <w:tcW w:w="360" w:type="dxa"/>
            <w:vAlign w:val="bottom"/>
            <w:tcBorders>
              <w:bottom w:val="single" w:sz="8" w:color="auto"/>
            </w:tcBorders>
          </w:tcPr>
          <w:p>
            <w:pPr>
              <w:spacing w:after="0"/>
              <w:rPr>
                <w:sz w:val="20"/>
                <w:szCs w:val="20"/>
                <w:color w:val="auto"/>
              </w:rPr>
            </w:pPr>
          </w:p>
        </w:tc>
        <w:tc>
          <w:tcPr>
            <w:tcW w:w="600" w:type="dxa"/>
            <w:vAlign w:val="bottom"/>
            <w:tcBorders>
              <w:bottom w:val="single" w:sz="8" w:color="auto"/>
              <w:right w:val="single" w:sz="8" w:color="auto"/>
            </w:tcBorders>
          </w:tcPr>
          <w:p>
            <w:pPr>
              <w:spacing w:after="0"/>
              <w:rPr>
                <w:sz w:val="20"/>
                <w:szCs w:val="20"/>
                <w:color w:val="auto"/>
              </w:rPr>
            </w:pPr>
          </w:p>
        </w:tc>
      </w:tr>
      <w:tr>
        <w:trPr>
          <w:trHeight w:val="343"/>
        </w:trPr>
        <w:tc>
          <w:tcPr>
            <w:tcW w:w="158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Недостатки</w:t>
            </w:r>
            <w:r>
              <w:rPr>
                <w:rFonts w:ascii="Verdana" w:cs="Verdana" w:eastAsia="Verdana" w:hAnsi="Verdana"/>
                <w:sz w:val="17"/>
                <w:szCs w:val="17"/>
                <w:color w:val="auto"/>
              </w:rPr>
              <w:t>:</w:t>
            </w:r>
          </w:p>
        </w:tc>
        <w:tc>
          <w:tcPr>
            <w:tcW w:w="6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320" w:type="dxa"/>
            <w:vAlign w:val="bottom"/>
          </w:tcPr>
          <w:p>
            <w:pPr>
              <w:ind w:left="140"/>
              <w:spacing w:after="0"/>
              <w:rPr>
                <w:sz w:val="20"/>
                <w:szCs w:val="20"/>
                <w:color w:val="auto"/>
              </w:rPr>
            </w:pPr>
            <w:r>
              <w:rPr>
                <w:rFonts w:ascii="Verdana" w:cs="Verdana" w:eastAsia="Verdana" w:hAnsi="Verdana"/>
                <w:sz w:val="17"/>
                <w:szCs w:val="17"/>
                <w:color w:val="auto"/>
              </w:rPr>
              <w:t>Недостатки</w:t>
            </w:r>
            <w:r>
              <w:rPr>
                <w:rFonts w:ascii="Verdana" w:cs="Verdana" w:eastAsia="Verdana" w:hAnsi="Verdana"/>
                <w:sz w:val="17"/>
                <w:szCs w:val="17"/>
                <w:color w:val="auto"/>
              </w:rPr>
              <w:t>:</w:t>
            </w:r>
          </w:p>
        </w:tc>
        <w:tc>
          <w:tcPr>
            <w:tcW w:w="260" w:type="dxa"/>
            <w:vAlign w:val="bottom"/>
          </w:tcPr>
          <w:p>
            <w:pPr>
              <w:spacing w:after="0"/>
              <w:rPr>
                <w:sz w:val="24"/>
                <w:szCs w:val="24"/>
                <w:color w:val="auto"/>
              </w:rPr>
            </w:pPr>
          </w:p>
        </w:tc>
        <w:tc>
          <w:tcPr>
            <w:tcW w:w="48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27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w w:val="95"/>
              </w:rPr>
              <w:t>Дороговизна</w:t>
            </w:r>
          </w:p>
        </w:tc>
        <w:tc>
          <w:tcPr>
            <w:tcW w:w="60" w:type="dxa"/>
            <w:vAlign w:val="bottom"/>
          </w:tcPr>
          <w:p>
            <w:pPr>
              <w:spacing w:after="0"/>
              <w:rPr>
                <w:sz w:val="23"/>
                <w:szCs w:val="23"/>
                <w:color w:val="auto"/>
              </w:rPr>
            </w:pPr>
          </w:p>
        </w:tc>
        <w:tc>
          <w:tcPr>
            <w:tcW w:w="1100" w:type="dxa"/>
            <w:vAlign w:val="bottom"/>
            <w:gridSpan w:val="2"/>
          </w:tcPr>
          <w:p>
            <w:pPr>
              <w:jc w:val="right"/>
              <w:spacing w:after="0"/>
              <w:rPr>
                <w:sz w:val="20"/>
                <w:szCs w:val="20"/>
                <w:color w:val="auto"/>
              </w:rPr>
            </w:pPr>
            <w:r>
              <w:rPr>
                <w:rFonts w:ascii="Verdana" w:cs="Verdana" w:eastAsia="Verdana" w:hAnsi="Verdana"/>
                <w:sz w:val="17"/>
                <w:szCs w:val="17"/>
                <w:color w:val="auto"/>
              </w:rPr>
              <w:t>и  иногда</w:t>
            </w:r>
          </w:p>
        </w:tc>
        <w:tc>
          <w:tcPr>
            <w:tcW w:w="150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ограниченная</w:t>
            </w:r>
          </w:p>
        </w:tc>
        <w:tc>
          <w:tcPr>
            <w:tcW w:w="1320" w:type="dxa"/>
            <w:vAlign w:val="bottom"/>
          </w:tcPr>
          <w:p>
            <w:pPr>
              <w:ind w:left="460"/>
              <w:spacing w:after="0"/>
              <w:rPr>
                <w:sz w:val="20"/>
                <w:szCs w:val="20"/>
                <w:color w:val="auto"/>
              </w:rPr>
            </w:pPr>
            <w:r>
              <w:rPr>
                <w:rFonts w:ascii="Verdana" w:cs="Verdana" w:eastAsia="Verdana" w:hAnsi="Verdana"/>
                <w:sz w:val="17"/>
                <w:szCs w:val="17"/>
                <w:color w:val="auto"/>
                <w:w w:val="95"/>
              </w:rPr>
              <w:t>Возможно</w:t>
            </w:r>
          </w:p>
        </w:tc>
        <w:tc>
          <w:tcPr>
            <w:tcW w:w="740" w:type="dxa"/>
            <w:vAlign w:val="bottom"/>
            <w:gridSpan w:val="2"/>
          </w:tcPr>
          <w:p>
            <w:pPr>
              <w:ind w:left="120"/>
              <w:spacing w:after="0"/>
              <w:rPr>
                <w:sz w:val="20"/>
                <w:szCs w:val="20"/>
                <w:color w:val="auto"/>
              </w:rPr>
            </w:pPr>
            <w:r>
              <w:rPr>
                <w:rFonts w:ascii="Verdana" w:cs="Verdana" w:eastAsia="Verdana" w:hAnsi="Verdana"/>
                <w:sz w:val="17"/>
                <w:szCs w:val="17"/>
                <w:color w:val="auto"/>
              </w:rPr>
              <w:t>только</w:t>
            </w:r>
          </w:p>
        </w:tc>
        <w:tc>
          <w:tcPr>
            <w:tcW w:w="2160" w:type="dxa"/>
            <w:vAlign w:val="bottom"/>
            <w:tcBorders>
              <w:right w:val="single" w:sz="8" w:color="auto"/>
            </w:tcBorders>
            <w:gridSpan w:val="4"/>
          </w:tcPr>
          <w:p>
            <w:pPr>
              <w:jc w:val="right"/>
              <w:ind w:right="97"/>
              <w:spacing w:after="0"/>
              <w:rPr>
                <w:sz w:val="20"/>
                <w:szCs w:val="20"/>
                <w:color w:val="auto"/>
              </w:rPr>
            </w:pPr>
            <w:r>
              <w:rPr>
                <w:rFonts w:ascii="Verdana" w:cs="Verdana" w:eastAsia="Verdana" w:hAnsi="Verdana"/>
                <w:sz w:val="17"/>
                <w:szCs w:val="17"/>
                <w:color w:val="auto"/>
              </w:rPr>
              <w:t>статичное измерение</w:t>
            </w:r>
          </w:p>
        </w:tc>
      </w:tr>
      <w:tr>
        <w:trPr>
          <w:trHeight w:val="390"/>
        </w:trPr>
        <w:tc>
          <w:tcPr>
            <w:tcW w:w="1580" w:type="dxa"/>
            <w:vAlign w:val="bottom"/>
            <w:tcBorders>
              <w:left w:val="single" w:sz="8" w:color="auto"/>
            </w:tcBorders>
          </w:tcPr>
          <w:p>
            <w:pPr>
              <w:ind w:left="480"/>
              <w:spacing w:after="0"/>
              <w:rPr>
                <w:sz w:val="20"/>
                <w:szCs w:val="20"/>
                <w:color w:val="auto"/>
              </w:rPr>
            </w:pPr>
            <w:r>
              <w:rPr>
                <w:rFonts w:ascii="Verdana" w:cs="Verdana" w:eastAsia="Verdana" w:hAnsi="Verdana"/>
                <w:sz w:val="17"/>
                <w:szCs w:val="17"/>
                <w:color w:val="auto"/>
              </w:rPr>
              <w:t>доступность</w:t>
            </w:r>
          </w:p>
        </w:tc>
        <w:tc>
          <w:tcPr>
            <w:tcW w:w="6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1320" w:type="dxa"/>
            <w:vAlign w:val="bottom"/>
          </w:tcPr>
          <w:p>
            <w:pPr>
              <w:ind w:left="460"/>
              <w:spacing w:after="0"/>
              <w:rPr>
                <w:sz w:val="20"/>
                <w:szCs w:val="20"/>
                <w:color w:val="auto"/>
              </w:rPr>
            </w:pPr>
            <w:r>
              <w:rPr>
                <w:rFonts w:ascii="Verdana" w:cs="Verdana" w:eastAsia="Verdana" w:hAnsi="Verdana"/>
                <w:sz w:val="17"/>
                <w:szCs w:val="17"/>
                <w:color w:val="auto"/>
              </w:rPr>
              <w:t>АД</w:t>
            </w:r>
          </w:p>
        </w:tc>
        <w:tc>
          <w:tcPr>
            <w:tcW w:w="260" w:type="dxa"/>
            <w:vAlign w:val="bottom"/>
          </w:tcPr>
          <w:p>
            <w:pPr>
              <w:spacing w:after="0"/>
              <w:rPr>
                <w:sz w:val="24"/>
                <w:szCs w:val="24"/>
                <w:color w:val="auto"/>
              </w:rPr>
            </w:pPr>
          </w:p>
        </w:tc>
        <w:tc>
          <w:tcPr>
            <w:tcW w:w="48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600" w:type="dxa"/>
            <w:vAlign w:val="bottom"/>
          </w:tcPr>
          <w:p>
            <w:pPr>
              <w:spacing w:after="0"/>
              <w:rPr>
                <w:sz w:val="24"/>
                <w:szCs w:val="24"/>
                <w:color w:val="auto"/>
              </w:rPr>
            </w:pP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390"/>
        </w:trPr>
        <w:tc>
          <w:tcPr>
            <w:tcW w:w="3740" w:type="dxa"/>
            <w:vAlign w:val="bottom"/>
            <w:tcBorders>
              <w:left w:val="single" w:sz="8" w:color="auto"/>
            </w:tcBorders>
            <w:gridSpan w:val="5"/>
          </w:tcPr>
          <w:p>
            <w:pPr>
              <w:ind w:left="480"/>
              <w:spacing w:after="0"/>
              <w:rPr>
                <w:sz w:val="20"/>
                <w:szCs w:val="20"/>
                <w:color w:val="auto"/>
              </w:rPr>
            </w:pPr>
            <w:r>
              <w:rPr>
                <w:rFonts w:ascii="Verdana" w:cs="Verdana" w:eastAsia="Verdana" w:hAnsi="Verdana"/>
                <w:sz w:val="17"/>
                <w:szCs w:val="17"/>
                <w:color w:val="auto"/>
              </w:rPr>
              <w:t>Может доставлять дискомфорт</w:t>
            </w:r>
          </w:p>
        </w:tc>
        <w:tc>
          <w:tcPr>
            <w:tcW w:w="500" w:type="dxa"/>
            <w:vAlign w:val="bottom"/>
            <w:tcBorders>
              <w:right w:val="single" w:sz="8" w:color="auto"/>
            </w:tcBorders>
          </w:tcPr>
          <w:p>
            <w:pPr>
              <w:spacing w:after="0"/>
              <w:rPr>
                <w:sz w:val="24"/>
                <w:szCs w:val="24"/>
                <w:color w:val="auto"/>
              </w:rPr>
            </w:pPr>
          </w:p>
        </w:tc>
        <w:tc>
          <w:tcPr>
            <w:tcW w:w="3260" w:type="dxa"/>
            <w:vAlign w:val="bottom"/>
            <w:gridSpan w:val="5"/>
          </w:tcPr>
          <w:p>
            <w:pPr>
              <w:ind w:left="460"/>
              <w:spacing w:after="0"/>
              <w:rPr>
                <w:sz w:val="20"/>
                <w:szCs w:val="20"/>
                <w:color w:val="auto"/>
              </w:rPr>
            </w:pPr>
            <w:r>
              <w:rPr>
                <w:rFonts w:ascii="Verdana" w:cs="Verdana" w:eastAsia="Verdana" w:hAnsi="Verdana"/>
                <w:sz w:val="17"/>
                <w:szCs w:val="17"/>
                <w:color w:val="auto"/>
              </w:rPr>
              <w:t>Возможны ошибки измерений</w:t>
            </w: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390"/>
        </w:trPr>
        <w:tc>
          <w:tcPr>
            <w:tcW w:w="1580" w:type="dxa"/>
            <w:vAlign w:val="bottom"/>
            <w:tcBorders>
              <w:left w:val="single" w:sz="8" w:color="auto"/>
            </w:tcBorders>
          </w:tcPr>
          <w:p>
            <w:pPr>
              <w:spacing w:after="0"/>
              <w:rPr>
                <w:sz w:val="24"/>
                <w:szCs w:val="24"/>
                <w:color w:val="auto"/>
              </w:rPr>
            </w:pPr>
          </w:p>
        </w:tc>
        <w:tc>
          <w:tcPr>
            <w:tcW w:w="6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320" w:type="dxa"/>
            <w:vAlign w:val="bottom"/>
          </w:tcPr>
          <w:p>
            <w:pPr>
              <w:spacing w:after="0"/>
              <w:rPr>
                <w:sz w:val="24"/>
                <w:szCs w:val="24"/>
                <w:color w:val="auto"/>
              </w:rPr>
            </w:pPr>
          </w:p>
        </w:tc>
        <w:tc>
          <w:tcPr>
            <w:tcW w:w="1000" w:type="dxa"/>
            <w:vAlign w:val="bottom"/>
          </w:tcPr>
          <w:p>
            <w:pPr>
              <w:spacing w:after="0"/>
              <w:rPr>
                <w:sz w:val="24"/>
                <w:szCs w:val="24"/>
                <w:color w:val="auto"/>
              </w:rPr>
            </w:pPr>
          </w:p>
        </w:tc>
        <w:tc>
          <w:tcPr>
            <w:tcW w:w="500" w:type="dxa"/>
            <w:vAlign w:val="bottom"/>
            <w:tcBorders>
              <w:right w:val="single" w:sz="8" w:color="auto"/>
            </w:tcBorders>
          </w:tcPr>
          <w:p>
            <w:pPr>
              <w:spacing w:after="0"/>
              <w:rPr>
                <w:sz w:val="24"/>
                <w:szCs w:val="24"/>
                <w:color w:val="auto"/>
              </w:rPr>
            </w:pPr>
          </w:p>
        </w:tc>
        <w:tc>
          <w:tcPr>
            <w:tcW w:w="3260" w:type="dxa"/>
            <w:vAlign w:val="bottom"/>
            <w:gridSpan w:val="5"/>
          </w:tcPr>
          <w:p>
            <w:pPr>
              <w:ind w:left="460"/>
              <w:spacing w:after="0"/>
              <w:rPr>
                <w:sz w:val="20"/>
                <w:szCs w:val="20"/>
                <w:color w:val="auto"/>
              </w:rPr>
            </w:pPr>
            <w:r>
              <w:rPr>
                <w:rFonts w:ascii="Verdana" w:cs="Verdana" w:eastAsia="Verdana" w:hAnsi="Verdana"/>
                <w:sz w:val="17"/>
                <w:szCs w:val="17"/>
                <w:color w:val="auto"/>
              </w:rPr>
              <w:t>Отсутствие ночных измерений</w:t>
            </w:r>
          </w:p>
        </w:tc>
        <w:tc>
          <w:tcPr>
            <w:tcW w:w="360" w:type="dxa"/>
            <w:vAlign w:val="bottom"/>
          </w:tcPr>
          <w:p>
            <w:pPr>
              <w:spacing w:after="0"/>
              <w:rPr>
                <w:sz w:val="24"/>
                <w:szCs w:val="24"/>
                <w:color w:val="auto"/>
              </w:rPr>
            </w:pPr>
          </w:p>
        </w:tc>
        <w:tc>
          <w:tcPr>
            <w:tcW w:w="600" w:type="dxa"/>
            <w:vAlign w:val="bottom"/>
            <w:tcBorders>
              <w:right w:val="single" w:sz="8" w:color="auto"/>
            </w:tcBorders>
          </w:tcPr>
          <w:p>
            <w:pPr>
              <w:spacing w:after="0"/>
              <w:rPr>
                <w:sz w:val="24"/>
                <w:szCs w:val="24"/>
                <w:color w:val="auto"/>
              </w:rPr>
            </w:pPr>
          </w:p>
        </w:tc>
      </w:tr>
      <w:tr>
        <w:trPr>
          <w:trHeight w:val="237"/>
        </w:trPr>
        <w:tc>
          <w:tcPr>
            <w:tcW w:w="1580" w:type="dxa"/>
            <w:vAlign w:val="bottom"/>
            <w:tcBorders>
              <w:left w:val="single" w:sz="8" w:color="auto"/>
              <w:bottom w:val="single" w:sz="8" w:color="auto"/>
            </w:tcBorders>
          </w:tcPr>
          <w:p>
            <w:pPr>
              <w:spacing w:after="0"/>
              <w:rPr>
                <w:sz w:val="20"/>
                <w:szCs w:val="20"/>
                <w:color w:val="auto"/>
              </w:rPr>
            </w:pPr>
          </w:p>
        </w:tc>
        <w:tc>
          <w:tcPr>
            <w:tcW w:w="60" w:type="dxa"/>
            <w:vAlign w:val="bottom"/>
            <w:tcBorders>
              <w:bottom w:val="single" w:sz="8" w:color="auto"/>
            </w:tcBorders>
          </w:tcPr>
          <w:p>
            <w:pPr>
              <w:spacing w:after="0"/>
              <w:rPr>
                <w:sz w:val="20"/>
                <w:szCs w:val="20"/>
                <w:color w:val="auto"/>
              </w:rPr>
            </w:pPr>
          </w:p>
        </w:tc>
        <w:tc>
          <w:tcPr>
            <w:tcW w:w="780" w:type="dxa"/>
            <w:vAlign w:val="bottom"/>
            <w:tcBorders>
              <w:bottom w:val="single" w:sz="8" w:color="auto"/>
            </w:tcBorders>
          </w:tcPr>
          <w:p>
            <w:pPr>
              <w:spacing w:after="0"/>
              <w:rPr>
                <w:sz w:val="20"/>
                <w:szCs w:val="20"/>
                <w:color w:val="auto"/>
              </w:rPr>
            </w:pPr>
          </w:p>
        </w:tc>
        <w:tc>
          <w:tcPr>
            <w:tcW w:w="320" w:type="dxa"/>
            <w:vAlign w:val="bottom"/>
            <w:tcBorders>
              <w:bottom w:val="single" w:sz="8" w:color="auto"/>
            </w:tcBorders>
          </w:tcPr>
          <w:p>
            <w:pPr>
              <w:spacing w:after="0"/>
              <w:rPr>
                <w:sz w:val="20"/>
                <w:szCs w:val="20"/>
                <w:color w:val="auto"/>
              </w:rPr>
            </w:pPr>
          </w:p>
        </w:tc>
        <w:tc>
          <w:tcPr>
            <w:tcW w:w="1000" w:type="dxa"/>
            <w:vAlign w:val="bottom"/>
            <w:tcBorders>
              <w:bottom w:val="single" w:sz="8" w:color="auto"/>
            </w:tcBorders>
          </w:tcPr>
          <w:p>
            <w:pPr>
              <w:spacing w:after="0"/>
              <w:rPr>
                <w:sz w:val="20"/>
                <w:szCs w:val="20"/>
                <w:color w:val="auto"/>
              </w:rPr>
            </w:pPr>
          </w:p>
        </w:tc>
        <w:tc>
          <w:tcPr>
            <w:tcW w:w="500" w:type="dxa"/>
            <w:vAlign w:val="bottom"/>
            <w:tcBorders>
              <w:bottom w:val="single" w:sz="8" w:color="auto"/>
              <w:right w:val="single" w:sz="8" w:color="auto"/>
            </w:tcBorders>
          </w:tcPr>
          <w:p>
            <w:pPr>
              <w:spacing w:after="0"/>
              <w:rPr>
                <w:sz w:val="20"/>
                <w:szCs w:val="20"/>
                <w:color w:val="auto"/>
              </w:rPr>
            </w:pPr>
          </w:p>
        </w:tc>
        <w:tc>
          <w:tcPr>
            <w:tcW w:w="1320" w:type="dxa"/>
            <w:vAlign w:val="bottom"/>
            <w:tcBorders>
              <w:bottom w:val="single" w:sz="8" w:color="auto"/>
            </w:tcBorders>
          </w:tcPr>
          <w:p>
            <w:pPr>
              <w:spacing w:after="0"/>
              <w:rPr>
                <w:sz w:val="20"/>
                <w:szCs w:val="20"/>
                <w:color w:val="auto"/>
              </w:rPr>
            </w:pPr>
          </w:p>
        </w:tc>
        <w:tc>
          <w:tcPr>
            <w:tcW w:w="260" w:type="dxa"/>
            <w:vAlign w:val="bottom"/>
            <w:tcBorders>
              <w:bottom w:val="single" w:sz="8" w:color="auto"/>
            </w:tcBorders>
          </w:tcPr>
          <w:p>
            <w:pPr>
              <w:spacing w:after="0"/>
              <w:rPr>
                <w:sz w:val="20"/>
                <w:szCs w:val="20"/>
                <w:color w:val="auto"/>
              </w:rPr>
            </w:pPr>
          </w:p>
        </w:tc>
        <w:tc>
          <w:tcPr>
            <w:tcW w:w="480" w:type="dxa"/>
            <w:vAlign w:val="bottom"/>
            <w:tcBorders>
              <w:bottom w:val="single" w:sz="8" w:color="auto"/>
            </w:tcBorders>
          </w:tcPr>
          <w:p>
            <w:pPr>
              <w:spacing w:after="0"/>
              <w:rPr>
                <w:sz w:val="20"/>
                <w:szCs w:val="20"/>
                <w:color w:val="auto"/>
              </w:rPr>
            </w:pPr>
          </w:p>
        </w:tc>
        <w:tc>
          <w:tcPr>
            <w:tcW w:w="600" w:type="dxa"/>
            <w:vAlign w:val="bottom"/>
            <w:tcBorders>
              <w:bottom w:val="single" w:sz="8" w:color="auto"/>
            </w:tcBorders>
          </w:tcPr>
          <w:p>
            <w:pPr>
              <w:spacing w:after="0"/>
              <w:rPr>
                <w:sz w:val="20"/>
                <w:szCs w:val="20"/>
                <w:color w:val="auto"/>
              </w:rPr>
            </w:pPr>
          </w:p>
        </w:tc>
        <w:tc>
          <w:tcPr>
            <w:tcW w:w="600" w:type="dxa"/>
            <w:vAlign w:val="bottom"/>
            <w:tcBorders>
              <w:bottom w:val="single" w:sz="8" w:color="auto"/>
            </w:tcBorders>
          </w:tcPr>
          <w:p>
            <w:pPr>
              <w:spacing w:after="0"/>
              <w:rPr>
                <w:sz w:val="20"/>
                <w:szCs w:val="20"/>
                <w:color w:val="auto"/>
              </w:rPr>
            </w:pPr>
          </w:p>
        </w:tc>
        <w:tc>
          <w:tcPr>
            <w:tcW w:w="360" w:type="dxa"/>
            <w:vAlign w:val="bottom"/>
            <w:tcBorders>
              <w:bottom w:val="single" w:sz="8" w:color="auto"/>
            </w:tcBorders>
          </w:tcPr>
          <w:p>
            <w:pPr>
              <w:spacing w:after="0"/>
              <w:rPr>
                <w:sz w:val="20"/>
                <w:szCs w:val="20"/>
                <w:color w:val="auto"/>
              </w:rPr>
            </w:pPr>
          </w:p>
        </w:tc>
        <w:tc>
          <w:tcPr>
            <w:tcW w:w="600" w:type="dxa"/>
            <w:vAlign w:val="bottom"/>
            <w:tcBorders>
              <w:bottom w:val="single" w:sz="8" w:color="auto"/>
              <w:right w:val="single" w:sz="8" w:color="auto"/>
            </w:tcBorders>
          </w:tcPr>
          <w:p>
            <w:pPr>
              <w:spacing w:after="0"/>
              <w:rPr>
                <w:sz w:val="20"/>
                <w:szCs w:val="20"/>
                <w:color w:val="auto"/>
              </w:rPr>
            </w:pPr>
          </w:p>
        </w:tc>
      </w:tr>
    </w:tbl>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387985</wp:posOffset>
            </wp:positionH>
            <wp:positionV relativeFrom="paragraph">
              <wp:posOffset>-4766945</wp:posOffset>
            </wp:positionV>
            <wp:extent cx="63500" cy="63500"/>
            <wp:wrapNone/>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67">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-4023995</wp:posOffset>
            </wp:positionV>
            <wp:extent cx="63500" cy="63500"/>
            <wp:wrapNone/>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68">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-3528060</wp:posOffset>
            </wp:positionV>
            <wp:extent cx="63500" cy="63500"/>
            <wp:wrapNone/>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69">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-3280410</wp:posOffset>
            </wp:positionV>
            <wp:extent cx="63500" cy="63500"/>
            <wp:wrapNone/>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370">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-2785110</wp:posOffset>
            </wp:positionV>
            <wp:extent cx="63500" cy="63500"/>
            <wp:wrapNone/>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71">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-2289810</wp:posOffset>
            </wp:positionV>
            <wp:extent cx="63500" cy="63500"/>
            <wp:wrapNone/>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72">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-4766945</wp:posOffset>
            </wp:positionV>
            <wp:extent cx="63500" cy="63500"/>
            <wp:wrapNone/>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73">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-4023995</wp:posOffset>
            </wp:positionV>
            <wp:extent cx="63500" cy="63500"/>
            <wp:wrapNone/>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74">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-3775710</wp:posOffset>
            </wp:positionV>
            <wp:extent cx="63500" cy="6350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75">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-3032760</wp:posOffset>
            </wp:positionV>
            <wp:extent cx="63500" cy="6350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76">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-2537460</wp:posOffset>
            </wp:positionV>
            <wp:extent cx="63500" cy="63500"/>
            <wp:wrapNone/>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77">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-993775</wp:posOffset>
            </wp:positionV>
            <wp:extent cx="63500" cy="63500"/>
            <wp:wrapNone/>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78">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387985</wp:posOffset>
            </wp:positionH>
            <wp:positionV relativeFrom="paragraph">
              <wp:posOffset>-497840</wp:posOffset>
            </wp:positionV>
            <wp:extent cx="63500" cy="63500"/>
            <wp:wrapNone/>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9">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-993775</wp:posOffset>
            </wp:positionV>
            <wp:extent cx="63500" cy="63500"/>
            <wp:wrapNone/>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80">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-497840</wp:posOffset>
            </wp:positionV>
            <wp:extent cx="63500" cy="63500"/>
            <wp:wrapNone/>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81">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3065780</wp:posOffset>
            </wp:positionH>
            <wp:positionV relativeFrom="paragraph">
              <wp:posOffset>-250190</wp:posOffset>
            </wp:positionV>
            <wp:extent cx="63500" cy="63500"/>
            <wp:wrapNone/>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82">
                      <a:extLst>
                        <a:ext uri="{28A0092B-C50C-407E-A947-70E740481C1C}"/>
                      </a:extLst>
                    </a:blip>
                    <a:srcRect/>
                    <a:stretch>
                      <a:fillRect/>
                    </a:stretch>
                  </pic:blipFill>
                  <pic:spPr bwMode="auto">
                    <a:xfrm>
                      <a:off x="0" y="0"/>
                      <a:ext cx="63500" cy="63500"/>
                    </a:xfrm>
                    <a:prstGeom prst="rect">
                      <a:avLst/>
                    </a:prstGeom>
                    <a:noFill/>
                  </pic:spPr>
                </pic:pic>
              </a:graphicData>
            </a:graphic>
          </wp:anchor>
        </w:drawing>
      </w:r>
    </w:p>
    <w:p>
      <w:pPr>
        <w:jc w:val="both"/>
        <w:ind w:left="360" w:right="220"/>
        <w:spacing w:after="0" w:line="317" w:lineRule="auto"/>
        <w:rPr>
          <w:sz w:val="20"/>
          <w:szCs w:val="20"/>
          <w:color w:val="auto"/>
        </w:rPr>
      </w:pPr>
      <w:r>
        <w:rPr>
          <w:rFonts w:ascii="Arial" w:cs="Arial" w:eastAsia="Arial" w:hAnsi="Arial"/>
          <w:sz w:val="27"/>
          <w:szCs w:val="27"/>
          <w:color w:val="auto"/>
        </w:rPr>
        <w:t xml:space="preserve">АД </w:t>
      </w:r>
      <w:r>
        <w:rPr>
          <w:rFonts w:ascii="Arial" w:cs="Arial" w:eastAsia="Arial" w:hAnsi="Arial"/>
          <w:sz w:val="27"/>
          <w:szCs w:val="27"/>
          <w:color w:val="auto"/>
        </w:rPr>
        <w:t>—</w:t>
      </w:r>
      <w:r>
        <w:rPr>
          <w:rFonts w:ascii="Arial" w:cs="Arial" w:eastAsia="Arial" w:hAnsi="Arial"/>
          <w:sz w:val="27"/>
          <w:szCs w:val="27"/>
          <w:color w:val="auto"/>
        </w:rPr>
        <w:t xml:space="preserve"> артериальное давление</w:t>
      </w:r>
      <w:r>
        <w:rPr>
          <w:rFonts w:ascii="Arial" w:cs="Arial" w:eastAsia="Arial" w:hAnsi="Arial"/>
          <w:sz w:val="27"/>
          <w:szCs w:val="27"/>
          <w:color w:val="auto"/>
        </w:rPr>
        <w:t>,</w:t>
      </w:r>
      <w:r>
        <w:rPr>
          <w:rFonts w:ascii="Arial" w:cs="Arial" w:eastAsia="Arial" w:hAnsi="Arial"/>
          <w:sz w:val="27"/>
          <w:szCs w:val="27"/>
          <w:color w:val="auto"/>
        </w:rPr>
        <w:t xml:space="preserve"> СМАД </w:t>
      </w:r>
      <w:r>
        <w:rPr>
          <w:rFonts w:ascii="Arial" w:cs="Arial" w:eastAsia="Arial" w:hAnsi="Arial"/>
          <w:sz w:val="27"/>
          <w:szCs w:val="27"/>
          <w:color w:val="auto"/>
        </w:rPr>
        <w:t>—</w:t>
      </w:r>
      <w:r>
        <w:rPr>
          <w:rFonts w:ascii="Arial" w:cs="Arial" w:eastAsia="Arial" w:hAnsi="Arial"/>
          <w:sz w:val="27"/>
          <w:szCs w:val="27"/>
          <w:color w:val="auto"/>
        </w:rPr>
        <w:t xml:space="preserve"> суточное мониторирование артериального давления</w:t>
      </w:r>
      <w:r>
        <w:rPr>
          <w:rFonts w:ascii="Arial" w:cs="Arial" w:eastAsia="Arial" w:hAnsi="Arial"/>
          <w:sz w:val="27"/>
          <w:szCs w:val="27"/>
          <w:color w:val="auto"/>
        </w:rPr>
        <w:t>,</w:t>
      </w:r>
      <w:r>
        <w:rPr>
          <w:rFonts w:ascii="Arial" w:cs="Arial" w:eastAsia="Arial" w:hAnsi="Arial"/>
          <w:sz w:val="27"/>
          <w:szCs w:val="27"/>
          <w:color w:val="auto"/>
        </w:rPr>
        <w:t xml:space="preserve"> ДМАД </w:t>
      </w:r>
      <w:r>
        <w:rPr>
          <w:rFonts w:ascii="Arial" w:cs="Arial" w:eastAsia="Arial" w:hAnsi="Arial"/>
          <w:sz w:val="27"/>
          <w:szCs w:val="27"/>
          <w:color w:val="auto"/>
        </w:rPr>
        <w:t>—</w:t>
      </w:r>
      <w:r>
        <w:rPr>
          <w:rFonts w:ascii="Arial" w:cs="Arial" w:eastAsia="Arial" w:hAnsi="Arial"/>
          <w:sz w:val="27"/>
          <w:szCs w:val="27"/>
          <w:color w:val="auto"/>
        </w:rPr>
        <w:t xml:space="preserve"> домашнее мониторирование артериального давления</w:t>
      </w:r>
      <w:r>
        <w:rPr>
          <w:rFonts w:ascii="Arial" w:cs="Arial" w:eastAsia="Arial" w:hAnsi="Arial"/>
          <w:sz w:val="27"/>
          <w:szCs w:val="27"/>
          <w:color w:val="auto"/>
        </w:rPr>
        <w:t>.</w:t>
      </w:r>
    </w:p>
    <w:p>
      <w:pPr>
        <w:spacing w:after="0" w:line="210"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9/</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Определение артериальной гипертензии в зависимости от метода измерения АД</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измеренного в медицинском учреждении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СМАД или ДМАД</w:t>
      </w:r>
    </w:p>
    <w:p>
      <w:pPr>
        <w:spacing w:after="0" w:line="163"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382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Категория</w:t>
            </w:r>
          </w:p>
        </w:tc>
        <w:tc>
          <w:tcPr>
            <w:tcW w:w="166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 xml:space="preserve">САД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p>
        </w:tc>
        <w:tc>
          <w:tcPr>
            <w:tcW w:w="1120" w:type="dxa"/>
            <w:vAlign w:val="bottom"/>
            <w:tcBorders>
              <w:top w:val="single" w:sz="8" w:color="auto"/>
              <w:right w:val="single" w:sz="8" w:color="auto"/>
            </w:tcBorders>
          </w:tcPr>
          <w:p>
            <w:pPr>
              <w:spacing w:after="0"/>
              <w:rPr>
                <w:sz w:val="24"/>
                <w:szCs w:val="24"/>
                <w:color w:val="auto"/>
              </w:rPr>
            </w:pPr>
          </w:p>
        </w:tc>
        <w:tc>
          <w:tcPr>
            <w:tcW w:w="186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ДАД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tc>
      </w:tr>
      <w:tr>
        <w:trPr>
          <w:trHeight w:val="220"/>
        </w:trPr>
        <w:tc>
          <w:tcPr>
            <w:tcW w:w="3820" w:type="dxa"/>
            <w:vAlign w:val="bottom"/>
            <w:tcBorders>
              <w:left w:val="single" w:sz="8" w:color="auto"/>
              <w:right w:val="single" w:sz="8" w:color="auto"/>
            </w:tcBorders>
          </w:tcPr>
          <w:p>
            <w:pPr>
              <w:spacing w:after="0"/>
              <w:rPr>
                <w:sz w:val="19"/>
                <w:szCs w:val="19"/>
                <w:color w:val="auto"/>
              </w:rPr>
            </w:pP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ст</w:t>
            </w:r>
            <w:r>
              <w:rPr>
                <w:rFonts w:ascii="Verdana" w:cs="Verdana" w:eastAsia="Verdana" w:hAnsi="Verdana"/>
                <w:sz w:val="17"/>
                <w:szCs w:val="17"/>
                <w:color w:val="auto"/>
              </w:rPr>
              <w:t>.)</w:t>
            </w:r>
          </w:p>
        </w:tc>
        <w:tc>
          <w:tcPr>
            <w:tcW w:w="1120" w:type="dxa"/>
            <w:vAlign w:val="bottom"/>
            <w:tcBorders>
              <w:right w:val="single" w:sz="8" w:color="auto"/>
            </w:tcBorders>
          </w:tcPr>
          <w:p>
            <w:pPr>
              <w:spacing w:after="0"/>
              <w:rPr>
                <w:sz w:val="19"/>
                <w:szCs w:val="19"/>
                <w:color w:val="auto"/>
              </w:rPr>
            </w:pPr>
          </w:p>
        </w:tc>
        <w:tc>
          <w:tcPr>
            <w:tcW w:w="1860" w:type="dxa"/>
            <w:vAlign w:val="bottom"/>
            <w:tcBorders>
              <w:right w:val="single" w:sz="8" w:color="auto"/>
            </w:tcBorders>
          </w:tcPr>
          <w:p>
            <w:pPr>
              <w:spacing w:after="0"/>
              <w:rPr>
                <w:sz w:val="19"/>
                <w:szCs w:val="19"/>
                <w:color w:val="auto"/>
              </w:rPr>
            </w:pPr>
          </w:p>
        </w:tc>
      </w:tr>
      <w:tr>
        <w:trPr>
          <w:trHeight w:val="110"/>
        </w:trPr>
        <w:tc>
          <w:tcPr>
            <w:tcW w:w="3820" w:type="dxa"/>
            <w:vAlign w:val="bottom"/>
            <w:tcBorders>
              <w:left w:val="single" w:sz="8" w:color="auto"/>
              <w:bottom w:val="single" w:sz="8" w:color="auto"/>
              <w:right w:val="single" w:sz="8" w:color="auto"/>
            </w:tcBorders>
          </w:tcPr>
          <w:p>
            <w:pPr>
              <w:spacing w:after="0"/>
              <w:rPr>
                <w:sz w:val="9"/>
                <w:szCs w:val="9"/>
                <w:color w:val="auto"/>
              </w:rPr>
            </w:pPr>
          </w:p>
        </w:tc>
        <w:tc>
          <w:tcPr>
            <w:tcW w:w="1660" w:type="dxa"/>
            <w:vAlign w:val="bottom"/>
            <w:tcBorders>
              <w:bottom w:val="single" w:sz="8" w:color="auto"/>
              <w:right w:val="single" w:sz="8" w:color="auto"/>
            </w:tcBorders>
          </w:tcPr>
          <w:p>
            <w:pPr>
              <w:spacing w:after="0"/>
              <w:rPr>
                <w:sz w:val="9"/>
                <w:szCs w:val="9"/>
                <w:color w:val="auto"/>
              </w:rPr>
            </w:pPr>
          </w:p>
        </w:tc>
        <w:tc>
          <w:tcPr>
            <w:tcW w:w="1120" w:type="dxa"/>
            <w:vAlign w:val="bottom"/>
            <w:tcBorders>
              <w:bottom w:val="single" w:sz="8" w:color="auto"/>
              <w:right w:val="single" w:sz="8" w:color="auto"/>
            </w:tcBorders>
          </w:tcPr>
          <w:p>
            <w:pPr>
              <w:spacing w:after="0"/>
              <w:rPr>
                <w:sz w:val="9"/>
                <w:szCs w:val="9"/>
                <w:color w:val="auto"/>
              </w:rPr>
            </w:pPr>
          </w:p>
        </w:tc>
        <w:tc>
          <w:tcPr>
            <w:tcW w:w="1860" w:type="dxa"/>
            <w:vAlign w:val="bottom"/>
            <w:tcBorders>
              <w:bottom w:val="single" w:sz="8" w:color="auto"/>
              <w:right w:val="single" w:sz="8" w:color="auto"/>
            </w:tcBorders>
          </w:tcPr>
          <w:p>
            <w:pPr>
              <w:spacing w:after="0"/>
              <w:rPr>
                <w:sz w:val="9"/>
                <w:szCs w:val="9"/>
                <w:color w:val="auto"/>
              </w:rPr>
            </w:pPr>
          </w:p>
        </w:tc>
      </w:tr>
      <w:tr>
        <w:trPr>
          <w:trHeight w:val="295"/>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АД</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измеренное   в   медицинском</w:t>
            </w: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≥140</w:t>
            </w:r>
          </w:p>
        </w:tc>
        <w:tc>
          <w:tcPr>
            <w:tcW w:w="11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r>
      <w:tr>
        <w:trPr>
          <w:trHeight w:val="330"/>
        </w:trPr>
        <w:tc>
          <w:tcPr>
            <w:tcW w:w="3820" w:type="dxa"/>
            <w:vAlign w:val="bottom"/>
            <w:tcBorders>
              <w:left w:val="single" w:sz="8" w:color="auto"/>
              <w:bottom w:val="single" w:sz="8" w:color="auto"/>
              <w:right w:val="single" w:sz="8" w:color="auto"/>
            </w:tcBorders>
          </w:tcPr>
          <w:p>
            <w:pPr>
              <w:ind w:left="160"/>
              <w:spacing w:after="0" w:line="330" w:lineRule="exact"/>
              <w:rPr>
                <w:sz w:val="20"/>
                <w:szCs w:val="20"/>
                <w:color w:val="auto"/>
              </w:rPr>
            </w:pPr>
            <w:r>
              <w:rPr>
                <w:rFonts w:ascii="Verdana" w:cs="Verdana" w:eastAsia="Verdana" w:hAnsi="Verdana"/>
                <w:sz w:val="17"/>
                <w:szCs w:val="17"/>
                <w:color w:val="auto"/>
              </w:rPr>
              <w:t xml:space="preserve">учреждении </w:t>
            </w:r>
            <w:r>
              <w:rPr>
                <w:rFonts w:ascii="Verdana" w:cs="Verdana" w:eastAsia="Verdana" w:hAnsi="Verdana"/>
                <w:sz w:val="33"/>
                <w:szCs w:val="33"/>
                <w:color w:val="auto"/>
                <w:vertAlign w:val="superscript"/>
              </w:rPr>
              <w:t>а</w:t>
            </w:r>
          </w:p>
        </w:tc>
        <w:tc>
          <w:tcPr>
            <w:tcW w:w="1660" w:type="dxa"/>
            <w:vAlign w:val="bottom"/>
            <w:tcBorders>
              <w:bottom w:val="single" w:sz="8" w:color="auto"/>
              <w:right w:val="single" w:sz="8" w:color="auto"/>
            </w:tcBorders>
          </w:tcPr>
          <w:p>
            <w:pPr>
              <w:spacing w:after="0"/>
              <w:rPr>
                <w:sz w:val="24"/>
                <w:szCs w:val="24"/>
                <w:color w:val="auto"/>
              </w:rPr>
            </w:pPr>
          </w:p>
        </w:tc>
        <w:tc>
          <w:tcPr>
            <w:tcW w:w="1120" w:type="dxa"/>
            <w:vAlign w:val="bottom"/>
            <w:tcBorders>
              <w:bottom w:val="single" w:sz="8" w:color="auto"/>
              <w:right w:val="single" w:sz="8" w:color="auto"/>
            </w:tcBorders>
          </w:tcPr>
          <w:p>
            <w:pPr>
              <w:spacing w:after="0"/>
              <w:rPr>
                <w:sz w:val="24"/>
                <w:szCs w:val="24"/>
                <w:color w:val="auto"/>
              </w:rPr>
            </w:pPr>
          </w:p>
        </w:tc>
        <w:tc>
          <w:tcPr>
            <w:tcW w:w="1860" w:type="dxa"/>
            <w:vAlign w:val="bottom"/>
            <w:tcBorders>
              <w:bottom w:val="single" w:sz="8" w:color="auto"/>
              <w:right w:val="single" w:sz="8" w:color="auto"/>
            </w:tcBorders>
          </w:tcPr>
          <w:p>
            <w:pPr>
              <w:spacing w:after="0"/>
              <w:rPr>
                <w:sz w:val="24"/>
                <w:szCs w:val="24"/>
                <w:color w:val="auto"/>
              </w:rPr>
            </w:pPr>
          </w:p>
        </w:tc>
      </w:tr>
      <w:tr>
        <w:trPr>
          <w:trHeight w:val="343"/>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Амбулаторное АД</w:t>
            </w:r>
          </w:p>
        </w:tc>
        <w:tc>
          <w:tcPr>
            <w:tcW w:w="1660" w:type="dxa"/>
            <w:vAlign w:val="bottom"/>
            <w:tcBorders>
              <w:right w:val="single" w:sz="8" w:color="auto"/>
            </w:tcBorders>
          </w:tcPr>
          <w:p>
            <w:pPr>
              <w:spacing w:after="0"/>
              <w:rPr>
                <w:sz w:val="24"/>
                <w:szCs w:val="24"/>
                <w:color w:val="auto"/>
              </w:rPr>
            </w:pPr>
          </w:p>
        </w:tc>
        <w:tc>
          <w:tcPr>
            <w:tcW w:w="1120" w:type="dxa"/>
            <w:vAlign w:val="bottom"/>
            <w:tcBorders>
              <w:right w:val="single" w:sz="8" w:color="auto"/>
            </w:tcBorders>
          </w:tcPr>
          <w:p>
            <w:pPr>
              <w:spacing w:after="0"/>
              <w:rPr>
                <w:sz w:val="24"/>
                <w:szCs w:val="24"/>
                <w:color w:val="auto"/>
              </w:rPr>
            </w:pPr>
          </w:p>
        </w:tc>
        <w:tc>
          <w:tcPr>
            <w:tcW w:w="1860" w:type="dxa"/>
            <w:vAlign w:val="bottom"/>
            <w:tcBorders>
              <w:right w:val="single" w:sz="8" w:color="auto"/>
            </w:tcBorders>
          </w:tcPr>
          <w:p>
            <w:pPr>
              <w:spacing w:after="0"/>
              <w:rPr>
                <w:sz w:val="24"/>
                <w:szCs w:val="24"/>
                <w:color w:val="auto"/>
              </w:rPr>
            </w:pPr>
          </w:p>
        </w:tc>
      </w:tr>
      <w:tr>
        <w:trPr>
          <w:trHeight w:val="117"/>
        </w:trPr>
        <w:tc>
          <w:tcPr>
            <w:tcW w:w="3820" w:type="dxa"/>
            <w:vAlign w:val="bottom"/>
            <w:tcBorders>
              <w:left w:val="single" w:sz="8" w:color="auto"/>
              <w:bottom w:val="single" w:sz="8" w:color="auto"/>
              <w:right w:val="single" w:sz="8" w:color="auto"/>
            </w:tcBorders>
          </w:tcPr>
          <w:p>
            <w:pPr>
              <w:spacing w:after="0"/>
              <w:rPr>
                <w:sz w:val="10"/>
                <w:szCs w:val="10"/>
                <w:color w:val="auto"/>
              </w:rPr>
            </w:pPr>
          </w:p>
        </w:tc>
        <w:tc>
          <w:tcPr>
            <w:tcW w:w="1660" w:type="dxa"/>
            <w:vAlign w:val="bottom"/>
            <w:tcBorders>
              <w:bottom w:val="single" w:sz="8" w:color="auto"/>
              <w:right w:val="single" w:sz="8" w:color="auto"/>
            </w:tcBorders>
          </w:tcPr>
          <w:p>
            <w:pPr>
              <w:spacing w:after="0"/>
              <w:rPr>
                <w:sz w:val="10"/>
                <w:szCs w:val="10"/>
                <w:color w:val="auto"/>
              </w:rPr>
            </w:pPr>
          </w:p>
        </w:tc>
        <w:tc>
          <w:tcPr>
            <w:tcW w:w="1120" w:type="dxa"/>
            <w:vAlign w:val="bottom"/>
            <w:tcBorders>
              <w:bottom w:val="single" w:sz="8" w:color="auto"/>
              <w:right w:val="single" w:sz="8" w:color="auto"/>
            </w:tcBorders>
          </w:tcPr>
          <w:p>
            <w:pPr>
              <w:spacing w:after="0"/>
              <w:rPr>
                <w:sz w:val="10"/>
                <w:szCs w:val="10"/>
                <w:color w:val="auto"/>
              </w:rPr>
            </w:pPr>
          </w:p>
        </w:tc>
        <w:tc>
          <w:tcPr>
            <w:tcW w:w="1860" w:type="dxa"/>
            <w:vAlign w:val="bottom"/>
            <w:tcBorders>
              <w:bottom w:val="single" w:sz="8" w:color="auto"/>
              <w:right w:val="single" w:sz="8" w:color="auto"/>
            </w:tcBorders>
          </w:tcPr>
          <w:p>
            <w:pPr>
              <w:spacing w:after="0"/>
              <w:rPr>
                <w:sz w:val="10"/>
                <w:szCs w:val="10"/>
                <w:color w:val="auto"/>
              </w:rPr>
            </w:pPr>
          </w:p>
        </w:tc>
      </w:tr>
      <w:tr>
        <w:trPr>
          <w:trHeight w:val="295"/>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Дневное </w:t>
            </w:r>
            <w:r>
              <w:rPr>
                <w:rFonts w:ascii="Verdana" w:cs="Verdana" w:eastAsia="Verdana" w:hAnsi="Verdana"/>
                <w:sz w:val="17"/>
                <w:szCs w:val="17"/>
                <w:color w:val="auto"/>
              </w:rPr>
              <w:t>(</w:t>
            </w:r>
            <w:r>
              <w:rPr>
                <w:rFonts w:ascii="Verdana" w:cs="Verdana" w:eastAsia="Verdana" w:hAnsi="Verdana"/>
                <w:sz w:val="17"/>
                <w:szCs w:val="17"/>
                <w:color w:val="auto"/>
              </w:rPr>
              <w:t>или в период бодрствования</w:t>
            </w:r>
            <w:r>
              <w:rPr>
                <w:rFonts w:ascii="Verdana" w:cs="Verdana" w:eastAsia="Verdana" w:hAnsi="Verdana"/>
                <w:sz w:val="17"/>
                <w:szCs w:val="17"/>
                <w:color w:val="auto"/>
              </w:rPr>
              <w:t>),</w:t>
            </w: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≥135</w:t>
            </w:r>
          </w:p>
        </w:tc>
        <w:tc>
          <w:tcPr>
            <w:tcW w:w="11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≥85</w:t>
            </w:r>
          </w:p>
        </w:tc>
      </w:tr>
      <w:tr>
        <w:trPr>
          <w:trHeight w:val="220"/>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среднее</w:t>
            </w:r>
          </w:p>
        </w:tc>
        <w:tc>
          <w:tcPr>
            <w:tcW w:w="1660" w:type="dxa"/>
            <w:vAlign w:val="bottom"/>
            <w:tcBorders>
              <w:right w:val="single" w:sz="8" w:color="auto"/>
            </w:tcBorders>
          </w:tcPr>
          <w:p>
            <w:pPr>
              <w:spacing w:after="0"/>
              <w:rPr>
                <w:sz w:val="19"/>
                <w:szCs w:val="19"/>
                <w:color w:val="auto"/>
              </w:rPr>
            </w:pPr>
          </w:p>
        </w:tc>
        <w:tc>
          <w:tcPr>
            <w:tcW w:w="1120" w:type="dxa"/>
            <w:vAlign w:val="bottom"/>
            <w:tcBorders>
              <w:right w:val="single" w:sz="8" w:color="auto"/>
            </w:tcBorders>
          </w:tcPr>
          <w:p>
            <w:pPr>
              <w:spacing w:after="0"/>
              <w:rPr>
                <w:sz w:val="19"/>
                <w:szCs w:val="19"/>
                <w:color w:val="auto"/>
              </w:rPr>
            </w:pPr>
          </w:p>
        </w:tc>
        <w:tc>
          <w:tcPr>
            <w:tcW w:w="1860" w:type="dxa"/>
            <w:vAlign w:val="bottom"/>
            <w:tcBorders>
              <w:right w:val="single" w:sz="8" w:color="auto"/>
            </w:tcBorders>
          </w:tcPr>
          <w:p>
            <w:pPr>
              <w:spacing w:after="0"/>
              <w:rPr>
                <w:sz w:val="19"/>
                <w:szCs w:val="19"/>
                <w:color w:val="auto"/>
              </w:rPr>
            </w:pPr>
          </w:p>
        </w:tc>
      </w:tr>
      <w:tr>
        <w:trPr>
          <w:trHeight w:val="110"/>
        </w:trPr>
        <w:tc>
          <w:tcPr>
            <w:tcW w:w="3820" w:type="dxa"/>
            <w:vAlign w:val="bottom"/>
            <w:tcBorders>
              <w:left w:val="single" w:sz="8" w:color="auto"/>
              <w:bottom w:val="single" w:sz="8" w:color="auto"/>
              <w:right w:val="single" w:sz="8" w:color="auto"/>
            </w:tcBorders>
          </w:tcPr>
          <w:p>
            <w:pPr>
              <w:spacing w:after="0"/>
              <w:rPr>
                <w:sz w:val="9"/>
                <w:szCs w:val="9"/>
                <w:color w:val="auto"/>
              </w:rPr>
            </w:pPr>
          </w:p>
        </w:tc>
        <w:tc>
          <w:tcPr>
            <w:tcW w:w="1660" w:type="dxa"/>
            <w:vAlign w:val="bottom"/>
            <w:tcBorders>
              <w:bottom w:val="single" w:sz="8" w:color="auto"/>
              <w:right w:val="single" w:sz="8" w:color="auto"/>
            </w:tcBorders>
          </w:tcPr>
          <w:p>
            <w:pPr>
              <w:spacing w:after="0"/>
              <w:rPr>
                <w:sz w:val="9"/>
                <w:szCs w:val="9"/>
                <w:color w:val="auto"/>
              </w:rPr>
            </w:pPr>
          </w:p>
        </w:tc>
        <w:tc>
          <w:tcPr>
            <w:tcW w:w="1120" w:type="dxa"/>
            <w:vAlign w:val="bottom"/>
            <w:tcBorders>
              <w:bottom w:val="single" w:sz="8" w:color="auto"/>
              <w:right w:val="single" w:sz="8" w:color="auto"/>
            </w:tcBorders>
          </w:tcPr>
          <w:p>
            <w:pPr>
              <w:spacing w:after="0"/>
              <w:rPr>
                <w:sz w:val="9"/>
                <w:szCs w:val="9"/>
                <w:color w:val="auto"/>
              </w:rPr>
            </w:pPr>
          </w:p>
        </w:tc>
        <w:tc>
          <w:tcPr>
            <w:tcW w:w="1860" w:type="dxa"/>
            <w:vAlign w:val="bottom"/>
            <w:tcBorders>
              <w:bottom w:val="single" w:sz="8" w:color="auto"/>
              <w:right w:val="single" w:sz="8" w:color="auto"/>
            </w:tcBorders>
          </w:tcPr>
          <w:p>
            <w:pPr>
              <w:spacing w:after="0"/>
              <w:rPr>
                <w:sz w:val="9"/>
                <w:szCs w:val="9"/>
                <w:color w:val="auto"/>
              </w:rPr>
            </w:pPr>
          </w:p>
        </w:tc>
      </w:tr>
      <w:tr>
        <w:trPr>
          <w:trHeight w:val="343"/>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Ночное </w:t>
            </w:r>
            <w:r>
              <w:rPr>
                <w:rFonts w:ascii="Verdana" w:cs="Verdana" w:eastAsia="Verdana" w:hAnsi="Verdana"/>
                <w:sz w:val="17"/>
                <w:szCs w:val="17"/>
                <w:color w:val="auto"/>
              </w:rPr>
              <w:t>(</w:t>
            </w:r>
            <w:r>
              <w:rPr>
                <w:rFonts w:ascii="Verdana" w:cs="Verdana" w:eastAsia="Verdana" w:hAnsi="Verdana"/>
                <w:sz w:val="17"/>
                <w:szCs w:val="17"/>
                <w:color w:val="auto"/>
              </w:rPr>
              <w:t>или во время сна</w:t>
            </w:r>
            <w:r>
              <w:rPr>
                <w:rFonts w:ascii="Verdana" w:cs="Verdana" w:eastAsia="Verdana" w:hAnsi="Verdana"/>
                <w:sz w:val="17"/>
                <w:szCs w:val="17"/>
                <w:color w:val="auto"/>
              </w:rPr>
              <w:t>),</w:t>
            </w:r>
            <w:r>
              <w:rPr>
                <w:rFonts w:ascii="Verdana" w:cs="Verdana" w:eastAsia="Verdana" w:hAnsi="Verdana"/>
                <w:sz w:val="17"/>
                <w:szCs w:val="17"/>
                <w:color w:val="auto"/>
              </w:rPr>
              <w:t xml:space="preserve"> среднее</w:t>
            </w: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≥120</w:t>
            </w:r>
          </w:p>
        </w:tc>
        <w:tc>
          <w:tcPr>
            <w:tcW w:w="11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≥70</w:t>
            </w:r>
          </w:p>
        </w:tc>
      </w:tr>
      <w:tr>
        <w:trPr>
          <w:trHeight w:val="117"/>
        </w:trPr>
        <w:tc>
          <w:tcPr>
            <w:tcW w:w="3820" w:type="dxa"/>
            <w:vAlign w:val="bottom"/>
            <w:tcBorders>
              <w:left w:val="single" w:sz="8" w:color="auto"/>
              <w:bottom w:val="single" w:sz="8" w:color="auto"/>
              <w:right w:val="single" w:sz="8" w:color="auto"/>
            </w:tcBorders>
          </w:tcPr>
          <w:p>
            <w:pPr>
              <w:spacing w:after="0"/>
              <w:rPr>
                <w:sz w:val="10"/>
                <w:szCs w:val="10"/>
                <w:color w:val="auto"/>
              </w:rPr>
            </w:pPr>
          </w:p>
        </w:tc>
        <w:tc>
          <w:tcPr>
            <w:tcW w:w="1660" w:type="dxa"/>
            <w:vAlign w:val="bottom"/>
            <w:tcBorders>
              <w:bottom w:val="single" w:sz="8" w:color="auto"/>
              <w:right w:val="single" w:sz="8" w:color="auto"/>
            </w:tcBorders>
          </w:tcPr>
          <w:p>
            <w:pPr>
              <w:spacing w:after="0"/>
              <w:rPr>
                <w:sz w:val="10"/>
                <w:szCs w:val="10"/>
                <w:color w:val="auto"/>
              </w:rPr>
            </w:pPr>
          </w:p>
        </w:tc>
        <w:tc>
          <w:tcPr>
            <w:tcW w:w="1120" w:type="dxa"/>
            <w:vAlign w:val="bottom"/>
            <w:tcBorders>
              <w:bottom w:val="single" w:sz="8" w:color="auto"/>
              <w:right w:val="single" w:sz="8" w:color="auto"/>
            </w:tcBorders>
          </w:tcPr>
          <w:p>
            <w:pPr>
              <w:spacing w:after="0"/>
              <w:rPr>
                <w:sz w:val="10"/>
                <w:szCs w:val="10"/>
                <w:color w:val="auto"/>
              </w:rPr>
            </w:pPr>
          </w:p>
        </w:tc>
        <w:tc>
          <w:tcPr>
            <w:tcW w:w="1860" w:type="dxa"/>
            <w:vAlign w:val="bottom"/>
            <w:tcBorders>
              <w:bottom w:val="single" w:sz="8" w:color="auto"/>
              <w:right w:val="single" w:sz="8" w:color="auto"/>
            </w:tcBorders>
          </w:tcPr>
          <w:p>
            <w:pPr>
              <w:spacing w:after="0"/>
              <w:rPr>
                <w:sz w:val="10"/>
                <w:szCs w:val="10"/>
                <w:color w:val="auto"/>
              </w:rPr>
            </w:pPr>
          </w:p>
        </w:tc>
      </w:tr>
      <w:tr>
        <w:trPr>
          <w:trHeight w:val="343"/>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Среднее за </w:t>
            </w:r>
            <w:r>
              <w:rPr>
                <w:rFonts w:ascii="Verdana" w:cs="Verdana" w:eastAsia="Verdana" w:hAnsi="Verdana"/>
                <w:sz w:val="17"/>
                <w:szCs w:val="17"/>
                <w:color w:val="auto"/>
              </w:rPr>
              <w:t>24</w:t>
            </w:r>
            <w:r>
              <w:rPr>
                <w:rFonts w:ascii="Verdana" w:cs="Verdana" w:eastAsia="Verdana" w:hAnsi="Verdana"/>
                <w:sz w:val="17"/>
                <w:szCs w:val="17"/>
                <w:color w:val="auto"/>
              </w:rPr>
              <w:t xml:space="preserve"> часа</w:t>
            </w: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≥130</w:t>
            </w:r>
          </w:p>
        </w:tc>
        <w:tc>
          <w:tcPr>
            <w:tcW w:w="11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≥80</w:t>
            </w:r>
          </w:p>
        </w:tc>
      </w:tr>
      <w:tr>
        <w:trPr>
          <w:trHeight w:val="117"/>
        </w:trPr>
        <w:tc>
          <w:tcPr>
            <w:tcW w:w="3820" w:type="dxa"/>
            <w:vAlign w:val="bottom"/>
            <w:tcBorders>
              <w:left w:val="single" w:sz="8" w:color="auto"/>
              <w:bottom w:val="single" w:sz="8" w:color="auto"/>
              <w:right w:val="single" w:sz="8" w:color="auto"/>
            </w:tcBorders>
          </w:tcPr>
          <w:p>
            <w:pPr>
              <w:spacing w:after="0"/>
              <w:rPr>
                <w:sz w:val="10"/>
                <w:szCs w:val="10"/>
                <w:color w:val="auto"/>
              </w:rPr>
            </w:pPr>
          </w:p>
        </w:tc>
        <w:tc>
          <w:tcPr>
            <w:tcW w:w="1660" w:type="dxa"/>
            <w:vAlign w:val="bottom"/>
            <w:tcBorders>
              <w:bottom w:val="single" w:sz="8" w:color="auto"/>
              <w:right w:val="single" w:sz="8" w:color="auto"/>
            </w:tcBorders>
          </w:tcPr>
          <w:p>
            <w:pPr>
              <w:spacing w:after="0"/>
              <w:rPr>
                <w:sz w:val="10"/>
                <w:szCs w:val="10"/>
                <w:color w:val="auto"/>
              </w:rPr>
            </w:pPr>
          </w:p>
        </w:tc>
        <w:tc>
          <w:tcPr>
            <w:tcW w:w="1120" w:type="dxa"/>
            <w:vAlign w:val="bottom"/>
            <w:tcBorders>
              <w:bottom w:val="single" w:sz="8" w:color="auto"/>
              <w:right w:val="single" w:sz="8" w:color="auto"/>
            </w:tcBorders>
          </w:tcPr>
          <w:p>
            <w:pPr>
              <w:spacing w:after="0"/>
              <w:rPr>
                <w:sz w:val="10"/>
                <w:szCs w:val="10"/>
                <w:color w:val="auto"/>
              </w:rPr>
            </w:pPr>
          </w:p>
        </w:tc>
        <w:tc>
          <w:tcPr>
            <w:tcW w:w="1860" w:type="dxa"/>
            <w:vAlign w:val="bottom"/>
            <w:tcBorders>
              <w:bottom w:val="single" w:sz="8" w:color="auto"/>
              <w:right w:val="single" w:sz="8" w:color="auto"/>
            </w:tcBorders>
          </w:tcPr>
          <w:p>
            <w:pPr>
              <w:spacing w:after="0"/>
              <w:rPr>
                <w:sz w:val="10"/>
                <w:szCs w:val="10"/>
                <w:color w:val="auto"/>
              </w:rPr>
            </w:pPr>
          </w:p>
        </w:tc>
      </w:tr>
      <w:tr>
        <w:trPr>
          <w:trHeight w:val="343"/>
        </w:trPr>
        <w:tc>
          <w:tcPr>
            <w:tcW w:w="382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Среднее при домашних измерениях</w:t>
            </w:r>
          </w:p>
        </w:tc>
        <w:tc>
          <w:tcPr>
            <w:tcW w:w="16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≥135</w:t>
            </w:r>
          </w:p>
        </w:tc>
        <w:tc>
          <w:tcPr>
            <w:tcW w:w="11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18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≥85</w:t>
            </w:r>
          </w:p>
        </w:tc>
      </w:tr>
      <w:tr>
        <w:trPr>
          <w:trHeight w:val="117"/>
        </w:trPr>
        <w:tc>
          <w:tcPr>
            <w:tcW w:w="3820" w:type="dxa"/>
            <w:vAlign w:val="bottom"/>
            <w:tcBorders>
              <w:left w:val="single" w:sz="8" w:color="auto"/>
              <w:bottom w:val="single" w:sz="8" w:color="auto"/>
              <w:right w:val="single" w:sz="8" w:color="auto"/>
            </w:tcBorders>
          </w:tcPr>
          <w:p>
            <w:pPr>
              <w:spacing w:after="0"/>
              <w:rPr>
                <w:sz w:val="10"/>
                <w:szCs w:val="10"/>
                <w:color w:val="auto"/>
              </w:rPr>
            </w:pPr>
          </w:p>
        </w:tc>
        <w:tc>
          <w:tcPr>
            <w:tcW w:w="1660" w:type="dxa"/>
            <w:vAlign w:val="bottom"/>
            <w:tcBorders>
              <w:bottom w:val="single" w:sz="8" w:color="auto"/>
              <w:right w:val="single" w:sz="8" w:color="auto"/>
            </w:tcBorders>
          </w:tcPr>
          <w:p>
            <w:pPr>
              <w:spacing w:after="0"/>
              <w:rPr>
                <w:sz w:val="10"/>
                <w:szCs w:val="10"/>
                <w:color w:val="auto"/>
              </w:rPr>
            </w:pPr>
          </w:p>
        </w:tc>
        <w:tc>
          <w:tcPr>
            <w:tcW w:w="1120" w:type="dxa"/>
            <w:vAlign w:val="bottom"/>
            <w:tcBorders>
              <w:bottom w:val="single" w:sz="8" w:color="auto"/>
              <w:right w:val="single" w:sz="8" w:color="auto"/>
            </w:tcBorders>
          </w:tcPr>
          <w:p>
            <w:pPr>
              <w:spacing w:after="0"/>
              <w:rPr>
                <w:sz w:val="10"/>
                <w:szCs w:val="10"/>
                <w:color w:val="auto"/>
              </w:rPr>
            </w:pPr>
          </w:p>
        </w:tc>
        <w:tc>
          <w:tcPr>
            <w:tcW w:w="1860" w:type="dxa"/>
            <w:vAlign w:val="bottom"/>
            <w:tcBorders>
              <w:bottom w:val="single" w:sz="8" w:color="auto"/>
              <w:right w:val="single" w:sz="8" w:color="auto"/>
            </w:tcBorders>
          </w:tcPr>
          <w:p>
            <w:pPr>
              <w:spacing w:after="0"/>
              <w:rPr>
                <w:sz w:val="10"/>
                <w:szCs w:val="10"/>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10/</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Этапы оценки сердечно</w:t>
      </w:r>
      <w:r>
        <w:rPr>
          <w:rFonts w:ascii="Arial" w:cs="Arial" w:eastAsia="Arial" w:hAnsi="Arial"/>
          <w:sz w:val="27"/>
          <w:szCs w:val="27"/>
          <w:b w:val="1"/>
          <w:bCs w:val="1"/>
          <w:color w:val="auto"/>
        </w:rPr>
        <w:t>-</w:t>
      </w:r>
      <w:r>
        <w:rPr>
          <w:rFonts w:ascii="Arial" w:cs="Arial" w:eastAsia="Arial" w:hAnsi="Arial"/>
          <w:sz w:val="27"/>
          <w:szCs w:val="27"/>
          <w:b w:val="1"/>
          <w:bCs w:val="1"/>
          <w:color w:val="auto"/>
        </w:rPr>
        <w:t>сосудистого риска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209550</wp:posOffset>
            </wp:positionV>
            <wp:extent cx="5365115" cy="314325"/>
            <wp:wrapNone/>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83">
                      <a:extLst>
                        <a:ext uri="{28A0092B-C50C-407E-A947-70E740481C1C}"/>
                      </a:extLst>
                    </a:blip>
                    <a:srcRect/>
                    <a:stretch>
                      <a:fillRect/>
                    </a:stretch>
                  </pic:blipFill>
                  <pic:spPr bwMode="auto">
                    <a:xfrm>
                      <a:off x="0" y="0"/>
                      <a:ext cx="5365115" cy="314325"/>
                    </a:xfrm>
                    <a:prstGeom prst="rect">
                      <a:avLst/>
                    </a:prstGeom>
                    <a:noFill/>
                  </pic:spPr>
                </pic:pic>
              </a:graphicData>
            </a:graphic>
          </wp:anchor>
        </w:drawing>
      </w:r>
    </w:p>
    <w:p>
      <w:pPr>
        <w:sectPr>
          <w:pgSz w:w="11900" w:h="16840" w:orient="portrait"/>
          <w:cols w:equalWidth="0" w:num="1">
            <w:col w:w="9020"/>
          </w:cols>
          <w:pgMar w:left="1440" w:top="0" w:right="1440" w:bottom="0" w:gutter="0" w:footer="0" w:header="0"/>
        </w:sectPr>
      </w:pPr>
    </w:p>
    <w:p>
      <w:pPr>
        <w:spacing w:after="0" w:line="200" w:lineRule="exact"/>
        <w:rPr>
          <w:sz w:val="20"/>
          <w:szCs w:val="20"/>
          <w:color w:val="auto"/>
        </w:rPr>
      </w:pPr>
    </w:p>
    <w:p>
      <w:pPr>
        <w:spacing w:after="0" w:line="274" w:lineRule="exact"/>
        <w:rPr>
          <w:sz w:val="20"/>
          <w:szCs w:val="20"/>
          <w:color w:val="auto"/>
        </w:rPr>
      </w:pPr>
    </w:p>
    <w:p>
      <w:pPr>
        <w:ind w:left="520"/>
        <w:spacing w:after="0"/>
        <w:tabs>
          <w:tab w:leader="none" w:pos="2960" w:val="left"/>
        </w:tabs>
        <w:rPr>
          <w:sz w:val="20"/>
          <w:szCs w:val="20"/>
          <w:color w:val="auto"/>
        </w:rPr>
      </w:pPr>
      <w:r>
        <w:rPr>
          <w:rFonts w:ascii="Verdana" w:cs="Verdana" w:eastAsia="Verdana" w:hAnsi="Verdana"/>
          <w:sz w:val="17"/>
          <w:szCs w:val="17"/>
          <w:color w:val="auto"/>
        </w:rPr>
        <w:t>Этапы обследования</w:t>
      </w:r>
      <w:r>
        <w:rPr>
          <w:sz w:val="20"/>
          <w:szCs w:val="20"/>
          <w:color w:val="auto"/>
        </w:rPr>
        <w:tab/>
      </w:r>
      <w:r>
        <w:rPr>
          <w:rFonts w:ascii="Verdana" w:cs="Verdana" w:eastAsia="Verdana" w:hAnsi="Verdana"/>
          <w:sz w:val="15"/>
          <w:szCs w:val="15"/>
          <w:color w:val="auto"/>
        </w:rPr>
        <w:t>Необходимые процедуры</w:t>
      </w:r>
    </w:p>
    <w:p>
      <w:pPr>
        <w:spacing w:after="0" w:line="20" w:lineRule="exact"/>
        <w:rPr>
          <w:sz w:val="20"/>
          <w:szCs w:val="20"/>
          <w:color w:val="auto"/>
        </w:rPr>
      </w:pPr>
    </w:p>
    <w:p>
      <w:pPr>
        <w:sectPr>
          <w:pgSz w:w="11900" w:h="16840" w:orient="portrait"/>
          <w:cols w:equalWidth="0" w:num="1">
            <w:col w:w="9020"/>
          </w:cols>
          <w:pgMar w:left="1440" w:top="0" w:right="1440" w:bottom="0" w:gutter="0" w:footer="0" w:header="0"/>
          <w:type w:val="continuous"/>
        </w:sectPr>
      </w:pPr>
    </w:p>
    <w:bookmarkStart w:id="142" w:name="page143"/>
    <w:bookmarkEnd w:id="142"/>
    <w:tbl>
      <w:tblPr>
        <w:tblLayout w:type="fixed"/>
        <w:tblInd w:w="370" w:type="dxa"/>
        <w:tblCellMar>
          <w:top w:w="0" w:type="dxa"/>
          <w:left w:w="0" w:type="dxa"/>
          <w:bottom w:w="0" w:type="dxa"/>
          <w:right w:w="0" w:type="dxa"/>
        </w:tblCellMar>
      </w:tblPr>
      <w:tr>
        <w:trPr>
          <w:trHeight w:val="295"/>
        </w:trPr>
        <w:tc>
          <w:tcPr>
            <w:tcW w:w="2480" w:type="dxa"/>
            <w:vAlign w:val="bottom"/>
            <w:tcBorders>
              <w:top w:val="single" w:sz="8" w:color="auto"/>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Клиническая оценка</w:t>
            </w:r>
          </w:p>
        </w:tc>
        <w:tc>
          <w:tcPr>
            <w:tcW w:w="5980" w:type="dxa"/>
            <w:vAlign w:val="bottom"/>
            <w:tcBorders>
              <w:top w:val="single" w:sz="8" w:color="auto"/>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Выявление пациентов высокого и очень высокого риска на</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основании  документированных  ССЗ</w:t>
            </w:r>
            <w:r>
              <w:rPr>
                <w:rFonts w:ascii="Verdana" w:cs="Verdana" w:eastAsia="Verdana" w:hAnsi="Verdana"/>
                <w:sz w:val="17"/>
                <w:szCs w:val="17"/>
                <w:color w:val="auto"/>
              </w:rPr>
              <w:t>,</w:t>
            </w:r>
            <w:r>
              <w:rPr>
                <w:rFonts w:ascii="Verdana" w:cs="Verdana" w:eastAsia="Verdana" w:hAnsi="Verdana"/>
                <w:sz w:val="17"/>
                <w:szCs w:val="17"/>
                <w:color w:val="auto"/>
              </w:rPr>
              <w:t xml:space="preserve">  СД</w:t>
            </w:r>
            <w:r>
              <w:rPr>
                <w:rFonts w:ascii="Verdana" w:cs="Verdana" w:eastAsia="Verdana" w:hAnsi="Verdana"/>
                <w:sz w:val="17"/>
                <w:szCs w:val="17"/>
                <w:color w:val="auto"/>
              </w:rPr>
              <w:t>,</w:t>
            </w:r>
            <w:r>
              <w:rPr>
                <w:rFonts w:ascii="Verdana" w:cs="Verdana" w:eastAsia="Verdana" w:hAnsi="Verdana"/>
                <w:sz w:val="17"/>
                <w:szCs w:val="17"/>
                <w:color w:val="auto"/>
              </w:rPr>
              <w:t xml:space="preserve">  ХБП  </w:t>
            </w:r>
            <w:r>
              <w:rPr>
                <w:rFonts w:ascii="Verdana" w:cs="Verdana" w:eastAsia="Verdana" w:hAnsi="Verdana"/>
                <w:sz w:val="17"/>
                <w:szCs w:val="17"/>
                <w:color w:val="auto"/>
              </w:rPr>
              <w:t>3–5-</w:t>
            </w:r>
            <w:r>
              <w:rPr>
                <w:rFonts w:ascii="Verdana" w:cs="Verdana" w:eastAsia="Verdana" w:hAnsi="Verdana"/>
                <w:sz w:val="17"/>
                <w:szCs w:val="17"/>
                <w:color w:val="auto"/>
              </w:rPr>
              <w:t>й  стадий</w:t>
            </w:r>
            <w:r>
              <w:rPr>
                <w:rFonts w:ascii="Verdana" w:cs="Verdana" w:eastAsia="Verdana" w:hAnsi="Verdana"/>
                <w:sz w:val="17"/>
                <w:szCs w:val="17"/>
                <w:color w:val="auto"/>
              </w:rPr>
              <w:t>,</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чрезмерного повышения отдельных факторов риска</w:t>
            </w:r>
            <w:r>
              <w:rPr>
                <w:rFonts w:ascii="Verdana" w:cs="Verdana" w:eastAsia="Verdana" w:hAnsi="Verdana"/>
                <w:sz w:val="17"/>
                <w:szCs w:val="17"/>
                <w:color w:val="auto"/>
              </w:rPr>
              <w:t>,</w:t>
            </w:r>
            <w:r>
              <w:rPr>
                <w:rFonts w:ascii="Verdana" w:cs="Verdana" w:eastAsia="Verdana" w:hAnsi="Verdana"/>
                <w:sz w:val="17"/>
                <w:szCs w:val="17"/>
                <w:color w:val="auto"/>
              </w:rPr>
              <w:t xml:space="preserve"> семейной</w:t>
            </w:r>
          </w:p>
        </w:tc>
      </w:tr>
      <w:tr>
        <w:trPr>
          <w:trHeight w:val="220"/>
        </w:trPr>
        <w:tc>
          <w:tcPr>
            <w:tcW w:w="1280" w:type="dxa"/>
            <w:vAlign w:val="bottom"/>
            <w:tcBorders>
              <w:left w:val="single" w:sz="8" w:color="auto"/>
            </w:tcBorders>
          </w:tcPr>
          <w:p>
            <w:pPr>
              <w:spacing w:after="0"/>
              <w:rPr>
                <w:sz w:val="19"/>
                <w:szCs w:val="19"/>
                <w:color w:val="auto"/>
              </w:rPr>
            </w:pPr>
          </w:p>
        </w:tc>
        <w:tc>
          <w:tcPr>
            <w:tcW w:w="1200" w:type="dxa"/>
            <w:vAlign w:val="bottom"/>
            <w:tcBorders>
              <w:right w:val="single" w:sz="8" w:color="auto"/>
            </w:tcBorders>
          </w:tcPr>
          <w:p>
            <w:pPr>
              <w:spacing w:after="0"/>
              <w:rPr>
                <w:sz w:val="19"/>
                <w:szCs w:val="19"/>
                <w:color w:val="auto"/>
              </w:rPr>
            </w:pPr>
          </w:p>
        </w:tc>
        <w:tc>
          <w:tcPr>
            <w:tcW w:w="4960" w:type="dxa"/>
            <w:vAlign w:val="bottom"/>
            <w:gridSpan w:val="4"/>
          </w:tcPr>
          <w:p>
            <w:pPr>
              <w:ind w:left="140"/>
              <w:spacing w:after="0"/>
              <w:rPr>
                <w:sz w:val="20"/>
                <w:szCs w:val="20"/>
                <w:color w:val="auto"/>
              </w:rPr>
            </w:pPr>
            <w:r>
              <w:rPr>
                <w:rFonts w:ascii="Verdana" w:cs="Verdana" w:eastAsia="Verdana" w:hAnsi="Verdana"/>
                <w:sz w:val="17"/>
                <w:szCs w:val="17"/>
                <w:color w:val="auto"/>
              </w:rPr>
              <w:t xml:space="preserve">гиперхолестеринемии или высокого риска по </w:t>
            </w:r>
            <w:r>
              <w:rPr>
                <w:rFonts w:ascii="Verdana" w:cs="Verdana" w:eastAsia="Verdana" w:hAnsi="Verdana"/>
                <w:sz w:val="17"/>
                <w:szCs w:val="17"/>
                <w:color w:val="auto"/>
              </w:rPr>
              <w:t>SCORE</w:t>
            </w:r>
          </w:p>
        </w:tc>
        <w:tc>
          <w:tcPr>
            <w:tcW w:w="1020" w:type="dxa"/>
            <w:vAlign w:val="bottom"/>
            <w:tcBorders>
              <w:right w:val="single" w:sz="8" w:color="auto"/>
            </w:tcBorders>
          </w:tcPr>
          <w:p>
            <w:pPr>
              <w:spacing w:after="0"/>
              <w:rPr>
                <w:sz w:val="19"/>
                <w:szCs w:val="19"/>
                <w:color w:val="auto"/>
              </w:rPr>
            </w:pPr>
          </w:p>
        </w:tc>
      </w:tr>
      <w:tr>
        <w:trPr>
          <w:trHeight w:val="110"/>
        </w:trPr>
        <w:tc>
          <w:tcPr>
            <w:tcW w:w="1280" w:type="dxa"/>
            <w:vAlign w:val="bottom"/>
            <w:tcBorders>
              <w:left w:val="single" w:sz="8" w:color="auto"/>
              <w:bottom w:val="single" w:sz="8" w:color="auto"/>
            </w:tcBorders>
          </w:tcPr>
          <w:p>
            <w:pPr>
              <w:spacing w:after="0"/>
              <w:rPr>
                <w:sz w:val="9"/>
                <w:szCs w:val="9"/>
                <w:color w:val="auto"/>
              </w:rPr>
            </w:pPr>
          </w:p>
        </w:tc>
        <w:tc>
          <w:tcPr>
            <w:tcW w:w="1200" w:type="dxa"/>
            <w:vAlign w:val="bottom"/>
            <w:tcBorders>
              <w:bottom w:val="single" w:sz="8" w:color="auto"/>
              <w:right w:val="single" w:sz="8" w:color="auto"/>
            </w:tcBorders>
          </w:tcPr>
          <w:p>
            <w:pPr>
              <w:spacing w:after="0"/>
              <w:rPr>
                <w:sz w:val="9"/>
                <w:szCs w:val="9"/>
                <w:color w:val="auto"/>
              </w:rPr>
            </w:pPr>
          </w:p>
        </w:tc>
        <w:tc>
          <w:tcPr>
            <w:tcW w:w="598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128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Оценка</w:t>
            </w:r>
          </w:p>
        </w:tc>
        <w:tc>
          <w:tcPr>
            <w:tcW w:w="12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10-</w:t>
            </w:r>
            <w:r>
              <w:rPr>
                <w:rFonts w:ascii="Verdana" w:cs="Verdana" w:eastAsia="Verdana" w:hAnsi="Verdana"/>
                <w:sz w:val="17"/>
                <w:szCs w:val="17"/>
                <w:color w:val="auto"/>
              </w:rPr>
              <w:t>летнего</w:t>
            </w:r>
          </w:p>
        </w:tc>
        <w:tc>
          <w:tcPr>
            <w:tcW w:w="598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 xml:space="preserve">Проводить   оценку   риска   по   </w:t>
            </w:r>
            <w:r>
              <w:rPr>
                <w:rFonts w:ascii="Verdana" w:cs="Verdana" w:eastAsia="Verdana" w:hAnsi="Verdana"/>
                <w:sz w:val="17"/>
                <w:szCs w:val="17"/>
                <w:color w:val="auto"/>
              </w:rPr>
              <w:t>SCORE</w:t>
            </w:r>
            <w:r>
              <w:rPr>
                <w:rFonts w:ascii="Verdana" w:cs="Verdana" w:eastAsia="Verdana" w:hAnsi="Verdana"/>
                <w:sz w:val="17"/>
                <w:szCs w:val="17"/>
                <w:color w:val="auto"/>
              </w:rPr>
              <w:t xml:space="preserve">   рекомендовано   у</w:t>
            </w:r>
          </w:p>
        </w:tc>
      </w:tr>
      <w:tr>
        <w:trPr>
          <w:trHeight w:val="165"/>
        </w:trPr>
        <w:tc>
          <w:tcPr>
            <w:tcW w:w="24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 xml:space="preserve">риска по шкале </w:t>
            </w:r>
            <w:r>
              <w:rPr>
                <w:rFonts w:ascii="Verdana" w:cs="Verdana" w:eastAsia="Verdana" w:hAnsi="Verdana"/>
                <w:sz w:val="17"/>
                <w:szCs w:val="17"/>
                <w:color w:val="auto"/>
              </w:rPr>
              <w:t>SCORE</w:t>
            </w: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 xml:space="preserve">бессимптомных лиц старше </w:t>
            </w:r>
            <w:r>
              <w:rPr>
                <w:rFonts w:ascii="Verdana" w:cs="Verdana" w:eastAsia="Verdana" w:hAnsi="Verdana"/>
                <w:sz w:val="17"/>
                <w:szCs w:val="17"/>
                <w:color w:val="auto"/>
              </w:rPr>
              <w:t>40</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r>
              <w:rPr>
                <w:rFonts w:ascii="Verdana" w:cs="Verdana" w:eastAsia="Verdana" w:hAnsi="Verdana"/>
                <w:sz w:val="17"/>
                <w:szCs w:val="17"/>
                <w:color w:val="auto"/>
              </w:rPr>
              <w:t xml:space="preserve"> без анамнеза ССЗ</w:t>
            </w:r>
            <w:r>
              <w:rPr>
                <w:rFonts w:ascii="Verdana" w:cs="Verdana" w:eastAsia="Verdana" w:hAnsi="Verdana"/>
                <w:sz w:val="17"/>
                <w:szCs w:val="17"/>
                <w:color w:val="auto"/>
              </w:rPr>
              <w:t>,</w:t>
            </w:r>
            <w:r>
              <w:rPr>
                <w:rFonts w:ascii="Verdana" w:cs="Verdana" w:eastAsia="Verdana" w:hAnsi="Verdana"/>
                <w:sz w:val="17"/>
                <w:szCs w:val="17"/>
                <w:color w:val="auto"/>
              </w:rPr>
              <w:t xml:space="preserve"> СД</w:t>
            </w:r>
            <w:r>
              <w:rPr>
                <w:rFonts w:ascii="Verdana" w:cs="Verdana" w:eastAsia="Verdana" w:hAnsi="Verdana"/>
                <w:sz w:val="17"/>
                <w:szCs w:val="17"/>
                <w:color w:val="auto"/>
              </w:rPr>
              <w:t>,</w:t>
            </w:r>
            <w:r>
              <w:rPr>
                <w:rFonts w:ascii="Verdana" w:cs="Verdana" w:eastAsia="Verdana" w:hAnsi="Verdana"/>
                <w:sz w:val="17"/>
                <w:szCs w:val="17"/>
                <w:color w:val="auto"/>
              </w:rPr>
              <w:t xml:space="preserve"> ХБП</w:t>
            </w:r>
            <w:r>
              <w:rPr>
                <w:rFonts w:ascii="Verdana" w:cs="Verdana" w:eastAsia="Verdana" w:hAnsi="Verdana"/>
                <w:sz w:val="17"/>
                <w:szCs w:val="17"/>
                <w:color w:val="auto"/>
              </w:rPr>
              <w:t>,</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семейной  гиперхолестирнемии  или  повышения  ХС</w:t>
            </w:r>
            <w:r>
              <w:rPr>
                <w:rFonts w:ascii="Verdana" w:cs="Verdana" w:eastAsia="Verdana" w:hAnsi="Verdana"/>
                <w:sz w:val="17"/>
                <w:szCs w:val="17"/>
                <w:color w:val="auto"/>
              </w:rPr>
              <w:t>-</w:t>
            </w:r>
            <w:r>
              <w:rPr>
                <w:rFonts w:ascii="Verdana" w:cs="Verdana" w:eastAsia="Verdana" w:hAnsi="Verdana"/>
                <w:sz w:val="17"/>
                <w:szCs w:val="17"/>
                <w:color w:val="auto"/>
              </w:rPr>
              <w:t xml:space="preserve">ЛНП  </w:t>
            </w:r>
            <w:r>
              <w:rPr>
                <w:rFonts w:ascii="Verdana" w:cs="Verdana" w:eastAsia="Verdana" w:hAnsi="Verdana"/>
                <w:sz w:val="17"/>
                <w:szCs w:val="17"/>
                <w:color w:val="auto"/>
              </w:rPr>
              <w:t>&gt;4,9</w:t>
            </w:r>
          </w:p>
        </w:tc>
      </w:tr>
      <w:tr>
        <w:trPr>
          <w:trHeight w:val="220"/>
        </w:trPr>
        <w:tc>
          <w:tcPr>
            <w:tcW w:w="1280" w:type="dxa"/>
            <w:vAlign w:val="bottom"/>
            <w:tcBorders>
              <w:left w:val="single" w:sz="8" w:color="auto"/>
            </w:tcBorders>
          </w:tcPr>
          <w:p>
            <w:pPr>
              <w:spacing w:after="0"/>
              <w:rPr>
                <w:sz w:val="19"/>
                <w:szCs w:val="19"/>
                <w:color w:val="auto"/>
              </w:rPr>
            </w:pPr>
          </w:p>
        </w:tc>
        <w:tc>
          <w:tcPr>
            <w:tcW w:w="1200" w:type="dxa"/>
            <w:vAlign w:val="bottom"/>
            <w:tcBorders>
              <w:right w:val="single" w:sz="8" w:color="auto"/>
            </w:tcBorders>
          </w:tcPr>
          <w:p>
            <w:pPr>
              <w:spacing w:after="0"/>
              <w:rPr>
                <w:sz w:val="19"/>
                <w:szCs w:val="19"/>
                <w:color w:val="auto"/>
              </w:rPr>
            </w:pPr>
          </w:p>
        </w:tc>
        <w:tc>
          <w:tcPr>
            <w:tcW w:w="2580" w:type="dxa"/>
            <w:vAlign w:val="bottom"/>
            <w:gridSpan w:val="2"/>
          </w:tcPr>
          <w:p>
            <w:pPr>
              <w:ind w:left="140"/>
              <w:spacing w:after="0"/>
              <w:rPr>
                <w:sz w:val="20"/>
                <w:szCs w:val="20"/>
                <w:color w:val="auto"/>
              </w:rPr>
            </w:pPr>
            <w:r>
              <w:rPr>
                <w:rFonts w:ascii="Verdana" w:cs="Verdana" w:eastAsia="Verdana" w:hAnsi="Verdana"/>
                <w:sz w:val="17"/>
                <w:szCs w:val="17"/>
                <w:color w:val="auto"/>
              </w:rPr>
              <w:t>ммоль</w:t>
            </w:r>
            <w:r>
              <w:rPr>
                <w:rFonts w:ascii="Verdana" w:cs="Verdana" w:eastAsia="Verdana" w:hAnsi="Verdana"/>
                <w:sz w:val="17"/>
                <w:szCs w:val="17"/>
                <w:color w:val="auto"/>
              </w:rPr>
              <w:t>/</w:t>
            </w:r>
            <w:r>
              <w:rPr>
                <w:rFonts w:ascii="Verdana" w:cs="Verdana" w:eastAsia="Verdana" w:hAnsi="Verdana"/>
                <w:sz w:val="17"/>
                <w:szCs w:val="17"/>
                <w:color w:val="auto"/>
              </w:rPr>
              <w:t xml:space="preserve">л </w:t>
            </w:r>
            <w:r>
              <w:rPr>
                <w:rFonts w:ascii="Verdana" w:cs="Verdana" w:eastAsia="Verdana" w:hAnsi="Verdana"/>
                <w:sz w:val="17"/>
                <w:szCs w:val="17"/>
                <w:color w:val="auto"/>
              </w:rPr>
              <w:t>(&gt;190</w:t>
            </w:r>
            <w:r>
              <w:rPr>
                <w:rFonts w:ascii="Verdana" w:cs="Verdana" w:eastAsia="Verdana" w:hAnsi="Verdana"/>
                <w:sz w:val="17"/>
                <w:szCs w:val="17"/>
                <w:color w:val="auto"/>
              </w:rPr>
              <w:t xml:space="preserve"> мг</w:t>
            </w:r>
            <w:r>
              <w:rPr>
                <w:rFonts w:ascii="Verdana" w:cs="Verdana" w:eastAsia="Verdana" w:hAnsi="Verdana"/>
                <w:sz w:val="17"/>
                <w:szCs w:val="17"/>
                <w:color w:val="auto"/>
              </w:rPr>
              <w:t>/</w:t>
            </w:r>
            <w:r>
              <w:rPr>
                <w:rFonts w:ascii="Verdana" w:cs="Verdana" w:eastAsia="Verdana" w:hAnsi="Verdana"/>
                <w:sz w:val="17"/>
                <w:szCs w:val="17"/>
                <w:color w:val="auto"/>
              </w:rPr>
              <w:t>дл</w:t>
            </w:r>
            <w:r>
              <w:rPr>
                <w:rFonts w:ascii="Verdana" w:cs="Verdana" w:eastAsia="Verdana" w:hAnsi="Verdana"/>
                <w:sz w:val="17"/>
                <w:szCs w:val="17"/>
                <w:color w:val="auto"/>
              </w:rPr>
              <w:t>)</w:t>
            </w:r>
          </w:p>
        </w:tc>
        <w:tc>
          <w:tcPr>
            <w:tcW w:w="1260" w:type="dxa"/>
            <w:vAlign w:val="bottom"/>
          </w:tcPr>
          <w:p>
            <w:pPr>
              <w:spacing w:after="0"/>
              <w:rPr>
                <w:sz w:val="19"/>
                <w:szCs w:val="19"/>
                <w:color w:val="auto"/>
              </w:rPr>
            </w:pPr>
          </w:p>
        </w:tc>
        <w:tc>
          <w:tcPr>
            <w:tcW w:w="1120" w:type="dxa"/>
            <w:vAlign w:val="bottom"/>
          </w:tcPr>
          <w:p>
            <w:pPr>
              <w:spacing w:after="0"/>
              <w:rPr>
                <w:sz w:val="19"/>
                <w:szCs w:val="19"/>
                <w:color w:val="auto"/>
              </w:rPr>
            </w:pPr>
          </w:p>
        </w:tc>
        <w:tc>
          <w:tcPr>
            <w:tcW w:w="1020" w:type="dxa"/>
            <w:vAlign w:val="bottom"/>
            <w:tcBorders>
              <w:right w:val="single" w:sz="8" w:color="auto"/>
            </w:tcBorders>
          </w:tcPr>
          <w:p>
            <w:pPr>
              <w:spacing w:after="0"/>
              <w:rPr>
                <w:sz w:val="19"/>
                <w:szCs w:val="19"/>
                <w:color w:val="auto"/>
              </w:rPr>
            </w:pPr>
          </w:p>
        </w:tc>
      </w:tr>
      <w:tr>
        <w:trPr>
          <w:trHeight w:val="110"/>
        </w:trPr>
        <w:tc>
          <w:tcPr>
            <w:tcW w:w="1280" w:type="dxa"/>
            <w:vAlign w:val="bottom"/>
            <w:tcBorders>
              <w:left w:val="single" w:sz="8" w:color="auto"/>
              <w:bottom w:val="single" w:sz="8" w:color="auto"/>
            </w:tcBorders>
          </w:tcPr>
          <w:p>
            <w:pPr>
              <w:spacing w:after="0"/>
              <w:rPr>
                <w:sz w:val="9"/>
                <w:szCs w:val="9"/>
                <w:color w:val="auto"/>
              </w:rPr>
            </w:pPr>
          </w:p>
        </w:tc>
        <w:tc>
          <w:tcPr>
            <w:tcW w:w="1200" w:type="dxa"/>
            <w:vAlign w:val="bottom"/>
            <w:tcBorders>
              <w:bottom w:val="single" w:sz="8" w:color="auto"/>
              <w:right w:val="single" w:sz="8" w:color="auto"/>
            </w:tcBorders>
          </w:tcPr>
          <w:p>
            <w:pPr>
              <w:spacing w:after="0"/>
              <w:rPr>
                <w:sz w:val="9"/>
                <w:szCs w:val="9"/>
                <w:color w:val="auto"/>
              </w:rPr>
            </w:pPr>
          </w:p>
        </w:tc>
        <w:tc>
          <w:tcPr>
            <w:tcW w:w="598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128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Оценка</w:t>
            </w:r>
          </w:p>
        </w:tc>
        <w:tc>
          <w:tcPr>
            <w:tcW w:w="1200" w:type="dxa"/>
            <w:vAlign w:val="bottom"/>
            <w:tcBorders>
              <w:right w:val="single" w:sz="8" w:color="auto"/>
            </w:tcBorders>
          </w:tcPr>
          <w:p>
            <w:pPr>
              <w:jc w:val="right"/>
              <w:ind w:right="77"/>
              <w:spacing w:after="0"/>
              <w:rPr>
                <w:sz w:val="20"/>
                <w:szCs w:val="20"/>
                <w:color w:val="auto"/>
              </w:rPr>
            </w:pPr>
            <w:r>
              <w:rPr>
                <w:rFonts w:ascii="Verdana" w:cs="Verdana" w:eastAsia="Verdana" w:hAnsi="Verdana"/>
                <w:sz w:val="17"/>
                <w:szCs w:val="17"/>
                <w:color w:val="auto"/>
              </w:rPr>
              <w:t>факторов</w:t>
            </w:r>
            <w:r>
              <w:rPr>
                <w:rFonts w:ascii="Verdana" w:cs="Verdana" w:eastAsia="Verdana" w:hAnsi="Verdana"/>
                <w:sz w:val="17"/>
                <w:szCs w:val="17"/>
                <w:color w:val="auto"/>
              </w:rPr>
              <w:t>,</w:t>
            </w:r>
          </w:p>
        </w:tc>
        <w:tc>
          <w:tcPr>
            <w:tcW w:w="598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У  отдельных  пациентов  низкого  или  умеренного  риска</w:t>
            </w:r>
          </w:p>
        </w:tc>
      </w:tr>
      <w:tr>
        <w:trPr>
          <w:trHeight w:val="165"/>
        </w:trPr>
        <w:tc>
          <w:tcPr>
            <w:tcW w:w="24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изменяющих риск</w:t>
            </w: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целесообразно  оценвать  дополнительные  факторы</w:t>
            </w:r>
            <w:r>
              <w:rPr>
                <w:rFonts w:ascii="Verdana" w:cs="Verdana" w:eastAsia="Verdana" w:hAnsi="Verdana"/>
                <w:sz w:val="17"/>
                <w:szCs w:val="17"/>
                <w:color w:val="auto"/>
              </w:rPr>
              <w:t>,</w:t>
            </w:r>
            <w:r>
              <w:rPr>
                <w:rFonts w:ascii="Verdana" w:cs="Verdana" w:eastAsia="Verdana" w:hAnsi="Verdana"/>
                <w:sz w:val="17"/>
                <w:szCs w:val="17"/>
                <w:color w:val="auto"/>
              </w:rPr>
              <w:t xml:space="preserve">  которые</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могут повлиять на стратификацию по риску и выбор тактики</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лечения</w:t>
            </w:r>
            <w:r>
              <w:rPr>
                <w:rFonts w:ascii="Verdana" w:cs="Verdana" w:eastAsia="Verdana" w:hAnsi="Verdana"/>
                <w:sz w:val="17"/>
                <w:szCs w:val="17"/>
                <w:color w:val="auto"/>
              </w:rPr>
              <w:t>:</w:t>
            </w:r>
            <w:r>
              <w:rPr>
                <w:rFonts w:ascii="Verdana" w:cs="Verdana" w:eastAsia="Verdana" w:hAnsi="Verdana"/>
                <w:sz w:val="17"/>
                <w:szCs w:val="17"/>
                <w:color w:val="auto"/>
              </w:rPr>
              <w:t xml:space="preserve"> повышение аполипопротеина В</w:t>
            </w:r>
            <w:r>
              <w:rPr>
                <w:rFonts w:ascii="Verdana" w:cs="Verdana" w:eastAsia="Verdana" w:hAnsi="Verdana"/>
                <w:sz w:val="17"/>
                <w:szCs w:val="17"/>
                <w:color w:val="auto"/>
              </w:rPr>
              <w:t>,</w:t>
            </w:r>
            <w:r>
              <w:rPr>
                <w:rFonts w:ascii="Verdana" w:cs="Verdana" w:eastAsia="Verdana" w:hAnsi="Verdana"/>
                <w:sz w:val="17"/>
                <w:szCs w:val="17"/>
                <w:color w:val="auto"/>
              </w:rPr>
              <w:t xml:space="preserve"> липопротеина </w:t>
            </w:r>
            <w:r>
              <w:rPr>
                <w:rFonts w:ascii="Verdana" w:cs="Verdana" w:eastAsia="Verdana" w:hAnsi="Verdana"/>
                <w:sz w:val="17"/>
                <w:szCs w:val="17"/>
                <w:color w:val="auto"/>
              </w:rPr>
              <w:t>(</w:t>
            </w:r>
            <w:r>
              <w:rPr>
                <w:rFonts w:ascii="Verdana" w:cs="Verdana" w:eastAsia="Verdana" w:hAnsi="Verdana"/>
                <w:sz w:val="17"/>
                <w:szCs w:val="17"/>
                <w:color w:val="auto"/>
              </w:rPr>
              <w:t>а</w:t>
            </w:r>
            <w:r>
              <w:rPr>
                <w:rFonts w:ascii="Verdana" w:cs="Verdana" w:eastAsia="Verdana" w:hAnsi="Verdana"/>
                <w:sz w:val="17"/>
                <w:szCs w:val="17"/>
                <w:color w:val="auto"/>
              </w:rPr>
              <w:t>)</w:t>
            </w:r>
            <w:r>
              <w:rPr>
                <w:rFonts w:ascii="Verdana" w:cs="Verdana" w:eastAsia="Verdana" w:hAnsi="Verdana"/>
                <w:sz w:val="17"/>
                <w:szCs w:val="17"/>
                <w:color w:val="auto"/>
              </w:rPr>
              <w:t xml:space="preserve"> или</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С</w:t>
            </w:r>
            <w:r>
              <w:rPr>
                <w:rFonts w:ascii="Verdana" w:cs="Verdana" w:eastAsia="Verdana" w:hAnsi="Verdana"/>
                <w:sz w:val="17"/>
                <w:szCs w:val="17"/>
                <w:color w:val="auto"/>
              </w:rPr>
              <w:t>-</w:t>
            </w:r>
            <w:r>
              <w:rPr>
                <w:rFonts w:ascii="Verdana" w:cs="Verdana" w:eastAsia="Verdana" w:hAnsi="Verdana"/>
                <w:sz w:val="17"/>
                <w:szCs w:val="17"/>
                <w:color w:val="auto"/>
              </w:rPr>
              <w:t>реактивного</w:t>
            </w:r>
          </w:p>
        </w:tc>
        <w:tc>
          <w:tcPr>
            <w:tcW w:w="960" w:type="dxa"/>
            <w:vAlign w:val="bottom"/>
          </w:tcPr>
          <w:p>
            <w:pPr>
              <w:ind w:left="200"/>
              <w:spacing w:after="0" w:line="165" w:lineRule="exact"/>
              <w:rPr>
                <w:sz w:val="20"/>
                <w:szCs w:val="20"/>
                <w:color w:val="auto"/>
              </w:rPr>
            </w:pPr>
            <w:r>
              <w:rPr>
                <w:rFonts w:ascii="Verdana" w:cs="Verdana" w:eastAsia="Verdana" w:hAnsi="Verdana"/>
                <w:sz w:val="17"/>
                <w:szCs w:val="17"/>
                <w:color w:val="auto"/>
              </w:rPr>
              <w:t>белка</w:t>
            </w:r>
            <w:r>
              <w:rPr>
                <w:rFonts w:ascii="Verdana" w:cs="Verdana" w:eastAsia="Verdana" w:hAnsi="Verdana"/>
                <w:sz w:val="17"/>
                <w:szCs w:val="17"/>
                <w:color w:val="auto"/>
              </w:rPr>
              <w:t>,</w:t>
            </w:r>
          </w:p>
        </w:tc>
        <w:tc>
          <w:tcPr>
            <w:tcW w:w="1260" w:type="dxa"/>
            <w:vAlign w:val="bottom"/>
          </w:tcPr>
          <w:p>
            <w:pPr>
              <w:ind w:left="220"/>
              <w:spacing w:after="0" w:line="165" w:lineRule="exact"/>
              <w:rPr>
                <w:sz w:val="20"/>
                <w:szCs w:val="20"/>
                <w:color w:val="auto"/>
              </w:rPr>
            </w:pPr>
            <w:r>
              <w:rPr>
                <w:rFonts w:ascii="Verdana" w:cs="Verdana" w:eastAsia="Verdana" w:hAnsi="Verdana"/>
                <w:sz w:val="17"/>
                <w:szCs w:val="17"/>
                <w:color w:val="auto"/>
              </w:rPr>
              <w:t>семейный</w:t>
            </w:r>
          </w:p>
        </w:tc>
        <w:tc>
          <w:tcPr>
            <w:tcW w:w="1120" w:type="dxa"/>
            <w:vAlign w:val="bottom"/>
          </w:tcPr>
          <w:p>
            <w:pPr>
              <w:ind w:left="220"/>
              <w:spacing w:after="0" w:line="165" w:lineRule="exact"/>
              <w:rPr>
                <w:sz w:val="20"/>
                <w:szCs w:val="20"/>
                <w:color w:val="auto"/>
              </w:rPr>
            </w:pPr>
            <w:r>
              <w:rPr>
                <w:rFonts w:ascii="Verdana" w:cs="Verdana" w:eastAsia="Verdana" w:hAnsi="Verdana"/>
                <w:sz w:val="17"/>
                <w:szCs w:val="17"/>
                <w:color w:val="auto"/>
              </w:rPr>
              <w:t>анамнез</w:t>
            </w:r>
          </w:p>
        </w:tc>
        <w:tc>
          <w:tcPr>
            <w:tcW w:w="1020" w:type="dxa"/>
            <w:vAlign w:val="bottom"/>
            <w:tcBorders>
              <w:right w:val="single" w:sz="8" w:color="auto"/>
            </w:tcBorders>
          </w:tcPr>
          <w:p>
            <w:pPr>
              <w:ind w:left="220"/>
              <w:spacing w:after="0" w:line="165" w:lineRule="exact"/>
              <w:rPr>
                <w:sz w:val="20"/>
                <w:szCs w:val="20"/>
                <w:color w:val="auto"/>
              </w:rPr>
            </w:pPr>
            <w:r>
              <w:rPr>
                <w:rFonts w:ascii="Verdana" w:cs="Verdana" w:eastAsia="Verdana" w:hAnsi="Verdana"/>
                <w:sz w:val="17"/>
                <w:szCs w:val="17"/>
                <w:color w:val="auto"/>
              </w:rPr>
              <w:t>ранних</w:t>
            </w:r>
          </w:p>
        </w:tc>
      </w:tr>
      <w:tr>
        <w:trPr>
          <w:trHeight w:val="165"/>
        </w:trPr>
        <w:tc>
          <w:tcPr>
            <w:tcW w:w="128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5980" w:type="dxa"/>
            <w:vAlign w:val="bottom"/>
            <w:tcBorders>
              <w:right w:val="single" w:sz="8" w:color="auto"/>
            </w:tcBorders>
            <w:gridSpan w:val="5"/>
          </w:tcPr>
          <w:p>
            <w:pPr>
              <w:ind w:left="140"/>
              <w:spacing w:after="0" w:line="165" w:lineRule="exact"/>
              <w:rPr>
                <w:sz w:val="20"/>
                <w:szCs w:val="20"/>
                <w:color w:val="auto"/>
              </w:rPr>
            </w:pPr>
            <w:r>
              <w:rPr>
                <w:rFonts w:ascii="Verdana" w:cs="Verdana" w:eastAsia="Verdana" w:hAnsi="Verdana"/>
                <w:sz w:val="17"/>
                <w:szCs w:val="17"/>
                <w:color w:val="auto"/>
              </w:rPr>
              <w:t>атеросклеротических  ССЗ</w:t>
            </w:r>
            <w:r>
              <w:rPr>
                <w:rFonts w:ascii="Verdana" w:cs="Verdana" w:eastAsia="Verdana" w:hAnsi="Verdana"/>
                <w:sz w:val="17"/>
                <w:szCs w:val="17"/>
                <w:color w:val="auto"/>
              </w:rPr>
              <w:t>,</w:t>
            </w:r>
            <w:r>
              <w:rPr>
                <w:rFonts w:ascii="Verdana" w:cs="Verdana" w:eastAsia="Verdana" w:hAnsi="Verdana"/>
                <w:sz w:val="17"/>
                <w:szCs w:val="17"/>
                <w:color w:val="auto"/>
              </w:rPr>
              <w:t xml:space="preserve">  выявление  атеросклеротической</w:t>
            </w:r>
          </w:p>
        </w:tc>
      </w:tr>
      <w:tr>
        <w:trPr>
          <w:trHeight w:val="220"/>
        </w:trPr>
        <w:tc>
          <w:tcPr>
            <w:tcW w:w="1280" w:type="dxa"/>
            <w:vAlign w:val="bottom"/>
            <w:tcBorders>
              <w:left w:val="single" w:sz="8" w:color="auto"/>
            </w:tcBorders>
          </w:tcPr>
          <w:p>
            <w:pPr>
              <w:spacing w:after="0"/>
              <w:rPr>
                <w:sz w:val="19"/>
                <w:szCs w:val="19"/>
                <w:color w:val="auto"/>
              </w:rPr>
            </w:pPr>
          </w:p>
        </w:tc>
        <w:tc>
          <w:tcPr>
            <w:tcW w:w="1200" w:type="dxa"/>
            <w:vAlign w:val="bottom"/>
            <w:tcBorders>
              <w:right w:val="single" w:sz="8" w:color="auto"/>
            </w:tcBorders>
          </w:tcPr>
          <w:p>
            <w:pPr>
              <w:spacing w:after="0"/>
              <w:rPr>
                <w:sz w:val="19"/>
                <w:szCs w:val="19"/>
                <w:color w:val="auto"/>
              </w:rPr>
            </w:pPr>
          </w:p>
        </w:tc>
        <w:tc>
          <w:tcPr>
            <w:tcW w:w="1620" w:type="dxa"/>
            <w:vAlign w:val="bottom"/>
          </w:tcPr>
          <w:p>
            <w:pPr>
              <w:ind w:left="140"/>
              <w:spacing w:after="0"/>
              <w:rPr>
                <w:sz w:val="20"/>
                <w:szCs w:val="20"/>
                <w:color w:val="auto"/>
              </w:rPr>
            </w:pPr>
            <w:r>
              <w:rPr>
                <w:rFonts w:ascii="Verdana" w:cs="Verdana" w:eastAsia="Verdana" w:hAnsi="Verdana"/>
                <w:sz w:val="17"/>
                <w:szCs w:val="17"/>
                <w:color w:val="auto"/>
              </w:rPr>
              <w:t>бляшки</w:t>
            </w:r>
          </w:p>
        </w:tc>
        <w:tc>
          <w:tcPr>
            <w:tcW w:w="9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1120" w:type="dxa"/>
            <w:vAlign w:val="bottom"/>
          </w:tcPr>
          <w:p>
            <w:pPr>
              <w:spacing w:after="0"/>
              <w:rPr>
                <w:sz w:val="19"/>
                <w:szCs w:val="19"/>
                <w:color w:val="auto"/>
              </w:rPr>
            </w:pPr>
          </w:p>
        </w:tc>
        <w:tc>
          <w:tcPr>
            <w:tcW w:w="1020" w:type="dxa"/>
            <w:vAlign w:val="bottom"/>
            <w:tcBorders>
              <w:right w:val="single" w:sz="8" w:color="auto"/>
            </w:tcBorders>
          </w:tcPr>
          <w:p>
            <w:pPr>
              <w:spacing w:after="0"/>
              <w:rPr>
                <w:sz w:val="19"/>
                <w:szCs w:val="19"/>
                <w:color w:val="auto"/>
              </w:rPr>
            </w:pPr>
          </w:p>
        </w:tc>
      </w:tr>
      <w:tr>
        <w:trPr>
          <w:trHeight w:val="110"/>
        </w:trPr>
        <w:tc>
          <w:tcPr>
            <w:tcW w:w="2480" w:type="dxa"/>
            <w:vAlign w:val="bottom"/>
            <w:tcBorders>
              <w:left w:val="single" w:sz="8" w:color="auto"/>
              <w:bottom w:val="single" w:sz="8" w:color="auto"/>
              <w:right w:val="single" w:sz="8" w:color="auto"/>
            </w:tcBorders>
            <w:gridSpan w:val="2"/>
          </w:tcPr>
          <w:p>
            <w:pPr>
              <w:spacing w:after="0"/>
              <w:rPr>
                <w:sz w:val="9"/>
                <w:szCs w:val="9"/>
                <w:color w:val="auto"/>
              </w:rPr>
            </w:pPr>
          </w:p>
        </w:tc>
        <w:tc>
          <w:tcPr>
            <w:tcW w:w="5980" w:type="dxa"/>
            <w:vAlign w:val="bottom"/>
            <w:tcBorders>
              <w:bottom w:val="single" w:sz="8" w:color="auto"/>
              <w:right w:val="single" w:sz="8" w:color="auto"/>
            </w:tcBorders>
            <w:gridSpan w:val="5"/>
          </w:tcPr>
          <w:p>
            <w:pPr>
              <w:spacing w:after="0"/>
              <w:rPr>
                <w:sz w:val="9"/>
                <w:szCs w:val="9"/>
                <w:color w:val="auto"/>
              </w:rPr>
            </w:pPr>
          </w:p>
        </w:tc>
      </w:tr>
      <w:tr>
        <w:trPr>
          <w:trHeight w:val="295"/>
        </w:trPr>
        <w:tc>
          <w:tcPr>
            <w:tcW w:w="24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Стратификация   риска</w:t>
            </w:r>
          </w:p>
        </w:tc>
        <w:tc>
          <w:tcPr>
            <w:tcW w:w="5980" w:type="dxa"/>
            <w:vAlign w:val="bottom"/>
            <w:tcBorders>
              <w:right w:val="single" w:sz="8" w:color="auto"/>
            </w:tcBorders>
            <w:gridSpan w:val="5"/>
          </w:tcPr>
          <w:p>
            <w:pPr>
              <w:ind w:left="140"/>
              <w:spacing w:after="0"/>
              <w:rPr>
                <w:sz w:val="20"/>
                <w:szCs w:val="20"/>
                <w:color w:val="auto"/>
              </w:rPr>
            </w:pPr>
            <w:r>
              <w:rPr>
                <w:rFonts w:ascii="Verdana" w:cs="Verdana" w:eastAsia="Verdana" w:hAnsi="Verdana"/>
                <w:sz w:val="17"/>
                <w:szCs w:val="17"/>
                <w:color w:val="auto"/>
              </w:rPr>
              <w:t>На основании уровня АД</w:t>
            </w:r>
            <w:r>
              <w:rPr>
                <w:rFonts w:ascii="Verdana" w:cs="Verdana" w:eastAsia="Verdana" w:hAnsi="Verdana"/>
                <w:sz w:val="17"/>
                <w:szCs w:val="17"/>
                <w:color w:val="auto"/>
              </w:rPr>
              <w:t>,</w:t>
            </w:r>
            <w:r>
              <w:rPr>
                <w:rFonts w:ascii="Verdana" w:cs="Verdana" w:eastAsia="Verdana" w:hAnsi="Verdana"/>
                <w:sz w:val="17"/>
                <w:szCs w:val="17"/>
                <w:color w:val="auto"/>
              </w:rPr>
              <w:t xml:space="preserve"> наличия ФР</w:t>
            </w:r>
            <w:r>
              <w:rPr>
                <w:rFonts w:ascii="Verdana" w:cs="Verdana" w:eastAsia="Verdana" w:hAnsi="Verdana"/>
                <w:sz w:val="17"/>
                <w:szCs w:val="17"/>
                <w:color w:val="auto"/>
              </w:rPr>
              <w:t>,</w:t>
            </w:r>
            <w:r>
              <w:rPr>
                <w:rFonts w:ascii="Verdana" w:cs="Verdana" w:eastAsia="Verdana" w:hAnsi="Verdana"/>
                <w:sz w:val="17"/>
                <w:szCs w:val="17"/>
                <w:color w:val="auto"/>
              </w:rPr>
              <w:t xml:space="preserve"> ПОМ</w:t>
            </w:r>
            <w:r>
              <w:rPr>
                <w:rFonts w:ascii="Verdana" w:cs="Verdana" w:eastAsia="Verdana" w:hAnsi="Verdana"/>
                <w:sz w:val="17"/>
                <w:szCs w:val="17"/>
                <w:color w:val="auto"/>
              </w:rPr>
              <w:t>,</w:t>
            </w:r>
            <w:r>
              <w:rPr>
                <w:rFonts w:ascii="Verdana" w:cs="Verdana" w:eastAsia="Verdana" w:hAnsi="Verdana"/>
                <w:sz w:val="17"/>
                <w:szCs w:val="17"/>
                <w:color w:val="auto"/>
              </w:rPr>
              <w:t xml:space="preserve"> АКС</w:t>
            </w:r>
            <w:r>
              <w:rPr>
                <w:rFonts w:ascii="Verdana" w:cs="Verdana" w:eastAsia="Verdana" w:hAnsi="Verdana"/>
                <w:sz w:val="17"/>
                <w:szCs w:val="17"/>
                <w:color w:val="auto"/>
              </w:rPr>
              <w:t>,</w:t>
            </w:r>
            <w:r>
              <w:rPr>
                <w:rFonts w:ascii="Verdana" w:cs="Verdana" w:eastAsia="Verdana" w:hAnsi="Verdana"/>
                <w:sz w:val="17"/>
                <w:szCs w:val="17"/>
                <w:color w:val="auto"/>
              </w:rPr>
              <w:t xml:space="preserve"> ХБП </w:t>
            </w:r>
            <w:r>
              <w:rPr>
                <w:rFonts w:ascii="Verdana" w:cs="Verdana" w:eastAsia="Verdana" w:hAnsi="Verdana"/>
                <w:sz w:val="17"/>
                <w:szCs w:val="17"/>
                <w:color w:val="auto"/>
              </w:rPr>
              <w:t>3–5-</w:t>
            </w:r>
            <w:r>
              <w:rPr>
                <w:rFonts w:ascii="Verdana" w:cs="Verdana" w:eastAsia="Verdana" w:hAnsi="Verdana"/>
                <w:sz w:val="17"/>
                <w:szCs w:val="17"/>
                <w:color w:val="auto"/>
              </w:rPr>
              <w:t>й</w:t>
            </w:r>
          </w:p>
        </w:tc>
      </w:tr>
      <w:tr>
        <w:trPr>
          <w:trHeight w:val="165"/>
        </w:trPr>
        <w:tc>
          <w:tcPr>
            <w:tcW w:w="248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сосудистых</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стадий</w:t>
            </w:r>
            <w:r>
              <w:rPr>
                <w:rFonts w:ascii="Verdana" w:cs="Verdana" w:eastAsia="Verdana" w:hAnsi="Verdana"/>
                <w:sz w:val="17"/>
                <w:szCs w:val="17"/>
                <w:color w:val="auto"/>
              </w:rPr>
              <w:t>,</w:t>
            </w:r>
            <w:r>
              <w:rPr>
                <w:rFonts w:ascii="Verdana" w:cs="Verdana" w:eastAsia="Verdana" w:hAnsi="Verdana"/>
                <w:sz w:val="17"/>
                <w:szCs w:val="17"/>
                <w:color w:val="auto"/>
              </w:rPr>
              <w:t xml:space="preserve"> СД</w:t>
            </w:r>
          </w:p>
        </w:tc>
        <w:tc>
          <w:tcPr>
            <w:tcW w:w="960" w:type="dxa"/>
            <w:vAlign w:val="bottom"/>
          </w:tcPr>
          <w:p>
            <w:pPr>
              <w:spacing w:after="0"/>
              <w:rPr>
                <w:sz w:val="14"/>
                <w:szCs w:val="14"/>
                <w:color w:val="auto"/>
              </w:rPr>
            </w:pPr>
          </w:p>
        </w:tc>
        <w:tc>
          <w:tcPr>
            <w:tcW w:w="1260" w:type="dxa"/>
            <w:vAlign w:val="bottom"/>
          </w:tcPr>
          <w:p>
            <w:pPr>
              <w:spacing w:after="0"/>
              <w:rPr>
                <w:sz w:val="14"/>
                <w:szCs w:val="14"/>
                <w:color w:val="auto"/>
              </w:rPr>
            </w:pPr>
          </w:p>
        </w:tc>
        <w:tc>
          <w:tcPr>
            <w:tcW w:w="1120" w:type="dxa"/>
            <w:vAlign w:val="bottom"/>
          </w:tcPr>
          <w:p>
            <w:pPr>
              <w:spacing w:after="0"/>
              <w:rPr>
                <w:sz w:val="14"/>
                <w:szCs w:val="14"/>
                <w:color w:val="auto"/>
              </w:rPr>
            </w:pPr>
          </w:p>
        </w:tc>
        <w:tc>
          <w:tcPr>
            <w:tcW w:w="1020" w:type="dxa"/>
            <w:vAlign w:val="bottom"/>
            <w:tcBorders>
              <w:right w:val="single" w:sz="8" w:color="auto"/>
            </w:tcBorders>
          </w:tcPr>
          <w:p>
            <w:pPr>
              <w:spacing w:after="0"/>
              <w:rPr>
                <w:sz w:val="14"/>
                <w:szCs w:val="14"/>
                <w:color w:val="auto"/>
              </w:rPr>
            </w:pPr>
          </w:p>
        </w:tc>
      </w:tr>
      <w:tr>
        <w:trPr>
          <w:trHeight w:val="165"/>
        </w:trPr>
        <w:tc>
          <w:tcPr>
            <w:tcW w:w="128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осложнений</w:t>
            </w:r>
          </w:p>
        </w:tc>
        <w:tc>
          <w:tcPr>
            <w:tcW w:w="12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у</w:t>
            </w:r>
          </w:p>
        </w:tc>
        <w:tc>
          <w:tcPr>
            <w:tcW w:w="1620" w:type="dxa"/>
            <w:vAlign w:val="bottom"/>
          </w:tcPr>
          <w:p>
            <w:pPr>
              <w:spacing w:after="0"/>
              <w:rPr>
                <w:sz w:val="14"/>
                <w:szCs w:val="14"/>
                <w:color w:val="auto"/>
              </w:rPr>
            </w:pPr>
          </w:p>
        </w:tc>
        <w:tc>
          <w:tcPr>
            <w:tcW w:w="960" w:type="dxa"/>
            <w:vAlign w:val="bottom"/>
          </w:tcPr>
          <w:p>
            <w:pPr>
              <w:spacing w:after="0"/>
              <w:rPr>
                <w:sz w:val="14"/>
                <w:szCs w:val="14"/>
                <w:color w:val="auto"/>
              </w:rPr>
            </w:pPr>
          </w:p>
        </w:tc>
        <w:tc>
          <w:tcPr>
            <w:tcW w:w="1260" w:type="dxa"/>
            <w:vAlign w:val="bottom"/>
          </w:tcPr>
          <w:p>
            <w:pPr>
              <w:spacing w:after="0"/>
              <w:rPr>
                <w:sz w:val="14"/>
                <w:szCs w:val="14"/>
                <w:color w:val="auto"/>
              </w:rPr>
            </w:pPr>
          </w:p>
        </w:tc>
        <w:tc>
          <w:tcPr>
            <w:tcW w:w="1120" w:type="dxa"/>
            <w:vAlign w:val="bottom"/>
          </w:tcPr>
          <w:p>
            <w:pPr>
              <w:spacing w:after="0"/>
              <w:rPr>
                <w:sz w:val="14"/>
                <w:szCs w:val="14"/>
                <w:color w:val="auto"/>
              </w:rPr>
            </w:pPr>
          </w:p>
        </w:tc>
        <w:tc>
          <w:tcPr>
            <w:tcW w:w="1020" w:type="dxa"/>
            <w:vAlign w:val="bottom"/>
            <w:tcBorders>
              <w:right w:val="single" w:sz="8" w:color="auto"/>
            </w:tcBorders>
          </w:tcPr>
          <w:p>
            <w:pPr>
              <w:spacing w:after="0"/>
              <w:rPr>
                <w:sz w:val="14"/>
                <w:szCs w:val="14"/>
                <w:color w:val="auto"/>
              </w:rPr>
            </w:pPr>
          </w:p>
        </w:tc>
      </w:tr>
      <w:tr>
        <w:trPr>
          <w:trHeight w:val="220"/>
        </w:trPr>
        <w:tc>
          <w:tcPr>
            <w:tcW w:w="248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пациентов с АГ</w:t>
            </w:r>
          </w:p>
        </w:tc>
        <w:tc>
          <w:tcPr>
            <w:tcW w:w="1620" w:type="dxa"/>
            <w:vAlign w:val="bottom"/>
          </w:tcPr>
          <w:p>
            <w:pPr>
              <w:spacing w:after="0"/>
              <w:rPr>
                <w:sz w:val="19"/>
                <w:szCs w:val="19"/>
                <w:color w:val="auto"/>
              </w:rPr>
            </w:pPr>
          </w:p>
        </w:tc>
        <w:tc>
          <w:tcPr>
            <w:tcW w:w="960" w:type="dxa"/>
            <w:vAlign w:val="bottom"/>
          </w:tcPr>
          <w:p>
            <w:pPr>
              <w:spacing w:after="0"/>
              <w:rPr>
                <w:sz w:val="19"/>
                <w:szCs w:val="19"/>
                <w:color w:val="auto"/>
              </w:rPr>
            </w:pPr>
          </w:p>
        </w:tc>
        <w:tc>
          <w:tcPr>
            <w:tcW w:w="1260" w:type="dxa"/>
            <w:vAlign w:val="bottom"/>
          </w:tcPr>
          <w:p>
            <w:pPr>
              <w:spacing w:after="0"/>
              <w:rPr>
                <w:sz w:val="19"/>
                <w:szCs w:val="19"/>
                <w:color w:val="auto"/>
              </w:rPr>
            </w:pPr>
          </w:p>
        </w:tc>
        <w:tc>
          <w:tcPr>
            <w:tcW w:w="1120" w:type="dxa"/>
            <w:vAlign w:val="bottom"/>
          </w:tcPr>
          <w:p>
            <w:pPr>
              <w:spacing w:after="0"/>
              <w:rPr>
                <w:sz w:val="19"/>
                <w:szCs w:val="19"/>
                <w:color w:val="auto"/>
              </w:rPr>
            </w:pPr>
          </w:p>
        </w:tc>
        <w:tc>
          <w:tcPr>
            <w:tcW w:w="1020" w:type="dxa"/>
            <w:vAlign w:val="bottom"/>
            <w:tcBorders>
              <w:right w:val="single" w:sz="8" w:color="auto"/>
            </w:tcBorders>
          </w:tcPr>
          <w:p>
            <w:pPr>
              <w:spacing w:after="0"/>
              <w:rPr>
                <w:sz w:val="19"/>
                <w:szCs w:val="19"/>
                <w:color w:val="auto"/>
              </w:rPr>
            </w:pPr>
          </w:p>
        </w:tc>
      </w:tr>
      <w:tr>
        <w:trPr>
          <w:trHeight w:val="110"/>
        </w:trPr>
        <w:tc>
          <w:tcPr>
            <w:tcW w:w="1280" w:type="dxa"/>
            <w:vAlign w:val="bottom"/>
            <w:tcBorders>
              <w:left w:val="single" w:sz="8" w:color="auto"/>
              <w:bottom w:val="single" w:sz="8" w:color="auto"/>
            </w:tcBorders>
          </w:tcPr>
          <w:p>
            <w:pPr>
              <w:spacing w:after="0"/>
              <w:rPr>
                <w:sz w:val="9"/>
                <w:szCs w:val="9"/>
                <w:color w:val="auto"/>
              </w:rPr>
            </w:pPr>
          </w:p>
        </w:tc>
        <w:tc>
          <w:tcPr>
            <w:tcW w:w="1200" w:type="dxa"/>
            <w:vAlign w:val="bottom"/>
            <w:tcBorders>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960" w:type="dxa"/>
            <w:vAlign w:val="bottom"/>
            <w:tcBorders>
              <w:bottom w:val="single" w:sz="8" w:color="auto"/>
            </w:tcBorders>
          </w:tcPr>
          <w:p>
            <w:pPr>
              <w:spacing w:after="0"/>
              <w:rPr>
                <w:sz w:val="9"/>
                <w:szCs w:val="9"/>
                <w:color w:val="auto"/>
              </w:rPr>
            </w:pPr>
          </w:p>
        </w:tc>
        <w:tc>
          <w:tcPr>
            <w:tcW w:w="1260" w:type="dxa"/>
            <w:vAlign w:val="bottom"/>
            <w:tcBorders>
              <w:bottom w:val="single" w:sz="8" w:color="auto"/>
            </w:tcBorders>
          </w:tcPr>
          <w:p>
            <w:pPr>
              <w:spacing w:after="0"/>
              <w:rPr>
                <w:sz w:val="9"/>
                <w:szCs w:val="9"/>
                <w:color w:val="auto"/>
              </w:rPr>
            </w:pPr>
          </w:p>
        </w:tc>
        <w:tc>
          <w:tcPr>
            <w:tcW w:w="1120" w:type="dxa"/>
            <w:vAlign w:val="bottom"/>
            <w:tcBorders>
              <w:bottom w:val="single" w:sz="8" w:color="auto"/>
            </w:tcBorders>
          </w:tcPr>
          <w:p>
            <w:pPr>
              <w:spacing w:after="0"/>
              <w:rPr>
                <w:sz w:val="9"/>
                <w:szCs w:val="9"/>
                <w:color w:val="auto"/>
              </w:rPr>
            </w:pPr>
          </w:p>
        </w:tc>
        <w:tc>
          <w:tcPr>
            <w:tcW w:w="1020" w:type="dxa"/>
            <w:vAlign w:val="bottom"/>
            <w:tcBorders>
              <w:bottom w:val="single" w:sz="8" w:color="auto"/>
              <w:right w:val="single" w:sz="8" w:color="auto"/>
            </w:tcBorders>
          </w:tcPr>
          <w:p>
            <w:pPr>
              <w:spacing w:after="0"/>
              <w:rPr>
                <w:sz w:val="9"/>
                <w:szCs w:val="9"/>
                <w:color w:val="auto"/>
              </w:rPr>
            </w:pPr>
          </w:p>
        </w:tc>
      </w:tr>
    </w:tbl>
    <w:p>
      <w:pPr>
        <w:spacing w:after="0" w:line="19" w:lineRule="exact"/>
        <w:rPr>
          <w:sz w:val="20"/>
          <w:szCs w:val="20"/>
          <w:color w:val="auto"/>
        </w:rPr>
      </w:pPr>
    </w:p>
    <w:p>
      <w:pPr>
        <w:jc w:val="both"/>
        <w:ind w:left="360" w:right="220"/>
        <w:spacing w:after="0" w:line="308" w:lineRule="auto"/>
        <w:rPr>
          <w:sz w:val="20"/>
          <w:szCs w:val="20"/>
          <w:color w:val="auto"/>
        </w:rPr>
      </w:pPr>
      <w:r>
        <w:rPr>
          <w:rFonts w:ascii="Arial" w:cs="Arial" w:eastAsia="Arial" w:hAnsi="Arial"/>
          <w:sz w:val="27"/>
          <w:szCs w:val="27"/>
          <w:color w:val="auto"/>
        </w:rPr>
        <w:t xml:space="preserve">АГ </w:t>
      </w:r>
      <w:r>
        <w:rPr>
          <w:rFonts w:ascii="Arial" w:cs="Arial" w:eastAsia="Arial" w:hAnsi="Arial"/>
          <w:sz w:val="27"/>
          <w:szCs w:val="27"/>
          <w:color w:val="auto"/>
        </w:rPr>
        <w:t>—</w:t>
      </w:r>
      <w:r>
        <w:rPr>
          <w:rFonts w:ascii="Arial" w:cs="Arial" w:eastAsia="Arial" w:hAnsi="Arial"/>
          <w:sz w:val="27"/>
          <w:szCs w:val="27"/>
          <w:color w:val="auto"/>
        </w:rPr>
        <w:t xml:space="preserve"> артериальная гипертензия</w:t>
      </w:r>
      <w:r>
        <w:rPr>
          <w:rFonts w:ascii="Arial" w:cs="Arial" w:eastAsia="Arial" w:hAnsi="Arial"/>
          <w:sz w:val="27"/>
          <w:szCs w:val="27"/>
          <w:color w:val="auto"/>
        </w:rPr>
        <w:t>,</w:t>
      </w:r>
      <w:r>
        <w:rPr>
          <w:rFonts w:ascii="Arial" w:cs="Arial" w:eastAsia="Arial" w:hAnsi="Arial"/>
          <w:sz w:val="27"/>
          <w:szCs w:val="27"/>
          <w:color w:val="auto"/>
        </w:rPr>
        <w:t xml:space="preserve"> АД </w:t>
      </w:r>
      <w:r>
        <w:rPr>
          <w:rFonts w:ascii="Arial" w:cs="Arial" w:eastAsia="Arial" w:hAnsi="Arial"/>
          <w:sz w:val="27"/>
          <w:szCs w:val="27"/>
          <w:color w:val="auto"/>
        </w:rPr>
        <w:t>—</w:t>
      </w:r>
      <w:r>
        <w:rPr>
          <w:rFonts w:ascii="Arial" w:cs="Arial" w:eastAsia="Arial" w:hAnsi="Arial"/>
          <w:sz w:val="27"/>
          <w:szCs w:val="27"/>
          <w:color w:val="auto"/>
        </w:rPr>
        <w:t xml:space="preserve"> артериальное давление</w:t>
      </w:r>
      <w:r>
        <w:rPr>
          <w:rFonts w:ascii="Arial" w:cs="Arial" w:eastAsia="Arial" w:hAnsi="Arial"/>
          <w:sz w:val="27"/>
          <w:szCs w:val="27"/>
          <w:color w:val="auto"/>
        </w:rPr>
        <w:t>,</w:t>
      </w:r>
      <w:r>
        <w:rPr>
          <w:rFonts w:ascii="Arial" w:cs="Arial" w:eastAsia="Arial" w:hAnsi="Arial"/>
          <w:sz w:val="27"/>
          <w:szCs w:val="27"/>
          <w:color w:val="auto"/>
        </w:rPr>
        <w:t xml:space="preserve"> АКС </w:t>
      </w:r>
      <w:r>
        <w:rPr>
          <w:rFonts w:ascii="Arial" w:cs="Arial" w:eastAsia="Arial" w:hAnsi="Arial"/>
          <w:sz w:val="27"/>
          <w:szCs w:val="27"/>
          <w:color w:val="auto"/>
        </w:rPr>
        <w:t>—</w:t>
      </w:r>
      <w:r>
        <w:rPr>
          <w:rFonts w:ascii="Arial" w:cs="Arial" w:eastAsia="Arial" w:hAnsi="Arial"/>
          <w:sz w:val="27"/>
          <w:szCs w:val="27"/>
          <w:color w:val="auto"/>
        </w:rPr>
        <w:t xml:space="preserve"> ассоциированное клиническое состояние</w:t>
      </w:r>
      <w:r>
        <w:rPr>
          <w:rFonts w:ascii="Arial" w:cs="Arial" w:eastAsia="Arial" w:hAnsi="Arial"/>
          <w:sz w:val="27"/>
          <w:szCs w:val="27"/>
          <w:color w:val="auto"/>
        </w:rPr>
        <w:t>,</w:t>
      </w:r>
      <w:r>
        <w:rPr>
          <w:rFonts w:ascii="Arial" w:cs="Arial" w:eastAsia="Arial" w:hAnsi="Arial"/>
          <w:sz w:val="27"/>
          <w:szCs w:val="27"/>
          <w:color w:val="auto"/>
        </w:rPr>
        <w:t xml:space="preserve"> ПОМ </w:t>
      </w:r>
      <w:r>
        <w:rPr>
          <w:rFonts w:ascii="Arial" w:cs="Arial" w:eastAsia="Arial" w:hAnsi="Arial"/>
          <w:sz w:val="27"/>
          <w:szCs w:val="27"/>
          <w:color w:val="auto"/>
        </w:rPr>
        <w:t>—</w:t>
      </w:r>
      <w:r>
        <w:rPr>
          <w:rFonts w:ascii="Arial" w:cs="Arial" w:eastAsia="Arial" w:hAnsi="Arial"/>
          <w:sz w:val="27"/>
          <w:szCs w:val="27"/>
          <w:color w:val="auto"/>
        </w:rPr>
        <w:t xml:space="preserve"> поражение органов</w:t>
      </w:r>
      <w:r>
        <w:rPr>
          <w:rFonts w:ascii="Arial" w:cs="Arial" w:eastAsia="Arial" w:hAnsi="Arial"/>
          <w:sz w:val="27"/>
          <w:szCs w:val="27"/>
          <w:color w:val="auto"/>
        </w:rPr>
        <w:t>-</w:t>
      </w:r>
      <w:r>
        <w:rPr>
          <w:rFonts w:ascii="Arial" w:cs="Arial" w:eastAsia="Arial" w:hAnsi="Arial"/>
          <w:sz w:val="27"/>
          <w:szCs w:val="27"/>
          <w:color w:val="auto"/>
        </w:rPr>
        <w:t>мишеней</w:t>
      </w:r>
      <w:r>
        <w:rPr>
          <w:rFonts w:ascii="Arial" w:cs="Arial" w:eastAsia="Arial" w:hAnsi="Arial"/>
          <w:sz w:val="27"/>
          <w:szCs w:val="27"/>
          <w:color w:val="auto"/>
        </w:rPr>
        <w:t>,</w:t>
      </w:r>
      <w:r>
        <w:rPr>
          <w:rFonts w:ascii="Arial" w:cs="Arial" w:eastAsia="Arial" w:hAnsi="Arial"/>
          <w:sz w:val="27"/>
          <w:szCs w:val="27"/>
          <w:color w:val="auto"/>
        </w:rPr>
        <w:t xml:space="preserve"> СД </w:t>
      </w:r>
      <w:r>
        <w:rPr>
          <w:rFonts w:ascii="Arial" w:cs="Arial" w:eastAsia="Arial" w:hAnsi="Arial"/>
          <w:sz w:val="27"/>
          <w:szCs w:val="27"/>
          <w:color w:val="auto"/>
        </w:rPr>
        <w:t>—</w:t>
      </w:r>
      <w:r>
        <w:rPr>
          <w:rFonts w:ascii="Arial" w:cs="Arial" w:eastAsia="Arial" w:hAnsi="Arial"/>
          <w:sz w:val="27"/>
          <w:szCs w:val="27"/>
          <w:color w:val="auto"/>
        </w:rPr>
        <w:t xml:space="preserve"> сахарный диабет</w:t>
      </w:r>
      <w:r>
        <w:rPr>
          <w:rFonts w:ascii="Arial" w:cs="Arial" w:eastAsia="Arial" w:hAnsi="Arial"/>
          <w:sz w:val="27"/>
          <w:szCs w:val="27"/>
          <w:color w:val="auto"/>
        </w:rPr>
        <w:t>,</w:t>
      </w:r>
      <w:r>
        <w:rPr>
          <w:rFonts w:ascii="Arial" w:cs="Arial" w:eastAsia="Arial" w:hAnsi="Arial"/>
          <w:sz w:val="27"/>
          <w:szCs w:val="27"/>
          <w:color w:val="auto"/>
        </w:rPr>
        <w:t xml:space="preserve"> ССЗ </w:t>
      </w:r>
      <w:r>
        <w:rPr>
          <w:rFonts w:ascii="Arial" w:cs="Arial" w:eastAsia="Arial" w:hAnsi="Arial"/>
          <w:sz w:val="27"/>
          <w:szCs w:val="27"/>
          <w:color w:val="auto"/>
        </w:rPr>
        <w:t>—</w:t>
      </w:r>
      <w:r>
        <w:rPr>
          <w:rFonts w:ascii="Arial" w:cs="Arial" w:eastAsia="Arial" w:hAnsi="Arial"/>
          <w:sz w:val="27"/>
          <w:szCs w:val="27"/>
          <w:color w:val="auto"/>
        </w:rPr>
        <w:t xml:space="preserve"> сердечно</w:t>
      </w:r>
      <w:r>
        <w:rPr>
          <w:rFonts w:ascii="Arial" w:cs="Arial" w:eastAsia="Arial" w:hAnsi="Arial"/>
          <w:sz w:val="27"/>
          <w:szCs w:val="27"/>
          <w:color w:val="auto"/>
        </w:rPr>
        <w:t>-</w:t>
      </w:r>
      <w:r>
        <w:rPr>
          <w:rFonts w:ascii="Arial" w:cs="Arial" w:eastAsia="Arial" w:hAnsi="Arial"/>
          <w:sz w:val="27"/>
          <w:szCs w:val="27"/>
          <w:color w:val="auto"/>
        </w:rPr>
        <w:t>сосудистое заболевание</w:t>
      </w:r>
      <w:r>
        <w:rPr>
          <w:rFonts w:ascii="Arial" w:cs="Arial" w:eastAsia="Arial" w:hAnsi="Arial"/>
          <w:sz w:val="27"/>
          <w:szCs w:val="27"/>
          <w:color w:val="auto"/>
        </w:rPr>
        <w:t>,</w:t>
      </w:r>
      <w:r>
        <w:rPr>
          <w:rFonts w:ascii="Arial" w:cs="Arial" w:eastAsia="Arial" w:hAnsi="Arial"/>
          <w:sz w:val="27"/>
          <w:szCs w:val="27"/>
          <w:color w:val="auto"/>
        </w:rPr>
        <w:t xml:space="preserve"> ХБП </w:t>
      </w:r>
      <w:r>
        <w:rPr>
          <w:rFonts w:ascii="Arial" w:cs="Arial" w:eastAsia="Arial" w:hAnsi="Arial"/>
          <w:sz w:val="27"/>
          <w:szCs w:val="27"/>
          <w:color w:val="auto"/>
        </w:rPr>
        <w:t>—</w:t>
      </w:r>
      <w:r>
        <w:rPr>
          <w:rFonts w:ascii="Arial" w:cs="Arial" w:eastAsia="Arial" w:hAnsi="Arial"/>
          <w:sz w:val="27"/>
          <w:szCs w:val="27"/>
          <w:color w:val="auto"/>
        </w:rPr>
        <w:t xml:space="preserve"> хроническая болезнь почек</w:t>
      </w:r>
      <w:r>
        <w:rPr>
          <w:rFonts w:ascii="Arial" w:cs="Arial" w:eastAsia="Arial" w:hAnsi="Arial"/>
          <w:sz w:val="27"/>
          <w:szCs w:val="27"/>
          <w:color w:val="auto"/>
        </w:rPr>
        <w:t>,</w:t>
      </w:r>
      <w:r>
        <w:rPr>
          <w:rFonts w:ascii="Arial" w:cs="Arial" w:eastAsia="Arial" w:hAnsi="Arial"/>
          <w:sz w:val="27"/>
          <w:szCs w:val="27"/>
          <w:color w:val="auto"/>
        </w:rPr>
        <w:t xml:space="preserve"> ХС</w:t>
      </w:r>
      <w:r>
        <w:rPr>
          <w:rFonts w:ascii="Arial" w:cs="Arial" w:eastAsia="Arial" w:hAnsi="Arial"/>
          <w:sz w:val="27"/>
          <w:szCs w:val="27"/>
          <w:color w:val="auto"/>
        </w:rPr>
        <w:t>-</w:t>
      </w:r>
      <w:r>
        <w:rPr>
          <w:rFonts w:ascii="Arial" w:cs="Arial" w:eastAsia="Arial" w:hAnsi="Arial"/>
          <w:sz w:val="27"/>
          <w:szCs w:val="27"/>
          <w:color w:val="auto"/>
        </w:rPr>
        <w:t xml:space="preserve">ЛНП </w:t>
      </w:r>
      <w:r>
        <w:rPr>
          <w:rFonts w:ascii="Arial" w:cs="Arial" w:eastAsia="Arial" w:hAnsi="Arial"/>
          <w:sz w:val="27"/>
          <w:szCs w:val="27"/>
          <w:color w:val="auto"/>
        </w:rPr>
        <w:t>—</w:t>
      </w:r>
      <w:r>
        <w:rPr>
          <w:rFonts w:ascii="Arial" w:cs="Arial" w:eastAsia="Arial" w:hAnsi="Arial"/>
          <w:sz w:val="27"/>
          <w:szCs w:val="27"/>
          <w:color w:val="auto"/>
        </w:rPr>
        <w:t xml:space="preserve"> холестерин липопротеинов низкой плотности</w:t>
      </w:r>
      <w:r>
        <w:rPr>
          <w:rFonts w:ascii="Arial" w:cs="Arial" w:eastAsia="Arial" w:hAnsi="Arial"/>
          <w:sz w:val="27"/>
          <w:szCs w:val="27"/>
          <w:color w:val="auto"/>
        </w:rPr>
        <w:t>,</w:t>
      </w:r>
      <w:r>
        <w:rPr>
          <w:rFonts w:ascii="Arial" w:cs="Arial" w:eastAsia="Arial" w:hAnsi="Arial"/>
          <w:sz w:val="27"/>
          <w:szCs w:val="27"/>
          <w:color w:val="auto"/>
        </w:rPr>
        <w:t xml:space="preserve"> ФР </w:t>
      </w:r>
      <w:r>
        <w:rPr>
          <w:rFonts w:ascii="Arial" w:cs="Arial" w:eastAsia="Arial" w:hAnsi="Arial"/>
          <w:sz w:val="27"/>
          <w:szCs w:val="27"/>
          <w:color w:val="auto"/>
        </w:rPr>
        <w:t>—</w:t>
      </w:r>
      <w:r>
        <w:rPr>
          <w:rFonts w:ascii="Arial" w:cs="Arial" w:eastAsia="Arial" w:hAnsi="Arial"/>
          <w:sz w:val="27"/>
          <w:szCs w:val="27"/>
          <w:color w:val="auto"/>
        </w:rPr>
        <w:t xml:space="preserve"> факторы риска</w:t>
      </w:r>
      <w:r>
        <w:rPr>
          <w:rFonts w:ascii="Arial" w:cs="Arial" w:eastAsia="Arial" w:hAnsi="Arial"/>
          <w:sz w:val="27"/>
          <w:szCs w:val="27"/>
          <w:color w:val="auto"/>
        </w:rPr>
        <w:t>.</w:t>
      </w:r>
    </w:p>
    <w:p>
      <w:pPr>
        <w:spacing w:after="0" w:line="22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3.</w:t>
      </w:r>
      <w:r>
        <w:rPr>
          <w:rFonts w:ascii="Arial" w:cs="Arial" w:eastAsia="Arial" w:hAnsi="Arial"/>
          <w:sz w:val="27"/>
          <w:szCs w:val="27"/>
          <w:color w:val="auto"/>
        </w:rPr>
        <w:t xml:space="preserve"> Шкала </w:t>
      </w:r>
      <w:r>
        <w:rPr>
          <w:rFonts w:ascii="Arial" w:cs="Arial" w:eastAsia="Arial" w:hAnsi="Arial"/>
          <w:sz w:val="27"/>
          <w:szCs w:val="27"/>
          <w:color w:val="auto"/>
        </w:rPr>
        <w:t>SCORE</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Название на русском языке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Шкала</w:t>
      </w:r>
      <w:r>
        <w:rPr>
          <w:rFonts w:ascii="Arial" w:cs="Arial" w:eastAsia="Arial" w:hAnsi="Arial"/>
          <w:sz w:val="27"/>
          <w:szCs w:val="27"/>
          <w:b w:val="1"/>
          <w:bCs w:val="1"/>
          <w:color w:val="auto"/>
        </w:rPr>
        <w:t xml:space="preserve"> </w:t>
      </w:r>
      <w:r>
        <w:rPr>
          <w:rFonts w:ascii="Arial" w:cs="Arial" w:eastAsia="Arial" w:hAnsi="Arial"/>
          <w:sz w:val="27"/>
          <w:szCs w:val="27"/>
          <w:color w:val="auto"/>
        </w:rPr>
        <w:t>SCORE</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 xml:space="preserve">Оригинальноеназвание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еслиесть</w:t>
      </w:r>
      <w:r>
        <w:rPr>
          <w:rFonts w:ascii="Arial" w:cs="Arial" w:eastAsia="Arial" w:hAnsi="Arial"/>
          <w:sz w:val="27"/>
          <w:szCs w:val="27"/>
          <w:b w:val="1"/>
          <w:bCs w:val="1"/>
          <w:color w:val="auto"/>
        </w:rPr>
        <w:t>):</w:t>
      </w:r>
      <w:r>
        <w:rPr>
          <w:rFonts w:ascii="Arial" w:cs="Arial" w:eastAsia="Arial" w:hAnsi="Arial"/>
          <w:sz w:val="27"/>
          <w:szCs w:val="27"/>
          <w:color w:val="auto"/>
        </w:rPr>
        <w:t>SCORE scale (Systematic</w:t>
      </w:r>
      <w:r>
        <w:rPr>
          <w:rFonts w:ascii="Arial" w:cs="Arial" w:eastAsia="Arial" w:hAnsi="Arial"/>
          <w:sz w:val="27"/>
          <w:szCs w:val="27"/>
          <w:b w:val="1"/>
          <w:bCs w:val="1"/>
          <w:color w:val="auto"/>
        </w:rPr>
        <w:t xml:space="preserve"> </w:t>
      </w:r>
      <w:r>
        <w:rPr>
          <w:rFonts w:ascii="Arial" w:cs="Arial" w:eastAsia="Arial" w:hAnsi="Arial"/>
          <w:sz w:val="27"/>
          <w:szCs w:val="27"/>
          <w:color w:val="auto"/>
        </w:rPr>
        <w:t>COronary Risk Evaluation)</w:t>
      </w:r>
    </w:p>
    <w:p>
      <w:pPr>
        <w:spacing w:after="0" w:line="186"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 xml:space="preserve">Источник </w:t>
      </w:r>
      <w:r>
        <w:rPr>
          <w:rFonts w:ascii="Arial" w:cs="Arial" w:eastAsia="Arial" w:hAnsi="Arial"/>
          <w:sz w:val="27"/>
          <w:szCs w:val="27"/>
          <w:b w:val="1"/>
          <w:bCs w:val="1"/>
          <w:color w:val="auto"/>
        </w:rPr>
        <w:t>(</w:t>
      </w:r>
      <w:r>
        <w:rPr>
          <w:rFonts w:ascii="Arial" w:cs="Arial" w:eastAsia="Arial" w:hAnsi="Arial"/>
          <w:sz w:val="27"/>
          <w:szCs w:val="27"/>
          <w:b w:val="1"/>
          <w:bCs w:val="1"/>
          <w:color w:val="auto"/>
        </w:rPr>
        <w:t>официальный сайт разработчиков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публикация с валидацией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http://www.heartscore.org/ru_RU</w:t>
      </w:r>
    </w:p>
    <w:p>
      <w:pPr>
        <w:spacing w:after="0" w:line="179"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Тип </w:t>
      </w:r>
      <w:r>
        <w:rPr>
          <w:rFonts w:ascii="Arial" w:cs="Arial" w:eastAsia="Arial" w:hAnsi="Arial"/>
          <w:sz w:val="27"/>
          <w:szCs w:val="27"/>
          <w:b w:val="1"/>
          <w:bCs w:val="1"/>
          <w:color w:val="auto"/>
        </w:rPr>
        <w:t>(</w:t>
      </w:r>
      <w:r>
        <w:rPr>
          <w:rFonts w:ascii="Arial" w:cs="Arial" w:eastAsia="Arial" w:hAnsi="Arial"/>
          <w:sz w:val="27"/>
          <w:szCs w:val="27"/>
          <w:b w:val="1"/>
          <w:bCs w:val="1"/>
          <w:color w:val="auto"/>
        </w:rPr>
        <w:t>подчеркнуть</w:t>
      </w:r>
      <w:r>
        <w:rPr>
          <w:rFonts w:ascii="Arial" w:cs="Arial" w:eastAsia="Arial" w:hAnsi="Arial"/>
          <w:sz w:val="27"/>
          <w:szCs w:val="27"/>
          <w:b w:val="1"/>
          <w:bCs w:val="1"/>
          <w:color w:val="auto"/>
        </w:rPr>
        <w:t>):</w:t>
      </w:r>
    </w:p>
    <w:p>
      <w:pPr>
        <w:spacing w:after="0" w:line="350" w:lineRule="exact"/>
        <w:rPr>
          <w:sz w:val="20"/>
          <w:szCs w:val="20"/>
          <w:color w:val="auto"/>
        </w:rPr>
      </w:pPr>
    </w:p>
    <w:p>
      <w:pPr>
        <w:ind w:left="540" w:hanging="179"/>
        <w:spacing w:after="0"/>
        <w:tabs>
          <w:tab w:leader="none" w:pos="540" w:val="left"/>
        </w:tabs>
        <w:numPr>
          <w:ilvl w:val="0"/>
          <w:numId w:val="104"/>
        </w:numPr>
        <w:rPr>
          <w:rFonts w:ascii="Arial" w:cs="Arial" w:eastAsia="Arial" w:hAnsi="Arial"/>
          <w:sz w:val="27"/>
          <w:szCs w:val="27"/>
          <w:u w:val="single" w:color="auto"/>
          <w:color w:val="auto"/>
        </w:rPr>
      </w:pPr>
      <w:r>
        <w:rPr>
          <w:rFonts w:ascii="Arial" w:cs="Arial" w:eastAsia="Arial" w:hAnsi="Arial"/>
          <w:sz w:val="27"/>
          <w:szCs w:val="27"/>
          <w:u w:val="single" w:color="auto"/>
          <w:color w:val="auto"/>
        </w:rPr>
        <w:t>шкала оценки</w:t>
      </w:r>
    </w:p>
    <w:p>
      <w:pPr>
        <w:spacing w:after="0" w:line="349" w:lineRule="exact"/>
        <w:rPr>
          <w:rFonts w:ascii="Arial" w:cs="Arial" w:eastAsia="Arial" w:hAnsi="Arial"/>
          <w:sz w:val="27"/>
          <w:szCs w:val="27"/>
          <w:u w:val="single" w:color="auto"/>
          <w:color w:val="auto"/>
        </w:rPr>
      </w:pPr>
    </w:p>
    <w:p>
      <w:pPr>
        <w:ind w:left="620"/>
        <w:spacing w:after="0"/>
        <w:rPr>
          <w:rFonts w:ascii="Arial" w:cs="Arial" w:eastAsia="Arial" w:hAnsi="Arial"/>
          <w:sz w:val="27"/>
          <w:szCs w:val="27"/>
          <w:u w:val="single" w:color="auto"/>
          <w:color w:val="auto"/>
        </w:rPr>
      </w:pPr>
      <w:r>
        <w:rPr>
          <w:rFonts w:ascii="Arial" w:cs="Arial" w:eastAsia="Arial" w:hAnsi="Arial"/>
          <w:sz w:val="27"/>
          <w:szCs w:val="27"/>
          <w:color w:val="auto"/>
        </w:rPr>
        <w:t xml:space="preserve">— </w:t>
      </w:r>
      <w:r>
        <w:rPr>
          <w:rFonts w:ascii="Arial" w:cs="Arial" w:eastAsia="Arial" w:hAnsi="Arial"/>
          <w:sz w:val="27"/>
          <w:szCs w:val="27"/>
          <w:color w:val="auto"/>
        </w:rPr>
        <w:t>индекс</w:t>
      </w:r>
    </w:p>
    <w:p>
      <w:pPr>
        <w:spacing w:after="0" w:line="349" w:lineRule="exact"/>
        <w:rPr>
          <w:rFonts w:ascii="Arial" w:cs="Arial" w:eastAsia="Arial" w:hAnsi="Arial"/>
          <w:sz w:val="27"/>
          <w:szCs w:val="27"/>
          <w:u w:val="single" w:color="auto"/>
          <w:color w:val="auto"/>
        </w:rPr>
      </w:pPr>
    </w:p>
    <w:p>
      <w:pPr>
        <w:ind w:left="620"/>
        <w:spacing w:after="0"/>
        <w:rPr>
          <w:rFonts w:ascii="Arial" w:cs="Arial" w:eastAsia="Arial" w:hAnsi="Arial"/>
          <w:sz w:val="27"/>
          <w:szCs w:val="27"/>
          <w:u w:val="single" w:color="auto"/>
          <w:color w:val="auto"/>
        </w:rPr>
      </w:pPr>
      <w:r>
        <w:rPr>
          <w:rFonts w:ascii="Arial" w:cs="Arial" w:eastAsia="Arial" w:hAnsi="Arial"/>
          <w:sz w:val="27"/>
          <w:szCs w:val="27"/>
          <w:color w:val="auto"/>
        </w:rPr>
        <w:t xml:space="preserve">— </w:t>
      </w:r>
      <w:r>
        <w:rPr>
          <w:rFonts w:ascii="Arial" w:cs="Arial" w:eastAsia="Arial" w:hAnsi="Arial"/>
          <w:sz w:val="27"/>
          <w:szCs w:val="27"/>
          <w:color w:val="auto"/>
        </w:rPr>
        <w:t>вопросник</w:t>
      </w:r>
    </w:p>
    <w:p>
      <w:pPr>
        <w:spacing w:after="0" w:line="349" w:lineRule="exact"/>
        <w:rPr>
          <w:rFonts w:ascii="Arial" w:cs="Arial" w:eastAsia="Arial" w:hAnsi="Arial"/>
          <w:sz w:val="27"/>
          <w:szCs w:val="27"/>
          <w:u w:val="single" w:color="auto"/>
          <w:color w:val="auto"/>
        </w:rPr>
      </w:pPr>
    </w:p>
    <w:p>
      <w:pPr>
        <w:ind w:left="620"/>
        <w:spacing w:after="0"/>
        <w:rPr>
          <w:rFonts w:ascii="Arial" w:cs="Arial" w:eastAsia="Arial" w:hAnsi="Arial"/>
          <w:sz w:val="27"/>
          <w:szCs w:val="27"/>
          <w:u w:val="single" w:color="auto"/>
          <w:color w:val="auto"/>
        </w:rPr>
      </w:pPr>
      <w:r>
        <w:rPr>
          <w:rFonts w:ascii="Arial" w:cs="Arial" w:eastAsia="Arial" w:hAnsi="Arial"/>
          <w:sz w:val="27"/>
          <w:szCs w:val="27"/>
          <w:color w:val="auto"/>
        </w:rPr>
        <w:t xml:space="preserve">— </w:t>
      </w:r>
      <w:r>
        <w:rPr>
          <w:rFonts w:ascii="Arial" w:cs="Arial" w:eastAsia="Arial" w:hAnsi="Arial"/>
          <w:sz w:val="27"/>
          <w:szCs w:val="27"/>
          <w:color w:val="auto"/>
        </w:rPr>
        <w:t>другое</w:t>
      </w:r>
      <w:r>
        <w:rPr>
          <w:rFonts w:ascii="Arial" w:cs="Arial" w:eastAsia="Arial" w:hAnsi="Arial"/>
          <w:sz w:val="27"/>
          <w:szCs w:val="27"/>
          <w:color w:val="auto"/>
        </w:rPr>
        <w:t xml:space="preserve"> (</w:t>
      </w:r>
      <w:r>
        <w:rPr>
          <w:rFonts w:ascii="Arial" w:cs="Arial" w:eastAsia="Arial" w:hAnsi="Arial"/>
          <w:sz w:val="27"/>
          <w:szCs w:val="27"/>
          <w:color w:val="auto"/>
        </w:rPr>
        <w:t>уточнить</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Назначение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клинический инструмент для оценки риска</w:t>
      </w:r>
      <w:r>
        <w:rPr>
          <w:rFonts w:ascii="Arial" w:cs="Arial" w:eastAsia="Arial" w:hAnsi="Arial"/>
          <w:sz w:val="27"/>
          <w:szCs w:val="27"/>
          <w:b w:val="1"/>
          <w:bCs w:val="1"/>
          <w:color w:val="auto"/>
        </w:rPr>
        <w:t xml:space="preserve"> </w:t>
      </w:r>
      <w:r>
        <w:rPr>
          <w:rFonts w:ascii="Arial" w:cs="Arial" w:eastAsia="Arial" w:hAnsi="Arial"/>
          <w:sz w:val="27"/>
          <w:szCs w:val="27"/>
          <w:color w:val="auto"/>
        </w:rPr>
        <w:t>смертельного сердечно</w:t>
      </w:r>
      <w:r>
        <w:rPr>
          <w:rFonts w:ascii="Arial" w:cs="Arial" w:eastAsia="Arial" w:hAnsi="Arial"/>
          <w:sz w:val="27"/>
          <w:szCs w:val="27"/>
          <w:color w:val="auto"/>
        </w:rPr>
        <w:t>-</w:t>
      </w:r>
      <w:r>
        <w:rPr>
          <w:rFonts w:ascii="Arial" w:cs="Arial" w:eastAsia="Arial" w:hAnsi="Arial"/>
          <w:sz w:val="27"/>
          <w:szCs w:val="27"/>
          <w:color w:val="auto"/>
        </w:rPr>
        <w:t xml:space="preserve">сосудистого заболевания в течение </w:t>
      </w:r>
      <w:r>
        <w:rPr>
          <w:rFonts w:ascii="Arial" w:cs="Arial" w:eastAsia="Arial" w:hAnsi="Arial"/>
          <w:sz w:val="27"/>
          <w:szCs w:val="27"/>
          <w:color w:val="auto"/>
        </w:rPr>
        <w:t>10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Настоящая шкала разработана для стран с высоким уровнем смертности от ССЗ </w:t>
      </w:r>
      <w:r>
        <w:rPr>
          <w:rFonts w:ascii="Arial" w:cs="Arial" w:eastAsia="Arial" w:hAnsi="Arial"/>
          <w:sz w:val="27"/>
          <w:szCs w:val="27"/>
          <w:color w:val="auto"/>
        </w:rPr>
        <w:t>(</w:t>
      </w:r>
      <w:r>
        <w:rPr>
          <w:rFonts w:ascii="Arial" w:cs="Arial" w:eastAsia="Arial" w:hAnsi="Arial"/>
          <w:sz w:val="27"/>
          <w:szCs w:val="27"/>
          <w:color w:val="auto"/>
        </w:rPr>
        <w:t>включая Россию</w:t>
      </w:r>
      <w:r>
        <w:rPr>
          <w:rFonts w:ascii="Arial" w:cs="Arial" w:eastAsia="Arial" w:hAnsi="Arial"/>
          <w:sz w:val="27"/>
          <w:szCs w:val="27"/>
          <w:color w:val="auto"/>
        </w:rPr>
        <w:t>)</w:t>
      </w:r>
      <w:r>
        <w:rPr>
          <w:rFonts w:ascii="Arial" w:cs="Arial" w:eastAsia="Arial" w:hAnsi="Arial"/>
          <w:sz w:val="27"/>
          <w:szCs w:val="27"/>
          <w:color w:val="auto"/>
        </w:rPr>
        <w:t xml:space="preserve"> на основании следующих факторов</w:t>
      </w:r>
      <w:r>
        <w:rPr>
          <w:rFonts w:ascii="Arial" w:cs="Arial" w:eastAsia="Arial" w:hAnsi="Arial"/>
          <w:sz w:val="27"/>
          <w:szCs w:val="27"/>
          <w:color w:val="auto"/>
        </w:rPr>
        <w:t>:</w:t>
      </w:r>
      <w:r>
        <w:rPr>
          <w:rFonts w:ascii="Arial" w:cs="Arial" w:eastAsia="Arial" w:hAnsi="Arial"/>
          <w:sz w:val="27"/>
          <w:szCs w:val="27"/>
          <w:color w:val="auto"/>
        </w:rPr>
        <w:t xml:space="preserve"> возраст</w:t>
      </w:r>
      <w:r>
        <w:rPr>
          <w:rFonts w:ascii="Arial" w:cs="Arial" w:eastAsia="Arial" w:hAnsi="Arial"/>
          <w:sz w:val="27"/>
          <w:szCs w:val="27"/>
          <w:color w:val="auto"/>
        </w:rPr>
        <w:t>,</w:t>
      </w:r>
      <w:r>
        <w:rPr>
          <w:rFonts w:ascii="Arial" w:cs="Arial" w:eastAsia="Arial" w:hAnsi="Arial"/>
          <w:sz w:val="27"/>
          <w:szCs w:val="27"/>
          <w:color w:val="auto"/>
        </w:rPr>
        <w:t xml:space="preserve"> пол</w:t>
      </w:r>
      <w:r>
        <w:rPr>
          <w:rFonts w:ascii="Arial" w:cs="Arial" w:eastAsia="Arial" w:hAnsi="Arial"/>
          <w:sz w:val="27"/>
          <w:szCs w:val="27"/>
          <w:color w:val="auto"/>
        </w:rPr>
        <w:t>,</w:t>
      </w:r>
      <w:r>
        <w:rPr>
          <w:rFonts w:ascii="Arial" w:cs="Arial" w:eastAsia="Arial" w:hAnsi="Arial"/>
          <w:sz w:val="27"/>
          <w:szCs w:val="27"/>
          <w:color w:val="auto"/>
        </w:rPr>
        <w:t xml:space="preserve"> курение</w:t>
      </w:r>
      <w:r>
        <w:rPr>
          <w:rFonts w:ascii="Arial" w:cs="Arial" w:eastAsia="Arial" w:hAnsi="Arial"/>
          <w:sz w:val="27"/>
          <w:szCs w:val="27"/>
          <w:color w:val="auto"/>
        </w:rPr>
        <w:t>,</w:t>
      </w:r>
      <w:r>
        <w:rPr>
          <w:rFonts w:ascii="Arial" w:cs="Arial" w:eastAsia="Arial" w:hAnsi="Arial"/>
          <w:sz w:val="27"/>
          <w:szCs w:val="27"/>
          <w:color w:val="auto"/>
        </w:rPr>
        <w:t xml:space="preserve"> уровень систолического АД и</w:t>
      </w:r>
    </w:p>
    <w:p>
      <w:pPr>
        <w:sectPr>
          <w:pgSz w:w="11900" w:h="16840" w:orient="portrait"/>
          <w:cols w:equalWidth="0" w:num="1">
            <w:col w:w="9020"/>
          </w:cols>
          <w:pgMar w:left="1440" w:top="0" w:right="1440" w:bottom="0" w:gutter="0" w:footer="0" w:header="0"/>
        </w:sectPr>
      </w:pPr>
    </w:p>
    <w:bookmarkStart w:id="143" w:name="page144"/>
    <w:bookmarkEnd w:id="143"/>
    <w:p>
      <w:pPr>
        <w:jc w:val="both"/>
        <w:ind w:left="360" w:right="220"/>
        <w:spacing w:after="0" w:line="317" w:lineRule="auto"/>
        <w:rPr>
          <w:sz w:val="20"/>
          <w:szCs w:val="20"/>
          <w:color w:val="auto"/>
        </w:rPr>
      </w:pPr>
      <w:r>
        <w:rPr>
          <w:rFonts w:ascii="Arial" w:cs="Arial" w:eastAsia="Arial" w:hAnsi="Arial"/>
          <w:sz w:val="27"/>
          <w:szCs w:val="27"/>
          <w:color w:val="auto"/>
        </w:rPr>
        <w:t>ОХС</w:t>
      </w:r>
      <w:r>
        <w:rPr>
          <w:rFonts w:ascii="Arial" w:cs="Arial" w:eastAsia="Arial" w:hAnsi="Arial"/>
          <w:sz w:val="27"/>
          <w:szCs w:val="27"/>
          <w:color w:val="auto"/>
        </w:rPr>
        <w:t>.</w:t>
      </w:r>
      <w:r>
        <w:rPr>
          <w:rFonts w:ascii="Arial" w:cs="Arial" w:eastAsia="Arial" w:hAnsi="Arial"/>
          <w:sz w:val="27"/>
          <w:szCs w:val="27"/>
          <w:color w:val="auto"/>
        </w:rPr>
        <w:t xml:space="preserve"> Уровень ХС ЛВП не учитывается</w:t>
      </w:r>
      <w:r>
        <w:rPr>
          <w:rFonts w:ascii="Arial" w:cs="Arial" w:eastAsia="Arial" w:hAnsi="Arial"/>
          <w:sz w:val="27"/>
          <w:szCs w:val="27"/>
          <w:color w:val="auto"/>
        </w:rPr>
        <w:t>.</w:t>
      </w:r>
      <w:r>
        <w:rPr>
          <w:rFonts w:ascii="Arial" w:cs="Arial" w:eastAsia="Arial" w:hAnsi="Arial"/>
          <w:sz w:val="27"/>
          <w:szCs w:val="27"/>
          <w:color w:val="auto"/>
        </w:rPr>
        <w:t xml:space="preserve"> Общая оценка риска с помощью </w:t>
      </w:r>
      <w:r>
        <w:rPr>
          <w:rFonts w:ascii="Arial" w:cs="Arial" w:eastAsia="Arial" w:hAnsi="Arial"/>
          <w:sz w:val="27"/>
          <w:szCs w:val="27"/>
          <w:color w:val="auto"/>
        </w:rPr>
        <w:t>SCORE</w:t>
      </w:r>
      <w:r>
        <w:rPr>
          <w:rFonts w:ascii="Arial" w:cs="Arial" w:eastAsia="Arial" w:hAnsi="Arial"/>
          <w:sz w:val="27"/>
          <w:szCs w:val="27"/>
          <w:color w:val="auto"/>
        </w:rPr>
        <w:t xml:space="preserve"> рекомендуется у бессимптомных взрослых старше </w:t>
      </w:r>
      <w:r>
        <w:rPr>
          <w:rFonts w:ascii="Arial" w:cs="Arial" w:eastAsia="Arial" w:hAnsi="Arial"/>
          <w:sz w:val="27"/>
          <w:szCs w:val="27"/>
          <w:color w:val="auto"/>
        </w:rPr>
        <w:t>40</w:t>
      </w:r>
      <w:r>
        <w:rPr>
          <w:rFonts w:ascii="Arial" w:cs="Arial" w:eastAsia="Arial" w:hAnsi="Arial"/>
          <w:sz w:val="27"/>
          <w:szCs w:val="27"/>
          <w:color w:val="auto"/>
        </w:rPr>
        <w:t xml:space="preserve"> лет</w:t>
      </w:r>
      <w:r>
        <w:rPr>
          <w:rFonts w:ascii="Arial" w:cs="Arial" w:eastAsia="Arial" w:hAnsi="Arial"/>
          <w:sz w:val="27"/>
          <w:szCs w:val="27"/>
          <w:color w:val="auto"/>
        </w:rPr>
        <w:t>,</w:t>
      </w:r>
      <w:r>
        <w:rPr>
          <w:rFonts w:ascii="Arial" w:cs="Arial" w:eastAsia="Arial" w:hAnsi="Arial"/>
          <w:sz w:val="27"/>
          <w:szCs w:val="27"/>
          <w:color w:val="auto"/>
        </w:rPr>
        <w:t xml:space="preserve"> без ССЗ</w:t>
      </w:r>
      <w:r>
        <w:rPr>
          <w:rFonts w:ascii="Arial" w:cs="Arial" w:eastAsia="Arial" w:hAnsi="Arial"/>
          <w:sz w:val="27"/>
          <w:szCs w:val="27"/>
          <w:color w:val="auto"/>
        </w:rPr>
        <w:t>,</w:t>
      </w:r>
      <w:r>
        <w:rPr>
          <w:rFonts w:ascii="Arial" w:cs="Arial" w:eastAsia="Arial" w:hAnsi="Arial"/>
          <w:sz w:val="27"/>
          <w:szCs w:val="27"/>
          <w:color w:val="auto"/>
        </w:rPr>
        <w:t xml:space="preserve"> СД</w:t>
      </w:r>
      <w:r>
        <w:rPr>
          <w:rFonts w:ascii="Arial" w:cs="Arial" w:eastAsia="Arial" w:hAnsi="Arial"/>
          <w:sz w:val="27"/>
          <w:szCs w:val="27"/>
          <w:color w:val="auto"/>
        </w:rPr>
        <w:t>,</w:t>
      </w:r>
      <w:r>
        <w:rPr>
          <w:rFonts w:ascii="Arial" w:cs="Arial" w:eastAsia="Arial" w:hAnsi="Arial"/>
          <w:sz w:val="27"/>
          <w:szCs w:val="27"/>
          <w:color w:val="auto"/>
        </w:rPr>
        <w:t xml:space="preserve"> ХБП или СГХС</w:t>
      </w:r>
      <w:r>
        <w:rPr>
          <w:rFonts w:ascii="Arial" w:cs="Arial" w:eastAsia="Arial" w:hAnsi="Arial"/>
          <w:sz w:val="27"/>
          <w:szCs w:val="27"/>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368935</wp:posOffset>
            </wp:positionV>
            <wp:extent cx="5365115" cy="8338185"/>
            <wp:wrapNone/>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84">
                      <a:extLst>
                        <a:ext uri="{28A0092B-C50C-407E-A947-70E740481C1C}"/>
                      </a:extLst>
                    </a:blip>
                    <a:srcRect/>
                    <a:stretch>
                      <a:fillRect/>
                    </a:stretch>
                  </pic:blipFill>
                  <pic:spPr bwMode="auto">
                    <a:xfrm>
                      <a:off x="0" y="0"/>
                      <a:ext cx="5365115" cy="833818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81"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Ключ </w:t>
      </w:r>
      <w:r>
        <w:rPr>
          <w:rFonts w:ascii="Arial" w:cs="Arial" w:eastAsia="Arial" w:hAnsi="Arial"/>
          <w:sz w:val="27"/>
          <w:szCs w:val="27"/>
          <w:b w:val="1"/>
          <w:bCs w:val="1"/>
          <w:color w:val="auto"/>
        </w:rPr>
        <w:t>(</w:t>
      </w:r>
      <w:r>
        <w:rPr>
          <w:rFonts w:ascii="Arial" w:cs="Arial" w:eastAsia="Arial" w:hAnsi="Arial"/>
          <w:sz w:val="27"/>
          <w:szCs w:val="27"/>
          <w:b w:val="1"/>
          <w:bCs w:val="1"/>
          <w:color w:val="auto"/>
        </w:rPr>
        <w:t>интерпретация</w:t>
      </w:r>
      <w:r>
        <w:rPr>
          <w:rFonts w:ascii="Arial" w:cs="Arial" w:eastAsia="Arial" w:hAnsi="Arial"/>
          <w:sz w:val="27"/>
          <w:szCs w:val="27"/>
          <w:b w:val="1"/>
          <w:bCs w:val="1"/>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Уровень суммарного СС риск по шкале </w:t>
      </w:r>
      <w:r>
        <w:rPr>
          <w:rFonts w:ascii="Arial" w:cs="Arial" w:eastAsia="Arial" w:hAnsi="Arial"/>
          <w:sz w:val="27"/>
          <w:szCs w:val="27"/>
          <w:color w:val="auto"/>
        </w:rPr>
        <w:t>SCORE:</w:t>
      </w:r>
    </w:p>
    <w:p>
      <w:pPr>
        <w:sectPr>
          <w:pgSz w:w="11900" w:h="16840" w:orient="portrait"/>
          <w:cols w:equalWidth="0" w:num="1">
            <w:col w:w="9020"/>
          </w:cols>
          <w:pgMar w:left="1440" w:top="19" w:right="1440" w:bottom="54" w:gutter="0" w:footer="0" w:header="0"/>
        </w:sectPr>
      </w:pPr>
    </w:p>
    <w:bookmarkStart w:id="144" w:name="page145"/>
    <w:bookmarkEnd w:id="144"/>
    <w:p>
      <w:pPr>
        <w:ind w:left="360"/>
        <w:spacing w:after="0"/>
        <w:rPr>
          <w:sz w:val="20"/>
          <w:szCs w:val="20"/>
          <w:color w:val="auto"/>
        </w:rPr>
      </w:pPr>
      <w:r>
        <w:rPr>
          <w:rFonts w:ascii="Arial" w:cs="Arial" w:eastAsia="Arial" w:hAnsi="Arial"/>
          <w:sz w:val="27"/>
          <w:szCs w:val="27"/>
          <w:color w:val="auto"/>
        </w:rPr>
        <w:t xml:space="preserve">менее </w:t>
      </w:r>
      <w:r>
        <w:rPr>
          <w:rFonts w:ascii="Arial" w:cs="Arial" w:eastAsia="Arial" w:hAnsi="Arial"/>
          <w:sz w:val="27"/>
          <w:szCs w:val="27"/>
          <w:color w:val="auto"/>
        </w:rPr>
        <w:t>1% —</w:t>
      </w:r>
      <w:r>
        <w:rPr>
          <w:rFonts w:ascii="Arial" w:cs="Arial" w:eastAsia="Arial" w:hAnsi="Arial"/>
          <w:sz w:val="27"/>
          <w:szCs w:val="27"/>
          <w:color w:val="auto"/>
        </w:rPr>
        <w:t xml:space="preserve"> низкий</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от </w:t>
      </w:r>
      <w:r>
        <w:rPr>
          <w:rFonts w:ascii="Arial" w:cs="Arial" w:eastAsia="Arial" w:hAnsi="Arial"/>
          <w:sz w:val="27"/>
          <w:szCs w:val="27"/>
          <w:color w:val="auto"/>
        </w:rPr>
        <w:t>1</w:t>
      </w:r>
      <w:r>
        <w:rPr>
          <w:rFonts w:ascii="Arial" w:cs="Arial" w:eastAsia="Arial" w:hAnsi="Arial"/>
          <w:sz w:val="27"/>
          <w:szCs w:val="27"/>
          <w:color w:val="auto"/>
        </w:rPr>
        <w:t xml:space="preserve"> до </w:t>
      </w:r>
      <w:r>
        <w:rPr>
          <w:rFonts w:ascii="Arial" w:cs="Arial" w:eastAsia="Arial" w:hAnsi="Arial"/>
          <w:sz w:val="27"/>
          <w:szCs w:val="27"/>
          <w:color w:val="auto"/>
        </w:rPr>
        <w:t>4% —</w:t>
      </w:r>
      <w:r>
        <w:rPr>
          <w:rFonts w:ascii="Arial" w:cs="Arial" w:eastAsia="Arial" w:hAnsi="Arial"/>
          <w:sz w:val="27"/>
          <w:szCs w:val="27"/>
          <w:color w:val="auto"/>
        </w:rPr>
        <w:t xml:space="preserve"> средний или умеренно повышенный</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от </w:t>
      </w:r>
      <w:r>
        <w:rPr>
          <w:rFonts w:ascii="Arial" w:cs="Arial" w:eastAsia="Arial" w:hAnsi="Arial"/>
          <w:sz w:val="27"/>
          <w:szCs w:val="27"/>
          <w:color w:val="auto"/>
        </w:rPr>
        <w:t>5%</w:t>
      </w:r>
      <w:r>
        <w:rPr>
          <w:rFonts w:ascii="Arial" w:cs="Arial" w:eastAsia="Arial" w:hAnsi="Arial"/>
          <w:sz w:val="27"/>
          <w:szCs w:val="27"/>
          <w:color w:val="auto"/>
        </w:rPr>
        <w:t xml:space="preserve"> до </w:t>
      </w:r>
      <w:r>
        <w:rPr>
          <w:rFonts w:ascii="Arial" w:cs="Arial" w:eastAsia="Arial" w:hAnsi="Arial"/>
          <w:sz w:val="27"/>
          <w:szCs w:val="27"/>
          <w:color w:val="auto"/>
        </w:rPr>
        <w:t>9% —</w:t>
      </w:r>
      <w:r>
        <w:rPr>
          <w:rFonts w:ascii="Arial" w:cs="Arial" w:eastAsia="Arial" w:hAnsi="Arial"/>
          <w:sz w:val="27"/>
          <w:szCs w:val="27"/>
          <w:color w:val="auto"/>
        </w:rPr>
        <w:t xml:space="preserve"> высокий</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&gt;10% — </w:t>
      </w:r>
      <w:r>
        <w:rPr>
          <w:rFonts w:ascii="Arial" w:cs="Arial" w:eastAsia="Arial" w:hAnsi="Arial"/>
          <w:sz w:val="27"/>
          <w:szCs w:val="27"/>
          <w:color w:val="auto"/>
        </w:rPr>
        <w:t>очень высокий</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Пояснения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нет</w:t>
      </w:r>
    </w:p>
    <w:p>
      <w:pPr>
        <w:spacing w:after="0" w:line="350" w:lineRule="exact"/>
        <w:rPr>
          <w:sz w:val="20"/>
          <w:szCs w:val="20"/>
          <w:color w:val="auto"/>
        </w:rPr>
      </w:pPr>
    </w:p>
    <w:p>
      <w:pPr>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12/</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Шкала глобальной оценки </w:t>
      </w:r>
      <w:r>
        <w:rPr>
          <w:rFonts w:ascii="Arial" w:cs="Arial" w:eastAsia="Arial" w:hAnsi="Arial"/>
          <w:sz w:val="27"/>
          <w:szCs w:val="27"/>
          <w:b w:val="1"/>
          <w:bCs w:val="1"/>
          <w:color w:val="auto"/>
        </w:rPr>
        <w:t>10-</w:t>
      </w:r>
      <w:r>
        <w:rPr>
          <w:rFonts w:ascii="Arial" w:cs="Arial" w:eastAsia="Arial" w:hAnsi="Arial"/>
          <w:sz w:val="27"/>
          <w:szCs w:val="27"/>
          <w:b w:val="1"/>
          <w:bCs w:val="1"/>
          <w:color w:val="auto"/>
        </w:rPr>
        <w:t>летнего сердечно</w:t>
      </w:r>
      <w:r>
        <w:rPr>
          <w:rFonts w:ascii="Arial" w:cs="Arial" w:eastAsia="Arial" w:hAnsi="Arial"/>
          <w:sz w:val="27"/>
          <w:szCs w:val="27"/>
          <w:b w:val="1"/>
          <w:bCs w:val="1"/>
          <w:color w:val="auto"/>
        </w:rPr>
        <w:t>-</w:t>
      </w:r>
      <w:r>
        <w:rPr>
          <w:rFonts w:ascii="Arial" w:cs="Arial" w:eastAsia="Arial" w:hAnsi="Arial"/>
          <w:sz w:val="27"/>
          <w:szCs w:val="27"/>
          <w:b w:val="1"/>
          <w:bCs w:val="1"/>
          <w:color w:val="auto"/>
        </w:rPr>
        <w:t>сосудистого риска</w:t>
      </w:r>
    </w:p>
    <w:p>
      <w:pPr>
        <w:spacing w:after="0" w:line="139"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204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Экстремальный</w:t>
            </w:r>
          </w:p>
        </w:tc>
        <w:tc>
          <w:tcPr>
            <w:tcW w:w="6420" w:type="dxa"/>
            <w:vAlign w:val="bottom"/>
            <w:tcBorders>
              <w:top w:val="single" w:sz="8" w:color="auto"/>
              <w:right w:val="single" w:sz="8" w:color="auto"/>
            </w:tcBorders>
            <w:vMerge w:val="restart"/>
          </w:tcPr>
          <w:p>
            <w:pPr>
              <w:ind w:left="1320"/>
              <w:spacing w:after="0"/>
              <w:rPr>
                <w:sz w:val="20"/>
                <w:szCs w:val="20"/>
                <w:color w:val="auto"/>
              </w:rPr>
            </w:pPr>
            <w:r>
              <w:rPr>
                <w:rFonts w:ascii="Verdana" w:cs="Verdana" w:eastAsia="Verdana" w:hAnsi="Verdana"/>
                <w:sz w:val="17"/>
                <w:szCs w:val="17"/>
                <w:color w:val="auto"/>
              </w:rPr>
              <w:t>Сочетание клинически значимого 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сосудистого</w:t>
            </w:r>
          </w:p>
        </w:tc>
        <w:tc>
          <w:tcPr>
            <w:tcW w:w="0" w:type="dxa"/>
            <w:vAlign w:val="bottom"/>
          </w:tcPr>
          <w:p>
            <w:pPr>
              <w:spacing w:after="0"/>
              <w:rPr>
                <w:sz w:val="1"/>
                <w:szCs w:val="1"/>
                <w:color w:val="auto"/>
              </w:rPr>
            </w:pPr>
          </w:p>
        </w:tc>
      </w:tr>
      <w:tr>
        <w:trPr>
          <w:trHeight w:val="105"/>
        </w:trPr>
        <w:tc>
          <w:tcPr>
            <w:tcW w:w="2040" w:type="dxa"/>
            <w:vAlign w:val="bottom"/>
            <w:tcBorders>
              <w:left w:val="single" w:sz="8" w:color="auto"/>
              <w:right w:val="single" w:sz="8" w:color="auto"/>
            </w:tcBorders>
          </w:tcPr>
          <w:p>
            <w:pPr>
              <w:spacing w:after="0"/>
              <w:rPr>
                <w:sz w:val="9"/>
                <w:szCs w:val="9"/>
                <w:color w:val="auto"/>
              </w:rPr>
            </w:pPr>
          </w:p>
        </w:tc>
        <w:tc>
          <w:tcPr>
            <w:tcW w:w="6420" w:type="dxa"/>
            <w:vAlign w:val="bottom"/>
            <w:tcBorders>
              <w:right w:val="single" w:sz="8" w:color="auto"/>
            </w:tcBorders>
            <w:vMerge w:val="continue"/>
          </w:tcPr>
          <w:p>
            <w:pPr>
              <w:spacing w:after="0"/>
              <w:rPr>
                <w:sz w:val="9"/>
                <w:szCs w:val="9"/>
                <w:color w:val="auto"/>
              </w:rPr>
            </w:pPr>
          </w:p>
        </w:tc>
        <w:tc>
          <w:tcPr>
            <w:tcW w:w="0" w:type="dxa"/>
            <w:vAlign w:val="bottom"/>
          </w:tcPr>
          <w:p>
            <w:pPr>
              <w:spacing w:after="0"/>
              <w:rPr>
                <w:sz w:val="1"/>
                <w:szCs w:val="1"/>
                <w:color w:val="auto"/>
              </w:rPr>
            </w:pPr>
          </w:p>
        </w:tc>
      </w:tr>
      <w:tr>
        <w:trPr>
          <w:trHeight w:val="56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заболевания</w:t>
            </w:r>
            <w:r>
              <w:rPr>
                <w:rFonts w:ascii="Verdana" w:cs="Verdana" w:eastAsia="Verdana" w:hAnsi="Verdana"/>
                <w:sz w:val="33"/>
                <w:szCs w:val="33"/>
                <w:color w:val="auto"/>
                <w:vertAlign w:val="superscript"/>
              </w:rPr>
              <w:t>1</w:t>
            </w:r>
            <w:r>
              <w:rPr>
                <w:rFonts w:ascii="Verdana" w:cs="Verdana" w:eastAsia="Verdana" w:hAnsi="Verdana"/>
                <w:sz w:val="17"/>
                <w:szCs w:val="17"/>
                <w:color w:val="auto"/>
              </w:rPr>
              <w:t>,</w:t>
            </w:r>
            <w:r>
              <w:rPr>
                <w:rFonts w:ascii="Verdana" w:cs="Verdana" w:eastAsia="Verdana" w:hAnsi="Verdana"/>
                <w:sz w:val="17"/>
                <w:szCs w:val="17"/>
                <w:color w:val="auto"/>
              </w:rPr>
              <w:t xml:space="preserve"> вызванного атеросклерозом</w:t>
            </w:r>
            <w:r>
              <w:rPr>
                <w:rFonts w:ascii="Verdana" w:cs="Verdana" w:eastAsia="Verdana" w:hAnsi="Verdana"/>
                <w:sz w:val="17"/>
                <w:szCs w:val="17"/>
                <w:color w:val="auto"/>
              </w:rPr>
              <w:t>,</w:t>
            </w:r>
            <w:r>
              <w:rPr>
                <w:rFonts w:ascii="Verdana" w:cs="Verdana" w:eastAsia="Verdana" w:hAnsi="Verdana"/>
                <w:sz w:val="17"/>
                <w:szCs w:val="17"/>
                <w:color w:val="auto"/>
              </w:rPr>
              <w:t xml:space="preserve"> с СД </w:t>
            </w:r>
            <w:r>
              <w:rPr>
                <w:rFonts w:ascii="Verdana" w:cs="Verdana" w:eastAsia="Verdana" w:hAnsi="Verdana"/>
                <w:sz w:val="17"/>
                <w:szCs w:val="17"/>
                <w:color w:val="auto"/>
              </w:rPr>
              <w:t>2</w:t>
            </w:r>
            <w:r>
              <w:rPr>
                <w:rFonts w:ascii="Verdana" w:cs="Verdana" w:eastAsia="Verdana" w:hAnsi="Verdana"/>
                <w:sz w:val="17"/>
                <w:szCs w:val="17"/>
                <w:color w:val="auto"/>
              </w:rPr>
              <w:t xml:space="preserve"> типа и</w:t>
            </w:r>
            <w:r>
              <w:rPr>
                <w:rFonts w:ascii="Verdana" w:cs="Verdana" w:eastAsia="Verdana" w:hAnsi="Verdana"/>
                <w:sz w:val="17"/>
                <w:szCs w:val="17"/>
                <w:color w:val="auto"/>
              </w:rPr>
              <w:t>/</w:t>
            </w:r>
            <w:r>
              <w:rPr>
                <w:rFonts w:ascii="Verdana" w:cs="Verdana" w:eastAsia="Verdana" w:hAnsi="Verdana"/>
                <w:sz w:val="17"/>
                <w:szCs w:val="17"/>
                <w:color w:val="auto"/>
              </w:rPr>
              <w:t>или</w:t>
            </w:r>
          </w:p>
        </w:tc>
        <w:tc>
          <w:tcPr>
            <w:tcW w:w="0" w:type="dxa"/>
            <w:vAlign w:val="bottom"/>
          </w:tcPr>
          <w:p>
            <w:pPr>
              <w:spacing w:after="0"/>
              <w:rPr>
                <w:sz w:val="1"/>
                <w:szCs w:val="1"/>
                <w:color w:val="auto"/>
              </w:rPr>
            </w:pPr>
          </w:p>
        </w:tc>
      </w:tr>
      <w:tr>
        <w:trPr>
          <w:trHeight w:val="220"/>
        </w:trPr>
        <w:tc>
          <w:tcPr>
            <w:tcW w:w="2040" w:type="dxa"/>
            <w:vAlign w:val="bottom"/>
            <w:tcBorders>
              <w:left w:val="single" w:sz="8" w:color="auto"/>
              <w:right w:val="single" w:sz="8" w:color="auto"/>
            </w:tcBorders>
          </w:tcPr>
          <w:p>
            <w:pPr>
              <w:spacing w:after="0"/>
              <w:rPr>
                <w:sz w:val="19"/>
                <w:szCs w:val="19"/>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СГХС  или  два  сердечно</w:t>
            </w:r>
            <w:r>
              <w:rPr>
                <w:rFonts w:ascii="Verdana" w:cs="Verdana" w:eastAsia="Verdana" w:hAnsi="Verdana"/>
                <w:sz w:val="17"/>
                <w:szCs w:val="17"/>
                <w:color w:val="auto"/>
              </w:rPr>
              <w:t>-</w:t>
            </w:r>
            <w:r>
              <w:rPr>
                <w:rFonts w:ascii="Verdana" w:cs="Verdana" w:eastAsia="Verdana" w:hAnsi="Verdana"/>
                <w:sz w:val="17"/>
                <w:szCs w:val="17"/>
                <w:color w:val="auto"/>
              </w:rPr>
              <w:t xml:space="preserve">сосудистых  события  </w:t>
            </w:r>
            <w:r>
              <w:rPr>
                <w:rFonts w:ascii="Verdana" w:cs="Verdana" w:eastAsia="Verdana" w:hAnsi="Verdana"/>
                <w:sz w:val="17"/>
                <w:szCs w:val="17"/>
                <w:color w:val="auto"/>
              </w:rPr>
              <w:t>(</w:t>
            </w:r>
            <w:r>
              <w:rPr>
                <w:rFonts w:ascii="Verdana" w:cs="Verdana" w:eastAsia="Verdana" w:hAnsi="Verdana"/>
                <w:sz w:val="17"/>
                <w:szCs w:val="17"/>
                <w:color w:val="auto"/>
              </w:rPr>
              <w:t>осложнения</w:t>
            </w:r>
            <w:r>
              <w:rPr>
                <w:rFonts w:ascii="Verdana" w:cs="Verdana" w:eastAsia="Verdana" w:hAnsi="Verdana"/>
                <w:sz w:val="17"/>
                <w:szCs w:val="17"/>
                <w:color w:val="auto"/>
              </w:rPr>
              <w:t>)</w:t>
            </w:r>
            <w:r>
              <w:rPr>
                <w:rFonts w:ascii="Verdana" w:cs="Verdana" w:eastAsia="Verdana" w:hAnsi="Verdana"/>
                <w:sz w:val="17"/>
                <w:szCs w:val="17"/>
                <w:color w:val="auto"/>
              </w:rPr>
              <w:t xml:space="preserve">  в</w:t>
            </w:r>
          </w:p>
        </w:tc>
        <w:tc>
          <w:tcPr>
            <w:tcW w:w="0" w:type="dxa"/>
            <w:vAlign w:val="bottom"/>
          </w:tcPr>
          <w:p>
            <w:pPr>
              <w:spacing w:after="0"/>
              <w:rPr>
                <w:sz w:val="1"/>
                <w:szCs w:val="1"/>
                <w:color w:val="auto"/>
              </w:rPr>
            </w:pPr>
          </w:p>
        </w:tc>
      </w:tr>
      <w:tr>
        <w:trPr>
          <w:trHeight w:val="56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течение   </w:t>
            </w:r>
            <w:r>
              <w:rPr>
                <w:rFonts w:ascii="Verdana" w:cs="Verdana" w:eastAsia="Verdana" w:hAnsi="Verdana"/>
                <w:sz w:val="17"/>
                <w:szCs w:val="17"/>
                <w:color w:val="auto"/>
              </w:rPr>
              <w:t>2-</w:t>
            </w:r>
            <w:r>
              <w:rPr>
                <w:rFonts w:ascii="Verdana" w:cs="Verdana" w:eastAsia="Verdana" w:hAnsi="Verdana"/>
                <w:sz w:val="17"/>
                <w:szCs w:val="17"/>
                <w:color w:val="auto"/>
              </w:rPr>
              <w:t>х   лет</w:t>
            </w:r>
            <w:r>
              <w:rPr>
                <w:rFonts w:ascii="Verdana" w:cs="Verdana" w:eastAsia="Verdana" w:hAnsi="Verdana"/>
                <w:sz w:val="33"/>
                <w:szCs w:val="33"/>
                <w:color w:val="auto"/>
                <w:vertAlign w:val="superscript"/>
              </w:rPr>
              <w:t>2</w:t>
            </w:r>
            <w:r>
              <w:rPr>
                <w:rFonts w:ascii="Verdana" w:cs="Verdana" w:eastAsia="Verdana" w:hAnsi="Verdana"/>
                <w:sz w:val="17"/>
                <w:szCs w:val="17"/>
                <w:color w:val="auto"/>
              </w:rPr>
              <w:t xml:space="preserve">   у   пациента   с   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сосудистым</w:t>
            </w:r>
          </w:p>
        </w:tc>
        <w:tc>
          <w:tcPr>
            <w:tcW w:w="0" w:type="dxa"/>
            <w:vAlign w:val="bottom"/>
          </w:tcPr>
          <w:p>
            <w:pPr>
              <w:spacing w:after="0"/>
              <w:rPr>
                <w:sz w:val="1"/>
                <w:szCs w:val="1"/>
                <w:color w:val="auto"/>
              </w:rPr>
            </w:pPr>
          </w:p>
        </w:tc>
      </w:tr>
      <w:tr>
        <w:trPr>
          <w:trHeight w:val="220"/>
        </w:trPr>
        <w:tc>
          <w:tcPr>
            <w:tcW w:w="2040" w:type="dxa"/>
            <w:vAlign w:val="bottom"/>
            <w:tcBorders>
              <w:left w:val="single" w:sz="8" w:color="auto"/>
              <w:right w:val="single" w:sz="8" w:color="auto"/>
            </w:tcBorders>
          </w:tcPr>
          <w:p>
            <w:pPr>
              <w:spacing w:after="0"/>
              <w:rPr>
                <w:sz w:val="19"/>
                <w:szCs w:val="19"/>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заболеванием</w:t>
            </w:r>
            <w:r>
              <w:rPr>
                <w:rFonts w:ascii="Verdana" w:cs="Verdana" w:eastAsia="Verdana" w:hAnsi="Verdana"/>
                <w:sz w:val="17"/>
                <w:szCs w:val="17"/>
                <w:color w:val="auto"/>
              </w:rPr>
              <w:t>,</w:t>
            </w:r>
            <w:r>
              <w:rPr>
                <w:rFonts w:ascii="Verdana" w:cs="Verdana" w:eastAsia="Verdana" w:hAnsi="Verdana"/>
                <w:sz w:val="17"/>
                <w:szCs w:val="17"/>
                <w:color w:val="auto"/>
              </w:rPr>
              <w:t xml:space="preserve">   вызванным   атеросклерозом</w:t>
            </w:r>
            <w:r>
              <w:rPr>
                <w:rFonts w:ascii="Verdana" w:cs="Verdana" w:eastAsia="Verdana" w:hAnsi="Verdana"/>
                <w:sz w:val="17"/>
                <w:szCs w:val="17"/>
                <w:color w:val="auto"/>
              </w:rPr>
              <w:t>,</w:t>
            </w:r>
            <w:r>
              <w:rPr>
                <w:rFonts w:ascii="Verdana" w:cs="Verdana" w:eastAsia="Verdana" w:hAnsi="Verdana"/>
                <w:sz w:val="17"/>
                <w:szCs w:val="17"/>
                <w:color w:val="auto"/>
              </w:rPr>
              <w:t xml:space="preserve">   несмотря   на</w:t>
            </w:r>
          </w:p>
        </w:tc>
        <w:tc>
          <w:tcPr>
            <w:tcW w:w="0" w:type="dxa"/>
            <w:vAlign w:val="bottom"/>
          </w:tcPr>
          <w:p>
            <w:pPr>
              <w:spacing w:after="0"/>
              <w:rPr>
                <w:sz w:val="1"/>
                <w:szCs w:val="1"/>
                <w:color w:val="auto"/>
              </w:rPr>
            </w:pPr>
          </w:p>
        </w:tc>
      </w:tr>
      <w:tr>
        <w:trPr>
          <w:trHeight w:val="56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оптимальную гиполипидемическую терапию</w:t>
            </w:r>
            <w:r>
              <w:rPr>
                <w:rFonts w:ascii="Verdana" w:cs="Verdana" w:eastAsia="Verdana" w:hAnsi="Verdana"/>
                <w:sz w:val="33"/>
                <w:szCs w:val="33"/>
                <w:color w:val="auto"/>
                <w:vertAlign w:val="superscript"/>
              </w:rPr>
              <w:t>3</w:t>
            </w:r>
            <w:r>
              <w:rPr>
                <w:rFonts w:ascii="Verdana" w:cs="Verdana" w:eastAsia="Verdana" w:hAnsi="Verdana"/>
                <w:sz w:val="17"/>
                <w:szCs w:val="17"/>
                <w:color w:val="auto"/>
              </w:rPr>
              <w:t xml:space="preserve"> и</w:t>
            </w:r>
            <w:r>
              <w:rPr>
                <w:rFonts w:ascii="Verdana" w:cs="Verdana" w:eastAsia="Verdana" w:hAnsi="Verdana"/>
                <w:sz w:val="17"/>
                <w:szCs w:val="17"/>
                <w:color w:val="auto"/>
              </w:rPr>
              <w:t>/</w:t>
            </w:r>
            <w:r>
              <w:rPr>
                <w:rFonts w:ascii="Verdana" w:cs="Verdana" w:eastAsia="Verdana" w:hAnsi="Verdana"/>
                <w:sz w:val="17"/>
                <w:szCs w:val="17"/>
                <w:color w:val="auto"/>
              </w:rPr>
              <w:t>или достигнутый</w:t>
            </w:r>
          </w:p>
        </w:tc>
        <w:tc>
          <w:tcPr>
            <w:tcW w:w="0" w:type="dxa"/>
            <w:vAlign w:val="bottom"/>
          </w:tcPr>
          <w:p>
            <w:pPr>
              <w:spacing w:after="0"/>
              <w:rPr>
                <w:sz w:val="1"/>
                <w:szCs w:val="1"/>
                <w:color w:val="auto"/>
              </w:rPr>
            </w:pPr>
          </w:p>
        </w:tc>
      </w:tr>
      <w:tr>
        <w:trPr>
          <w:trHeight w:val="220"/>
        </w:trPr>
        <w:tc>
          <w:tcPr>
            <w:tcW w:w="2040" w:type="dxa"/>
            <w:vAlign w:val="bottom"/>
            <w:tcBorders>
              <w:left w:val="single" w:sz="8" w:color="auto"/>
              <w:right w:val="single" w:sz="8" w:color="auto"/>
            </w:tcBorders>
          </w:tcPr>
          <w:p>
            <w:pPr>
              <w:spacing w:after="0"/>
              <w:rPr>
                <w:sz w:val="19"/>
                <w:szCs w:val="19"/>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уровень ХС ЛНП </w:t>
            </w:r>
            <w:r>
              <w:rPr>
                <w:rFonts w:ascii="Verdana" w:cs="Verdana" w:eastAsia="Verdana" w:hAnsi="Verdana"/>
                <w:sz w:val="17"/>
                <w:szCs w:val="17"/>
                <w:color w:val="auto"/>
              </w:rPr>
              <w:t>≤1,5</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w:t>
            </w:r>
          </w:p>
        </w:tc>
        <w:tc>
          <w:tcPr>
            <w:tcW w:w="0" w:type="dxa"/>
            <w:vAlign w:val="bottom"/>
          </w:tcPr>
          <w:p>
            <w:pPr>
              <w:spacing w:after="0"/>
              <w:rPr>
                <w:sz w:val="1"/>
                <w:szCs w:val="1"/>
                <w:color w:val="auto"/>
              </w:rPr>
            </w:pPr>
          </w:p>
        </w:tc>
      </w:tr>
      <w:tr>
        <w:trPr>
          <w:trHeight w:val="402"/>
        </w:trPr>
        <w:tc>
          <w:tcPr>
            <w:tcW w:w="2040" w:type="dxa"/>
            <w:vAlign w:val="bottom"/>
            <w:tcBorders>
              <w:left w:val="single" w:sz="8" w:color="auto"/>
              <w:bottom w:val="single" w:sz="8" w:color="auto"/>
              <w:right w:val="single" w:sz="8" w:color="auto"/>
            </w:tcBorders>
          </w:tcPr>
          <w:p>
            <w:pPr>
              <w:spacing w:after="0"/>
              <w:rPr>
                <w:sz w:val="24"/>
                <w:szCs w:val="24"/>
                <w:color w:val="auto"/>
              </w:rPr>
            </w:pPr>
          </w:p>
        </w:tc>
        <w:tc>
          <w:tcPr>
            <w:tcW w:w="6420" w:type="dxa"/>
            <w:vAlign w:val="bottom"/>
            <w:tcBorders>
              <w:bottom w:val="single" w:sz="8" w:color="auto"/>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343"/>
        </w:trPr>
        <w:tc>
          <w:tcPr>
            <w:tcW w:w="20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Очень высокий</w:t>
            </w:r>
          </w:p>
        </w:tc>
        <w:tc>
          <w:tcPr>
            <w:tcW w:w="6420" w:type="dxa"/>
            <w:vAlign w:val="bottom"/>
            <w:tcBorders>
              <w:right w:val="single" w:sz="8" w:color="auto"/>
            </w:tcBorders>
            <w:vMerge w:val="restart"/>
          </w:tcPr>
          <w:p>
            <w:pPr>
              <w:ind w:left="460"/>
              <w:spacing w:after="0"/>
              <w:rPr>
                <w:sz w:val="20"/>
                <w:szCs w:val="20"/>
                <w:color w:val="auto"/>
              </w:rPr>
            </w:pPr>
            <w:r>
              <w:rPr>
                <w:rFonts w:ascii="Verdana" w:cs="Verdana" w:eastAsia="Verdana" w:hAnsi="Verdana"/>
                <w:sz w:val="17"/>
                <w:szCs w:val="17"/>
                <w:color w:val="auto"/>
              </w:rPr>
              <w:t>Документированное атеросклеротическое ССЗ</w:t>
            </w:r>
            <w:r>
              <w:rPr>
                <w:rFonts w:ascii="Verdana" w:cs="Verdana" w:eastAsia="Verdana" w:hAnsi="Verdana"/>
                <w:sz w:val="17"/>
                <w:szCs w:val="17"/>
                <w:color w:val="auto"/>
              </w:rPr>
              <w:t>,</w:t>
            </w:r>
            <w:r>
              <w:rPr>
                <w:rFonts w:ascii="Verdana" w:cs="Verdana" w:eastAsia="Verdana" w:hAnsi="Verdana"/>
                <w:sz w:val="17"/>
                <w:szCs w:val="17"/>
                <w:color w:val="auto"/>
              </w:rPr>
              <w:t xml:space="preserve"> клинически или</w:t>
            </w:r>
          </w:p>
        </w:tc>
        <w:tc>
          <w:tcPr>
            <w:tcW w:w="0" w:type="dxa"/>
            <w:vAlign w:val="bottom"/>
          </w:tcPr>
          <w:p>
            <w:pPr>
              <w:spacing w:after="0"/>
              <w:rPr>
                <w:sz w:val="1"/>
                <w:szCs w:val="1"/>
                <w:color w:val="auto"/>
              </w:rPr>
            </w:pPr>
          </w:p>
        </w:tc>
      </w:tr>
      <w:tr>
        <w:trPr>
          <w:trHeight w:val="105"/>
        </w:trPr>
        <w:tc>
          <w:tcPr>
            <w:tcW w:w="2040" w:type="dxa"/>
            <w:vAlign w:val="bottom"/>
            <w:tcBorders>
              <w:left w:val="single" w:sz="8" w:color="auto"/>
              <w:right w:val="single" w:sz="8" w:color="auto"/>
            </w:tcBorders>
          </w:tcPr>
          <w:p>
            <w:pPr>
              <w:spacing w:after="0"/>
              <w:rPr>
                <w:sz w:val="9"/>
                <w:szCs w:val="9"/>
                <w:color w:val="auto"/>
              </w:rPr>
            </w:pPr>
          </w:p>
        </w:tc>
        <w:tc>
          <w:tcPr>
            <w:tcW w:w="6420" w:type="dxa"/>
            <w:vAlign w:val="bottom"/>
            <w:tcBorders>
              <w:right w:val="single" w:sz="8" w:color="auto"/>
            </w:tcBorders>
            <w:vMerge w:val="continue"/>
          </w:tcPr>
          <w:p>
            <w:pPr>
              <w:spacing w:after="0"/>
              <w:rPr>
                <w:sz w:val="9"/>
                <w:szCs w:val="9"/>
                <w:color w:val="auto"/>
              </w:rPr>
            </w:pP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по  результатам  обследования</w:t>
            </w:r>
            <w:r>
              <w:rPr>
                <w:rFonts w:ascii="Verdana" w:cs="Verdana" w:eastAsia="Verdana" w:hAnsi="Verdana"/>
                <w:sz w:val="17"/>
                <w:szCs w:val="17"/>
                <w:color w:val="auto"/>
              </w:rPr>
              <w:t>,</w:t>
            </w:r>
            <w:r>
              <w:rPr>
                <w:rFonts w:ascii="Verdana" w:cs="Verdana" w:eastAsia="Verdana" w:hAnsi="Verdana"/>
                <w:sz w:val="17"/>
                <w:szCs w:val="17"/>
                <w:color w:val="auto"/>
              </w:rPr>
              <w:t xml:space="preserve">  включая  перенесённый  ОКС</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стабильную  стенокардию</w:t>
            </w:r>
            <w:r>
              <w:rPr>
                <w:rFonts w:ascii="Verdana" w:cs="Verdana" w:eastAsia="Verdana" w:hAnsi="Verdana"/>
                <w:sz w:val="17"/>
                <w:szCs w:val="17"/>
                <w:color w:val="auto"/>
              </w:rPr>
              <w:t>,</w:t>
            </w:r>
            <w:r>
              <w:rPr>
                <w:rFonts w:ascii="Verdana" w:cs="Verdana" w:eastAsia="Verdana" w:hAnsi="Verdana"/>
                <w:sz w:val="17"/>
                <w:szCs w:val="17"/>
                <w:color w:val="auto"/>
              </w:rPr>
              <w:t xml:space="preserve">  ЧКВ</w:t>
            </w:r>
            <w:r>
              <w:rPr>
                <w:rFonts w:ascii="Verdana" w:cs="Verdana" w:eastAsia="Verdana" w:hAnsi="Verdana"/>
                <w:sz w:val="17"/>
                <w:szCs w:val="17"/>
                <w:color w:val="auto"/>
              </w:rPr>
              <w:t>,</w:t>
            </w:r>
            <w:r>
              <w:rPr>
                <w:rFonts w:ascii="Verdana" w:cs="Verdana" w:eastAsia="Verdana" w:hAnsi="Verdana"/>
                <w:sz w:val="17"/>
                <w:szCs w:val="17"/>
                <w:color w:val="auto"/>
              </w:rPr>
              <w:t xml:space="preserve">  КШ  или  другие  операции  на</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артериях</w:t>
            </w:r>
            <w:r>
              <w:rPr>
                <w:rFonts w:ascii="Verdana" w:cs="Verdana" w:eastAsia="Verdana" w:hAnsi="Verdana"/>
                <w:sz w:val="17"/>
                <w:szCs w:val="17"/>
                <w:color w:val="auto"/>
              </w:rPr>
              <w:t>,</w:t>
            </w:r>
            <w:r>
              <w:rPr>
                <w:rFonts w:ascii="Verdana" w:cs="Verdana" w:eastAsia="Verdana" w:hAnsi="Verdana"/>
                <w:sz w:val="17"/>
                <w:szCs w:val="17"/>
                <w:color w:val="auto"/>
              </w:rPr>
              <w:t xml:space="preserve"> инсульт</w:t>
            </w:r>
            <w:r>
              <w:rPr>
                <w:rFonts w:ascii="Verdana" w:cs="Verdana" w:eastAsia="Verdana" w:hAnsi="Verdana"/>
                <w:sz w:val="17"/>
                <w:szCs w:val="17"/>
                <w:color w:val="auto"/>
              </w:rPr>
              <w:t>/</w:t>
            </w:r>
            <w:r>
              <w:rPr>
                <w:rFonts w:ascii="Verdana" w:cs="Verdana" w:eastAsia="Verdana" w:hAnsi="Verdana"/>
                <w:sz w:val="17"/>
                <w:szCs w:val="17"/>
                <w:color w:val="auto"/>
              </w:rPr>
              <w:t>ТИА</w:t>
            </w:r>
            <w:r>
              <w:rPr>
                <w:rFonts w:ascii="Verdana" w:cs="Verdana" w:eastAsia="Verdana" w:hAnsi="Verdana"/>
                <w:sz w:val="17"/>
                <w:szCs w:val="17"/>
                <w:color w:val="auto"/>
              </w:rPr>
              <w:t>,</w:t>
            </w:r>
            <w:r>
              <w:rPr>
                <w:rFonts w:ascii="Verdana" w:cs="Verdana" w:eastAsia="Verdana" w:hAnsi="Verdana"/>
                <w:sz w:val="17"/>
                <w:szCs w:val="17"/>
                <w:color w:val="auto"/>
              </w:rPr>
              <w:t xml:space="preserve"> поражения периферических артерий</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атеросклеротическое ССЗ по данным обследований </w:t>
            </w:r>
            <w:r>
              <w:rPr>
                <w:rFonts w:ascii="Verdana" w:cs="Verdana" w:eastAsia="Verdana" w:hAnsi="Verdana"/>
                <w:sz w:val="17"/>
                <w:szCs w:val="17"/>
                <w:color w:val="auto"/>
              </w:rPr>
              <w:t>–</w:t>
            </w:r>
            <w:r>
              <w:rPr>
                <w:rFonts w:ascii="Verdana" w:cs="Verdana" w:eastAsia="Verdana" w:hAnsi="Verdana"/>
                <w:sz w:val="17"/>
                <w:szCs w:val="17"/>
                <w:color w:val="auto"/>
              </w:rPr>
              <w:t xml:space="preserve"> значимая</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АСБ </w:t>
            </w:r>
            <w:r>
              <w:rPr>
                <w:rFonts w:ascii="Verdana" w:cs="Verdana" w:eastAsia="Verdana" w:hAnsi="Verdana"/>
                <w:sz w:val="17"/>
                <w:szCs w:val="17"/>
                <w:color w:val="auto"/>
              </w:rPr>
              <w:t>(</w:t>
            </w:r>
            <w:r>
              <w:rPr>
                <w:rFonts w:ascii="Verdana" w:cs="Verdana" w:eastAsia="Verdana" w:hAnsi="Verdana"/>
                <w:sz w:val="17"/>
                <w:szCs w:val="17"/>
                <w:color w:val="auto"/>
              </w:rPr>
              <w:t xml:space="preserve">стеноз </w:t>
            </w:r>
            <w:r>
              <w:rPr>
                <w:rFonts w:ascii="Verdana" w:cs="Verdana" w:eastAsia="Verdana" w:hAnsi="Verdana"/>
                <w:sz w:val="17"/>
                <w:szCs w:val="17"/>
                <w:color w:val="auto"/>
              </w:rPr>
              <w:t>&gt;50%)</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СД  </w:t>
            </w:r>
            <w:r>
              <w:rPr>
                <w:rFonts w:ascii="Verdana" w:cs="Verdana" w:eastAsia="Verdana" w:hAnsi="Verdana"/>
                <w:sz w:val="17"/>
                <w:szCs w:val="17"/>
                <w:color w:val="auto"/>
              </w:rPr>
              <w:t>+</w:t>
            </w:r>
            <w:r>
              <w:rPr>
                <w:rFonts w:ascii="Verdana" w:cs="Verdana" w:eastAsia="Verdana" w:hAnsi="Verdana"/>
                <w:sz w:val="17"/>
                <w:szCs w:val="17"/>
                <w:color w:val="auto"/>
              </w:rPr>
              <w:t xml:space="preserve">  поражение  органов</w:t>
            </w:r>
            <w:r>
              <w:rPr>
                <w:rFonts w:ascii="Verdana" w:cs="Verdana" w:eastAsia="Verdana" w:hAnsi="Verdana"/>
                <w:sz w:val="17"/>
                <w:szCs w:val="17"/>
                <w:color w:val="auto"/>
              </w:rPr>
              <w:t>-</w:t>
            </w:r>
            <w:r>
              <w:rPr>
                <w:rFonts w:ascii="Verdana" w:cs="Verdana" w:eastAsia="Verdana" w:hAnsi="Verdana"/>
                <w:sz w:val="17"/>
                <w:szCs w:val="17"/>
                <w:color w:val="auto"/>
              </w:rPr>
              <w:t>мишеней</w:t>
            </w:r>
            <w:r>
              <w:rPr>
                <w:rFonts w:ascii="Verdana" w:cs="Verdana" w:eastAsia="Verdana" w:hAnsi="Verdana"/>
                <w:sz w:val="17"/>
                <w:szCs w:val="17"/>
                <w:color w:val="auto"/>
              </w:rPr>
              <w:t>,  ≥3</w:t>
            </w:r>
            <w:r>
              <w:rPr>
                <w:rFonts w:ascii="Verdana" w:cs="Verdana" w:eastAsia="Verdana" w:hAnsi="Verdana"/>
                <w:sz w:val="17"/>
                <w:szCs w:val="17"/>
                <w:color w:val="auto"/>
              </w:rPr>
              <w:t xml:space="preserve">  ФР</w:t>
            </w:r>
            <w:r>
              <w:rPr>
                <w:rFonts w:ascii="Verdana" w:cs="Verdana" w:eastAsia="Verdana" w:hAnsi="Verdana"/>
                <w:sz w:val="17"/>
                <w:szCs w:val="17"/>
                <w:color w:val="auto"/>
              </w:rPr>
              <w:t>,</w:t>
            </w:r>
            <w:r>
              <w:rPr>
                <w:rFonts w:ascii="Verdana" w:cs="Verdana" w:eastAsia="Verdana" w:hAnsi="Verdana"/>
                <w:sz w:val="17"/>
                <w:szCs w:val="17"/>
                <w:color w:val="auto"/>
              </w:rPr>
              <w:t xml:space="preserve">  а  также  раннее</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начало СД </w:t>
            </w:r>
            <w:r>
              <w:rPr>
                <w:rFonts w:ascii="Verdana" w:cs="Verdana" w:eastAsia="Verdana" w:hAnsi="Verdana"/>
                <w:sz w:val="17"/>
                <w:szCs w:val="17"/>
                <w:color w:val="auto"/>
              </w:rPr>
              <w:t>1</w:t>
            </w:r>
            <w:r>
              <w:rPr>
                <w:rFonts w:ascii="Verdana" w:cs="Verdana" w:eastAsia="Verdana" w:hAnsi="Verdana"/>
                <w:sz w:val="17"/>
                <w:szCs w:val="17"/>
                <w:color w:val="auto"/>
              </w:rPr>
              <w:t xml:space="preserve"> типа с длительностью </w:t>
            </w:r>
            <w:r>
              <w:rPr>
                <w:rFonts w:ascii="Verdana" w:cs="Verdana" w:eastAsia="Verdana" w:hAnsi="Verdana"/>
                <w:sz w:val="17"/>
                <w:szCs w:val="17"/>
                <w:color w:val="auto"/>
              </w:rPr>
              <w:t>&gt; 20</w:t>
            </w:r>
            <w:r>
              <w:rPr>
                <w:rFonts w:ascii="Verdana" w:cs="Verdana" w:eastAsia="Verdana" w:hAnsi="Verdana"/>
                <w:sz w:val="17"/>
                <w:szCs w:val="17"/>
                <w:color w:val="auto"/>
              </w:rPr>
              <w:t xml:space="preserve"> лет</w:t>
            </w:r>
          </w:p>
        </w:tc>
        <w:tc>
          <w:tcPr>
            <w:tcW w:w="0" w:type="dxa"/>
            <w:vAlign w:val="bottom"/>
          </w:tcPr>
          <w:p>
            <w:pPr>
              <w:spacing w:after="0"/>
              <w:rPr>
                <w:sz w:val="1"/>
                <w:szCs w:val="1"/>
                <w:color w:val="auto"/>
              </w:rPr>
            </w:pPr>
          </w:p>
        </w:tc>
      </w:tr>
      <w:tr>
        <w:trPr>
          <w:trHeight w:val="56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Выраженная ХБП с СКФ</w:t>
            </w:r>
            <w:r>
              <w:rPr>
                <w:rFonts w:ascii="Verdana" w:cs="Verdana" w:eastAsia="Verdana" w:hAnsi="Verdana"/>
                <w:sz w:val="17"/>
                <w:szCs w:val="17"/>
                <w:color w:val="auto"/>
              </w:rPr>
              <w:t>&lt;30</w:t>
            </w:r>
            <w:r>
              <w:rPr>
                <w:rFonts w:ascii="Verdana" w:cs="Verdana" w:eastAsia="Verdana" w:hAnsi="Verdana"/>
                <w:sz w:val="17"/>
                <w:szCs w:val="17"/>
                <w:color w:val="auto"/>
              </w:rPr>
              <w:t xml:space="preserve"> мл</w:t>
            </w:r>
            <w:r>
              <w:rPr>
                <w:rFonts w:ascii="Verdana" w:cs="Verdana" w:eastAsia="Verdana" w:hAnsi="Verdana"/>
                <w:sz w:val="17"/>
                <w:szCs w:val="17"/>
                <w:color w:val="auto"/>
              </w:rPr>
              <w:t>/</w:t>
            </w:r>
            <w:r>
              <w:rPr>
                <w:rFonts w:ascii="Verdana" w:cs="Verdana" w:eastAsia="Verdana" w:hAnsi="Verdana"/>
                <w:sz w:val="17"/>
                <w:szCs w:val="17"/>
                <w:color w:val="auto"/>
              </w:rPr>
              <w:t>мин</w:t>
            </w:r>
            <w:r>
              <w:rPr>
                <w:rFonts w:ascii="Verdana" w:cs="Verdana" w:eastAsia="Verdana" w:hAnsi="Verdana"/>
                <w:sz w:val="17"/>
                <w:szCs w:val="17"/>
                <w:color w:val="auto"/>
              </w:rPr>
              <w:t>/1,73</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w:t>
            </w:r>
          </w:p>
        </w:tc>
        <w:tc>
          <w:tcPr>
            <w:tcW w:w="0" w:type="dxa"/>
            <w:vAlign w:val="bottom"/>
          </w:tcPr>
          <w:p>
            <w:pPr>
              <w:spacing w:after="0"/>
              <w:rPr>
                <w:sz w:val="1"/>
                <w:szCs w:val="1"/>
                <w:color w:val="auto"/>
              </w:rPr>
            </w:pPr>
          </w:p>
        </w:tc>
      </w:tr>
      <w:tr>
        <w:trPr>
          <w:trHeight w:val="220"/>
        </w:trPr>
        <w:tc>
          <w:tcPr>
            <w:tcW w:w="2040" w:type="dxa"/>
            <w:vAlign w:val="bottom"/>
            <w:tcBorders>
              <w:left w:val="single" w:sz="8" w:color="auto"/>
              <w:right w:val="single" w:sz="8" w:color="auto"/>
            </w:tcBorders>
          </w:tcPr>
          <w:p>
            <w:pPr>
              <w:spacing w:after="0"/>
              <w:rPr>
                <w:sz w:val="19"/>
                <w:szCs w:val="19"/>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SCORE≥10%</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СГХС в сочетании с атеросклеротическим ССЗ или с ФР</w:t>
            </w:r>
          </w:p>
        </w:tc>
        <w:tc>
          <w:tcPr>
            <w:tcW w:w="0" w:type="dxa"/>
            <w:vAlign w:val="bottom"/>
          </w:tcPr>
          <w:p>
            <w:pPr>
              <w:spacing w:after="0"/>
              <w:rPr>
                <w:sz w:val="1"/>
                <w:szCs w:val="1"/>
                <w:color w:val="auto"/>
              </w:rPr>
            </w:pPr>
          </w:p>
        </w:tc>
      </w:tr>
      <w:tr>
        <w:trPr>
          <w:trHeight w:val="237"/>
        </w:trPr>
        <w:tc>
          <w:tcPr>
            <w:tcW w:w="2040" w:type="dxa"/>
            <w:vAlign w:val="bottom"/>
            <w:tcBorders>
              <w:left w:val="single" w:sz="8" w:color="auto"/>
              <w:bottom w:val="single" w:sz="8" w:color="auto"/>
              <w:right w:val="single" w:sz="8" w:color="auto"/>
            </w:tcBorders>
          </w:tcPr>
          <w:p>
            <w:pPr>
              <w:spacing w:after="0"/>
              <w:rPr>
                <w:sz w:val="20"/>
                <w:szCs w:val="20"/>
                <w:color w:val="auto"/>
              </w:rPr>
            </w:pPr>
          </w:p>
        </w:tc>
        <w:tc>
          <w:tcPr>
            <w:tcW w:w="6420" w:type="dxa"/>
            <w:vAlign w:val="bottom"/>
            <w:tcBorders>
              <w:bottom w:val="single" w:sz="8" w:color="auto"/>
              <w:right w:val="single" w:sz="8" w:color="auto"/>
            </w:tcBorders>
          </w:tcPr>
          <w:p>
            <w:pPr>
              <w:spacing w:after="0"/>
              <w:rPr>
                <w:sz w:val="20"/>
                <w:szCs w:val="20"/>
                <w:color w:val="auto"/>
              </w:rPr>
            </w:pPr>
          </w:p>
        </w:tc>
        <w:tc>
          <w:tcPr>
            <w:tcW w:w="0" w:type="dxa"/>
            <w:vAlign w:val="bottom"/>
          </w:tcPr>
          <w:p>
            <w:pPr>
              <w:spacing w:after="0"/>
              <w:rPr>
                <w:sz w:val="1"/>
                <w:szCs w:val="1"/>
                <w:color w:val="auto"/>
              </w:rPr>
            </w:pPr>
          </w:p>
        </w:tc>
      </w:tr>
      <w:tr>
        <w:trPr>
          <w:trHeight w:val="343"/>
        </w:trPr>
        <w:tc>
          <w:tcPr>
            <w:tcW w:w="20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Высокий</w:t>
            </w:r>
          </w:p>
        </w:tc>
        <w:tc>
          <w:tcPr>
            <w:tcW w:w="6420" w:type="dxa"/>
            <w:vAlign w:val="bottom"/>
            <w:tcBorders>
              <w:right w:val="single" w:sz="8" w:color="auto"/>
            </w:tcBorders>
            <w:vMerge w:val="restart"/>
          </w:tcPr>
          <w:p>
            <w:pPr>
              <w:ind w:left="460"/>
              <w:spacing w:after="0"/>
              <w:rPr>
                <w:sz w:val="20"/>
                <w:szCs w:val="20"/>
                <w:color w:val="auto"/>
              </w:rPr>
            </w:pPr>
            <w:r>
              <w:rPr>
                <w:rFonts w:ascii="Verdana" w:cs="Verdana" w:eastAsia="Verdana" w:hAnsi="Verdana"/>
                <w:sz w:val="17"/>
                <w:szCs w:val="17"/>
                <w:color w:val="auto"/>
              </w:rPr>
              <w:t xml:space="preserve">Значимо выраженный ФР </w:t>
            </w:r>
            <w:r>
              <w:rPr>
                <w:rFonts w:ascii="Verdana" w:cs="Verdana" w:eastAsia="Verdana" w:hAnsi="Verdana"/>
                <w:sz w:val="17"/>
                <w:szCs w:val="17"/>
                <w:color w:val="auto"/>
              </w:rPr>
              <w:t>–</w:t>
            </w:r>
            <w:r>
              <w:rPr>
                <w:rFonts w:ascii="Verdana" w:cs="Verdana" w:eastAsia="Verdana" w:hAnsi="Verdana"/>
                <w:sz w:val="17"/>
                <w:szCs w:val="17"/>
                <w:color w:val="auto"/>
              </w:rPr>
              <w:t xml:space="preserve"> ХС</w:t>
            </w:r>
            <w:r>
              <w:rPr>
                <w:rFonts w:ascii="Verdana" w:cs="Verdana" w:eastAsia="Verdana" w:hAnsi="Verdana"/>
                <w:sz w:val="17"/>
                <w:szCs w:val="17"/>
                <w:color w:val="auto"/>
              </w:rPr>
              <w:t>&gt;8</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и</w:t>
            </w:r>
            <w:r>
              <w:rPr>
                <w:rFonts w:ascii="Verdana" w:cs="Verdana" w:eastAsia="Verdana" w:hAnsi="Verdana"/>
                <w:sz w:val="17"/>
                <w:szCs w:val="17"/>
                <w:color w:val="auto"/>
              </w:rPr>
              <w:t>/</w:t>
            </w:r>
            <w:r>
              <w:rPr>
                <w:rFonts w:ascii="Verdana" w:cs="Verdana" w:eastAsia="Verdana" w:hAnsi="Verdana"/>
                <w:sz w:val="17"/>
                <w:szCs w:val="17"/>
                <w:color w:val="auto"/>
              </w:rPr>
              <w:t xml:space="preserve">или ХС ЛНП </w:t>
            </w:r>
            <w:r>
              <w:rPr>
                <w:rFonts w:ascii="Verdana" w:cs="Verdana" w:eastAsia="Verdana" w:hAnsi="Verdana"/>
                <w:sz w:val="17"/>
                <w:szCs w:val="17"/>
                <w:color w:val="auto"/>
              </w:rPr>
              <w:t>&gt; 4,9</w:t>
            </w:r>
          </w:p>
        </w:tc>
        <w:tc>
          <w:tcPr>
            <w:tcW w:w="0" w:type="dxa"/>
            <w:vAlign w:val="bottom"/>
          </w:tcPr>
          <w:p>
            <w:pPr>
              <w:spacing w:after="0"/>
              <w:rPr>
                <w:sz w:val="1"/>
                <w:szCs w:val="1"/>
                <w:color w:val="auto"/>
              </w:rPr>
            </w:pPr>
          </w:p>
        </w:tc>
      </w:tr>
      <w:tr>
        <w:trPr>
          <w:trHeight w:val="105"/>
        </w:trPr>
        <w:tc>
          <w:tcPr>
            <w:tcW w:w="2040" w:type="dxa"/>
            <w:vAlign w:val="bottom"/>
            <w:tcBorders>
              <w:left w:val="single" w:sz="8" w:color="auto"/>
              <w:right w:val="single" w:sz="8" w:color="auto"/>
            </w:tcBorders>
          </w:tcPr>
          <w:p>
            <w:pPr>
              <w:spacing w:after="0"/>
              <w:rPr>
                <w:sz w:val="9"/>
                <w:szCs w:val="9"/>
                <w:color w:val="auto"/>
              </w:rPr>
            </w:pPr>
          </w:p>
        </w:tc>
        <w:tc>
          <w:tcPr>
            <w:tcW w:w="6420" w:type="dxa"/>
            <w:vAlign w:val="bottom"/>
            <w:tcBorders>
              <w:right w:val="single" w:sz="8" w:color="auto"/>
            </w:tcBorders>
            <w:vMerge w:val="continue"/>
          </w:tcPr>
          <w:p>
            <w:pPr>
              <w:spacing w:after="0"/>
              <w:rPr>
                <w:sz w:val="9"/>
                <w:szCs w:val="9"/>
                <w:color w:val="auto"/>
              </w:rPr>
            </w:pP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ммоль</w:t>
            </w:r>
            <w:r>
              <w:rPr>
                <w:rFonts w:ascii="Verdana" w:cs="Verdana" w:eastAsia="Verdana" w:hAnsi="Verdana"/>
                <w:sz w:val="17"/>
                <w:szCs w:val="17"/>
                <w:color w:val="auto"/>
              </w:rPr>
              <w:t>/</w:t>
            </w:r>
            <w:r>
              <w:rPr>
                <w:rFonts w:ascii="Verdana" w:cs="Verdana" w:eastAsia="Verdana" w:hAnsi="Verdana"/>
                <w:sz w:val="17"/>
                <w:szCs w:val="17"/>
                <w:color w:val="auto"/>
              </w:rPr>
              <w:t>л и</w:t>
            </w:r>
            <w:r>
              <w:rPr>
                <w:rFonts w:ascii="Verdana" w:cs="Verdana" w:eastAsia="Verdana" w:hAnsi="Verdana"/>
                <w:sz w:val="17"/>
                <w:szCs w:val="17"/>
                <w:color w:val="auto"/>
              </w:rPr>
              <w:t>/</w:t>
            </w:r>
            <w:r>
              <w:rPr>
                <w:rFonts w:ascii="Verdana" w:cs="Verdana" w:eastAsia="Verdana" w:hAnsi="Verdana"/>
                <w:sz w:val="17"/>
                <w:szCs w:val="17"/>
                <w:color w:val="auto"/>
              </w:rPr>
              <w:t xml:space="preserve">или АД </w:t>
            </w:r>
            <w:r>
              <w:rPr>
                <w:rFonts w:ascii="Verdana" w:cs="Verdana" w:eastAsia="Verdana" w:hAnsi="Verdana"/>
                <w:sz w:val="17"/>
                <w:szCs w:val="17"/>
                <w:color w:val="auto"/>
              </w:rPr>
              <w:t>≥180/110</w:t>
            </w:r>
            <w:r>
              <w:rPr>
                <w:rFonts w:ascii="Verdana" w:cs="Verdana" w:eastAsia="Verdana" w:hAnsi="Verdana"/>
                <w:sz w:val="17"/>
                <w:szCs w:val="17"/>
                <w:color w:val="auto"/>
              </w:rPr>
              <w:t xml:space="preserve"> мм рт</w:t>
            </w:r>
            <w:r>
              <w:rPr>
                <w:rFonts w:ascii="Verdana" w:cs="Verdana" w:eastAsia="Verdana" w:hAnsi="Verdana"/>
                <w:sz w:val="17"/>
                <w:szCs w:val="17"/>
                <w:color w:val="auto"/>
              </w:rPr>
              <w:t>.</w:t>
            </w:r>
            <w:r>
              <w:rPr>
                <w:rFonts w:ascii="Verdana" w:cs="Verdana" w:eastAsia="Verdana" w:hAnsi="Verdana"/>
                <w:sz w:val="17"/>
                <w:szCs w:val="17"/>
                <w:color w:val="auto"/>
              </w:rPr>
              <w:t>ст</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СГХС без ФР</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СД без поражения органов</w:t>
            </w:r>
            <w:r>
              <w:rPr>
                <w:rFonts w:ascii="Verdana" w:cs="Verdana" w:eastAsia="Verdana" w:hAnsi="Verdana"/>
                <w:sz w:val="17"/>
                <w:szCs w:val="17"/>
                <w:color w:val="auto"/>
              </w:rPr>
              <w:t>-</w:t>
            </w:r>
            <w:r>
              <w:rPr>
                <w:rFonts w:ascii="Verdana" w:cs="Verdana" w:eastAsia="Verdana" w:hAnsi="Verdana"/>
                <w:sz w:val="17"/>
                <w:szCs w:val="17"/>
                <w:color w:val="auto"/>
              </w:rPr>
              <w:t>мишеней</w:t>
            </w:r>
            <w:r>
              <w:rPr>
                <w:rFonts w:ascii="Verdana" w:cs="Verdana" w:eastAsia="Verdana" w:hAnsi="Verdana"/>
                <w:sz w:val="17"/>
                <w:szCs w:val="17"/>
                <w:color w:val="auto"/>
              </w:rPr>
              <w:t>,</w:t>
            </w:r>
            <w:r>
              <w:rPr>
                <w:rFonts w:ascii="Verdana" w:cs="Verdana" w:eastAsia="Verdana" w:hAnsi="Verdana"/>
                <w:sz w:val="17"/>
                <w:szCs w:val="17"/>
                <w:color w:val="auto"/>
              </w:rPr>
              <w:t xml:space="preserve"> СД</w:t>
            </w:r>
            <w:r>
              <w:rPr>
                <w:rFonts w:ascii="Verdana" w:cs="Verdana" w:eastAsia="Verdana" w:hAnsi="Verdana"/>
                <w:sz w:val="17"/>
                <w:szCs w:val="17"/>
                <w:color w:val="auto"/>
              </w:rPr>
              <w:t>≥ 10</w:t>
            </w:r>
            <w:r>
              <w:rPr>
                <w:rFonts w:ascii="Verdana" w:cs="Verdana" w:eastAsia="Verdana" w:hAnsi="Verdana"/>
                <w:sz w:val="17"/>
                <w:szCs w:val="17"/>
                <w:color w:val="auto"/>
              </w:rPr>
              <w:t xml:space="preserve"> лет или с ФР</w:t>
            </w:r>
          </w:p>
        </w:tc>
        <w:tc>
          <w:tcPr>
            <w:tcW w:w="0" w:type="dxa"/>
            <w:vAlign w:val="bottom"/>
          </w:tcPr>
          <w:p>
            <w:pPr>
              <w:spacing w:after="0"/>
              <w:rPr>
                <w:sz w:val="1"/>
                <w:szCs w:val="1"/>
                <w:color w:val="auto"/>
              </w:rPr>
            </w:pPr>
          </w:p>
        </w:tc>
      </w:tr>
      <w:tr>
        <w:trPr>
          <w:trHeight w:val="56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Умеренная ХБП с СКФ </w:t>
            </w:r>
            <w:r>
              <w:rPr>
                <w:rFonts w:ascii="Verdana" w:cs="Verdana" w:eastAsia="Verdana" w:hAnsi="Verdana"/>
                <w:sz w:val="17"/>
                <w:szCs w:val="17"/>
                <w:color w:val="auto"/>
              </w:rPr>
              <w:t>30-59</w:t>
            </w:r>
            <w:r>
              <w:rPr>
                <w:rFonts w:ascii="Verdana" w:cs="Verdana" w:eastAsia="Verdana" w:hAnsi="Verdana"/>
                <w:sz w:val="17"/>
                <w:szCs w:val="17"/>
                <w:color w:val="auto"/>
              </w:rPr>
              <w:t xml:space="preserve"> мл</w:t>
            </w:r>
            <w:r>
              <w:rPr>
                <w:rFonts w:ascii="Verdana" w:cs="Verdana" w:eastAsia="Verdana" w:hAnsi="Verdana"/>
                <w:sz w:val="17"/>
                <w:szCs w:val="17"/>
                <w:color w:val="auto"/>
              </w:rPr>
              <w:t>/</w:t>
            </w:r>
            <w:r>
              <w:rPr>
                <w:rFonts w:ascii="Verdana" w:cs="Verdana" w:eastAsia="Verdana" w:hAnsi="Verdana"/>
                <w:sz w:val="17"/>
                <w:szCs w:val="17"/>
                <w:color w:val="auto"/>
              </w:rPr>
              <w:t>мин</w:t>
            </w:r>
            <w:r>
              <w:rPr>
                <w:rFonts w:ascii="Verdana" w:cs="Verdana" w:eastAsia="Verdana" w:hAnsi="Verdana"/>
                <w:sz w:val="17"/>
                <w:szCs w:val="17"/>
                <w:color w:val="auto"/>
              </w:rPr>
              <w:t>/1,73</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w:t>
            </w:r>
          </w:p>
        </w:tc>
        <w:tc>
          <w:tcPr>
            <w:tcW w:w="0" w:type="dxa"/>
            <w:vAlign w:val="bottom"/>
          </w:tcPr>
          <w:p>
            <w:pPr>
              <w:spacing w:after="0"/>
              <w:rPr>
                <w:sz w:val="1"/>
                <w:szCs w:val="1"/>
                <w:color w:val="auto"/>
              </w:rPr>
            </w:pPr>
          </w:p>
        </w:tc>
      </w:tr>
      <w:tr>
        <w:trPr>
          <w:trHeight w:val="220"/>
        </w:trPr>
        <w:tc>
          <w:tcPr>
            <w:tcW w:w="2040" w:type="dxa"/>
            <w:vAlign w:val="bottom"/>
            <w:tcBorders>
              <w:left w:val="single" w:sz="8" w:color="auto"/>
              <w:right w:val="single" w:sz="8" w:color="auto"/>
            </w:tcBorders>
          </w:tcPr>
          <w:p>
            <w:pPr>
              <w:spacing w:after="0"/>
              <w:rPr>
                <w:sz w:val="19"/>
                <w:szCs w:val="19"/>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SCORE ≥5% </w:t>
            </w:r>
            <w:r>
              <w:rPr>
                <w:rFonts w:ascii="Verdana" w:cs="Verdana" w:eastAsia="Verdana" w:hAnsi="Verdana"/>
                <w:sz w:val="17"/>
                <w:szCs w:val="17"/>
                <w:color w:val="auto"/>
              </w:rPr>
              <w:t>и</w:t>
            </w:r>
            <w:r>
              <w:rPr>
                <w:rFonts w:ascii="Verdana" w:cs="Verdana" w:eastAsia="Verdana" w:hAnsi="Verdana"/>
                <w:sz w:val="17"/>
                <w:szCs w:val="17"/>
                <w:color w:val="auto"/>
              </w:rPr>
              <w:t xml:space="preserve"> &lt;10%</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Гемодинамически   незначимый   атеросклероз   некоронарных</w:t>
            </w:r>
          </w:p>
        </w:tc>
        <w:tc>
          <w:tcPr>
            <w:tcW w:w="0" w:type="dxa"/>
            <w:vAlign w:val="bottom"/>
          </w:tcPr>
          <w:p>
            <w:pPr>
              <w:spacing w:after="0"/>
              <w:rPr>
                <w:sz w:val="1"/>
                <w:szCs w:val="1"/>
                <w:color w:val="auto"/>
              </w:rPr>
            </w:pPr>
          </w:p>
        </w:tc>
      </w:tr>
      <w:tr>
        <w:trPr>
          <w:trHeight w:val="390"/>
        </w:trPr>
        <w:tc>
          <w:tcPr>
            <w:tcW w:w="2040" w:type="dxa"/>
            <w:vAlign w:val="bottom"/>
            <w:tcBorders>
              <w:left w:val="single" w:sz="8" w:color="auto"/>
              <w:right w:val="single" w:sz="8" w:color="auto"/>
            </w:tcBorders>
          </w:tcPr>
          <w:p>
            <w:pPr>
              <w:spacing w:after="0"/>
              <w:rPr>
                <w:sz w:val="24"/>
                <w:szCs w:val="24"/>
                <w:color w:val="auto"/>
              </w:rPr>
            </w:pPr>
          </w:p>
        </w:tc>
        <w:tc>
          <w:tcPr>
            <w:tcW w:w="6420" w:type="dxa"/>
            <w:vAlign w:val="bottom"/>
            <w:tcBorders>
              <w:right w:val="single" w:sz="8" w:color="auto"/>
            </w:tcBorders>
          </w:tcPr>
          <w:p>
            <w:pPr>
              <w:ind w:left="460"/>
              <w:spacing w:after="0"/>
              <w:rPr>
                <w:sz w:val="20"/>
                <w:szCs w:val="20"/>
                <w:color w:val="auto"/>
              </w:rPr>
            </w:pPr>
            <w:r>
              <w:rPr>
                <w:rFonts w:ascii="Verdana" w:cs="Verdana" w:eastAsia="Verdana" w:hAnsi="Verdana"/>
                <w:sz w:val="17"/>
                <w:szCs w:val="17"/>
                <w:color w:val="auto"/>
              </w:rPr>
              <w:t xml:space="preserve">артерий </w:t>
            </w:r>
            <w:r>
              <w:rPr>
                <w:rFonts w:ascii="Verdana" w:cs="Verdana" w:eastAsia="Verdana" w:hAnsi="Verdana"/>
                <w:sz w:val="17"/>
                <w:szCs w:val="17"/>
                <w:color w:val="auto"/>
              </w:rPr>
              <w:t>(</w:t>
            </w:r>
            <w:r>
              <w:rPr>
                <w:rFonts w:ascii="Verdana" w:cs="Verdana" w:eastAsia="Verdana" w:hAnsi="Verdana"/>
                <w:sz w:val="17"/>
                <w:szCs w:val="17"/>
                <w:color w:val="auto"/>
              </w:rPr>
              <w:t>стеноз</w:t>
            </w:r>
            <w:r>
              <w:rPr>
                <w:rFonts w:ascii="Verdana" w:cs="Verdana" w:eastAsia="Verdana" w:hAnsi="Verdana"/>
                <w:sz w:val="17"/>
                <w:szCs w:val="17"/>
                <w:color w:val="auto"/>
              </w:rPr>
              <w:t>(-</w:t>
            </w:r>
            <w:r>
              <w:rPr>
                <w:rFonts w:ascii="Verdana" w:cs="Verdana" w:eastAsia="Verdana" w:hAnsi="Verdana"/>
                <w:sz w:val="17"/>
                <w:szCs w:val="17"/>
                <w:color w:val="auto"/>
              </w:rPr>
              <w:t>ы</w:t>
            </w:r>
            <w:r>
              <w:rPr>
                <w:rFonts w:ascii="Verdana" w:cs="Verdana" w:eastAsia="Verdana" w:hAnsi="Verdana"/>
                <w:sz w:val="17"/>
                <w:szCs w:val="17"/>
                <w:color w:val="auto"/>
              </w:rPr>
              <w:t>) &gt;25-49%)</w:t>
            </w:r>
          </w:p>
        </w:tc>
        <w:tc>
          <w:tcPr>
            <w:tcW w:w="0" w:type="dxa"/>
            <w:vAlign w:val="bottom"/>
          </w:tcPr>
          <w:p>
            <w:pPr>
              <w:spacing w:after="0"/>
              <w:rPr>
                <w:sz w:val="1"/>
                <w:szCs w:val="1"/>
                <w:color w:val="auto"/>
              </w:rPr>
            </w:pPr>
          </w:p>
        </w:tc>
      </w:tr>
      <w:tr>
        <w:trPr>
          <w:trHeight w:val="237"/>
        </w:trPr>
        <w:tc>
          <w:tcPr>
            <w:tcW w:w="2040" w:type="dxa"/>
            <w:vAlign w:val="bottom"/>
            <w:tcBorders>
              <w:left w:val="single" w:sz="8" w:color="auto"/>
              <w:bottom w:val="single" w:sz="8" w:color="auto"/>
              <w:right w:val="single" w:sz="8" w:color="auto"/>
            </w:tcBorders>
          </w:tcPr>
          <w:p>
            <w:pPr>
              <w:spacing w:after="0"/>
              <w:rPr>
                <w:sz w:val="20"/>
                <w:szCs w:val="20"/>
                <w:color w:val="auto"/>
              </w:rPr>
            </w:pPr>
          </w:p>
        </w:tc>
        <w:tc>
          <w:tcPr>
            <w:tcW w:w="6420" w:type="dxa"/>
            <w:vAlign w:val="bottom"/>
            <w:tcBorders>
              <w:bottom w:val="single" w:sz="8" w:color="auto"/>
              <w:right w:val="single" w:sz="8" w:color="auto"/>
            </w:tcBorders>
          </w:tcPr>
          <w:p>
            <w:pPr>
              <w:spacing w:after="0"/>
              <w:rPr>
                <w:sz w:val="20"/>
                <w:szCs w:val="20"/>
                <w:color w:val="auto"/>
              </w:rPr>
            </w:pPr>
          </w:p>
        </w:tc>
        <w:tc>
          <w:tcPr>
            <w:tcW w:w="0" w:type="dxa"/>
            <w:vAlign w:val="bottom"/>
          </w:tcPr>
          <w:p>
            <w:pPr>
              <w:spacing w:after="0"/>
              <w:rPr>
                <w:sz w:val="1"/>
                <w:szCs w:val="1"/>
                <w:color w:val="auto"/>
              </w:rPr>
            </w:pPr>
          </w:p>
        </w:tc>
      </w:tr>
    </w:tbl>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1674495</wp:posOffset>
            </wp:positionH>
            <wp:positionV relativeFrom="paragraph">
              <wp:posOffset>-6949440</wp:posOffset>
            </wp:positionV>
            <wp:extent cx="63500" cy="63500"/>
            <wp:wrapNone/>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85">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-4909820</wp:posOffset>
            </wp:positionV>
            <wp:extent cx="63500" cy="6350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86">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-3919220</wp:posOffset>
            </wp:positionV>
            <wp:extent cx="63500" cy="63500"/>
            <wp:wrapNone/>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87">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-3423285</wp:posOffset>
            </wp:positionV>
            <wp:extent cx="63500" cy="63500"/>
            <wp:wrapNone/>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88">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-2927985</wp:posOffset>
            </wp:positionV>
            <wp:extent cx="63500" cy="63500"/>
            <wp:wrapNone/>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89">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-2680335</wp:posOffset>
            </wp:positionV>
            <wp:extent cx="63500" cy="63500"/>
            <wp:wrapNone/>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90">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-2432685</wp:posOffset>
            </wp:positionV>
            <wp:extent cx="63500" cy="63500"/>
            <wp:wrapNone/>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91">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-1984375</wp:posOffset>
            </wp:positionV>
            <wp:extent cx="63500" cy="63500"/>
            <wp:wrapNone/>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92">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-1489075</wp:posOffset>
            </wp:positionV>
            <wp:extent cx="63500" cy="63500"/>
            <wp:wrapNone/>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93">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-1241425</wp:posOffset>
            </wp:positionV>
            <wp:extent cx="63500" cy="63500"/>
            <wp:wrapNone/>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94">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-993775</wp:posOffset>
            </wp:positionV>
            <wp:extent cx="63500" cy="63500"/>
            <wp:wrapNone/>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395">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-745490</wp:posOffset>
            </wp:positionV>
            <wp:extent cx="63500" cy="63500"/>
            <wp:wrapNone/>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96">
                      <a:extLst>
                        <a:ext uri="{28A0092B-C50C-407E-A947-70E740481C1C}"/>
                      </a:extLst>
                    </a:blip>
                    <a:srcRect/>
                    <a:stretch>
                      <a:fillRect/>
                    </a:stretch>
                  </pic:blipFill>
                  <pic:spPr bwMode="auto">
                    <a:xfrm>
                      <a:off x="0" y="0"/>
                      <a:ext cx="63500" cy="63500"/>
                    </a:xfrm>
                    <a:prstGeom prst="rect">
                      <a:avLst/>
                    </a:prstGeom>
                    <a:noFill/>
                  </pic:spPr>
                </pic:pic>
              </a:graphicData>
            </a:graphic>
          </wp:anchor>
        </w:drawing>
        <w:drawing>
          <wp:anchor simplePos="0" relativeHeight="251657728" behindDoc="1" locked="0" layoutInCell="0" allowOverlap="1">
            <wp:simplePos x="0" y="0"/>
            <wp:positionH relativeFrom="column">
              <wp:posOffset>1674495</wp:posOffset>
            </wp:positionH>
            <wp:positionV relativeFrom="paragraph">
              <wp:posOffset>-497840</wp:posOffset>
            </wp:positionV>
            <wp:extent cx="63500" cy="63500"/>
            <wp:wrapNone/>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97">
                      <a:extLst>
                        <a:ext uri="{28A0092B-C50C-407E-A947-70E740481C1C}"/>
                      </a:extLst>
                    </a:blip>
                    <a:srcRect/>
                    <a:stretch>
                      <a:fillRect/>
                    </a:stretch>
                  </pic:blipFill>
                  <pic:spPr bwMode="auto">
                    <a:xfrm>
                      <a:off x="0" y="0"/>
                      <a:ext cx="63500" cy="63500"/>
                    </a:xfrm>
                    <a:prstGeom prst="rect">
                      <a:avLst/>
                    </a:prstGeom>
                    <a:noFill/>
                  </pic:spPr>
                </pic:pic>
              </a:graphicData>
            </a:graphic>
          </wp:anchor>
        </w:drawing>
      </w:r>
    </w:p>
    <w:p>
      <w:pPr>
        <w:sectPr>
          <w:pgSz w:w="11900" w:h="16840" w:orient="portrait"/>
          <w:cols w:equalWidth="0" w:num="1">
            <w:col w:w="9020"/>
          </w:cols>
          <w:pgMar w:left="1440" w:top="19" w:right="1440" w:bottom="654" w:gutter="0" w:footer="0" w:header="0"/>
        </w:sectPr>
      </w:pPr>
    </w:p>
    <w:bookmarkStart w:id="145" w:name="page146"/>
    <w:bookmarkEnd w:id="145"/>
    <w:tbl>
      <w:tblPr>
        <w:tblLayout w:type="fixed"/>
        <w:tblInd w:w="520" w:type="dxa"/>
        <w:tblCellMar>
          <w:top w:w="0" w:type="dxa"/>
          <w:left w:w="0" w:type="dxa"/>
          <w:bottom w:w="0" w:type="dxa"/>
          <w:right w:w="0" w:type="dxa"/>
        </w:tblCellMar>
      </w:tblPr>
      <w:tr>
        <w:trPr>
          <w:trHeight w:val="220"/>
        </w:trPr>
        <w:tc>
          <w:tcPr>
            <w:tcW w:w="1660" w:type="dxa"/>
            <w:vAlign w:val="bottom"/>
          </w:tcPr>
          <w:p>
            <w:pPr>
              <w:spacing w:after="0"/>
              <w:rPr>
                <w:sz w:val="20"/>
                <w:szCs w:val="20"/>
                <w:color w:val="auto"/>
              </w:rPr>
            </w:pPr>
            <w:r>
              <w:rPr>
                <w:rFonts w:ascii="Verdana" w:cs="Verdana" w:eastAsia="Verdana" w:hAnsi="Verdana"/>
                <w:sz w:val="17"/>
                <w:szCs w:val="17"/>
                <w:color w:val="auto"/>
              </w:rPr>
              <w:t>Умеренный</w:t>
            </w:r>
          </w:p>
        </w:tc>
        <w:tc>
          <w:tcPr>
            <w:tcW w:w="6460" w:type="dxa"/>
            <w:vAlign w:val="bottom"/>
            <w:vMerge w:val="restart"/>
          </w:tcPr>
          <w:p>
            <w:pPr>
              <w:ind w:left="680"/>
              <w:spacing w:after="0"/>
              <w:rPr>
                <w:sz w:val="20"/>
                <w:szCs w:val="20"/>
                <w:color w:val="auto"/>
              </w:rPr>
            </w:pPr>
            <w:r>
              <w:rPr>
                <w:rFonts w:ascii="Verdana" w:cs="Verdana" w:eastAsia="Verdana" w:hAnsi="Verdana"/>
                <w:sz w:val="17"/>
                <w:szCs w:val="17"/>
                <w:color w:val="auto"/>
                <w:w w:val="99"/>
              </w:rPr>
              <w:t xml:space="preserve">Молодые пациенты </w:t>
            </w:r>
            <w:r>
              <w:rPr>
                <w:rFonts w:ascii="Verdana" w:cs="Verdana" w:eastAsia="Verdana" w:hAnsi="Verdana"/>
                <w:sz w:val="17"/>
                <w:szCs w:val="17"/>
                <w:color w:val="auto"/>
                <w:w w:val="99"/>
              </w:rPr>
              <w:t>(</w:t>
            </w:r>
            <w:r>
              <w:rPr>
                <w:rFonts w:ascii="Verdana" w:cs="Verdana" w:eastAsia="Verdana" w:hAnsi="Verdana"/>
                <w:sz w:val="17"/>
                <w:szCs w:val="17"/>
                <w:color w:val="auto"/>
                <w:w w:val="99"/>
              </w:rPr>
              <w:t xml:space="preserve">СД </w:t>
            </w:r>
            <w:r>
              <w:rPr>
                <w:rFonts w:ascii="Verdana" w:cs="Verdana" w:eastAsia="Verdana" w:hAnsi="Verdana"/>
                <w:sz w:val="17"/>
                <w:szCs w:val="17"/>
                <w:color w:val="auto"/>
                <w:w w:val="99"/>
              </w:rPr>
              <w:t>1</w:t>
            </w:r>
            <w:r>
              <w:rPr>
                <w:rFonts w:ascii="Verdana" w:cs="Verdana" w:eastAsia="Verdana" w:hAnsi="Verdana"/>
                <w:sz w:val="17"/>
                <w:szCs w:val="17"/>
                <w:color w:val="auto"/>
                <w:w w:val="99"/>
              </w:rPr>
              <w:t xml:space="preserve"> типа моложе </w:t>
            </w:r>
            <w:r>
              <w:rPr>
                <w:rFonts w:ascii="Verdana" w:cs="Verdana" w:eastAsia="Verdana" w:hAnsi="Verdana"/>
                <w:sz w:val="17"/>
                <w:szCs w:val="17"/>
                <w:color w:val="auto"/>
                <w:w w:val="99"/>
              </w:rPr>
              <w:t>35</w:t>
            </w:r>
            <w:r>
              <w:rPr>
                <w:rFonts w:ascii="Verdana" w:cs="Verdana" w:eastAsia="Verdana" w:hAnsi="Verdana"/>
                <w:sz w:val="17"/>
                <w:szCs w:val="17"/>
                <w:color w:val="auto"/>
                <w:w w:val="99"/>
              </w:rPr>
              <w:t xml:space="preserve"> лет</w:t>
            </w:r>
            <w:r>
              <w:rPr>
                <w:rFonts w:ascii="Verdana" w:cs="Verdana" w:eastAsia="Verdana" w:hAnsi="Verdana"/>
                <w:sz w:val="17"/>
                <w:szCs w:val="17"/>
                <w:color w:val="auto"/>
                <w:w w:val="99"/>
              </w:rPr>
              <w:t>,</w:t>
            </w:r>
            <w:r>
              <w:rPr>
                <w:rFonts w:ascii="Verdana" w:cs="Verdana" w:eastAsia="Verdana" w:hAnsi="Verdana"/>
                <w:sz w:val="17"/>
                <w:szCs w:val="17"/>
                <w:color w:val="auto"/>
                <w:w w:val="99"/>
              </w:rPr>
              <w:t xml:space="preserve"> СД </w:t>
            </w:r>
            <w:r>
              <w:rPr>
                <w:rFonts w:ascii="Verdana" w:cs="Verdana" w:eastAsia="Verdana" w:hAnsi="Verdana"/>
                <w:sz w:val="17"/>
                <w:szCs w:val="17"/>
                <w:color w:val="auto"/>
                <w:w w:val="99"/>
              </w:rPr>
              <w:t>2</w:t>
            </w:r>
            <w:r>
              <w:rPr>
                <w:rFonts w:ascii="Verdana" w:cs="Verdana" w:eastAsia="Verdana" w:hAnsi="Verdana"/>
                <w:sz w:val="17"/>
                <w:szCs w:val="17"/>
                <w:color w:val="auto"/>
                <w:w w:val="99"/>
              </w:rPr>
              <w:t xml:space="preserve"> типа моложе</w:t>
            </w:r>
          </w:p>
        </w:tc>
        <w:tc>
          <w:tcPr>
            <w:tcW w:w="0" w:type="dxa"/>
            <w:vAlign w:val="bottom"/>
          </w:tcPr>
          <w:p>
            <w:pPr>
              <w:spacing w:after="0"/>
              <w:rPr>
                <w:sz w:val="1"/>
                <w:szCs w:val="1"/>
                <w:color w:val="auto"/>
              </w:rPr>
            </w:pPr>
          </w:p>
        </w:tc>
      </w:tr>
      <w:tr>
        <w:trPr>
          <w:trHeight w:val="105"/>
        </w:trPr>
        <w:tc>
          <w:tcPr>
            <w:tcW w:w="1660" w:type="dxa"/>
            <w:vAlign w:val="bottom"/>
          </w:tcPr>
          <w:p>
            <w:pPr>
              <w:spacing w:after="0"/>
              <w:rPr>
                <w:sz w:val="9"/>
                <w:szCs w:val="9"/>
                <w:color w:val="auto"/>
              </w:rPr>
            </w:pPr>
          </w:p>
        </w:tc>
        <w:tc>
          <w:tcPr>
            <w:tcW w:w="6460" w:type="dxa"/>
            <w:vAlign w:val="bottom"/>
            <w:vMerge w:val="continue"/>
          </w:tcPr>
          <w:p>
            <w:pPr>
              <w:spacing w:after="0"/>
              <w:rPr>
                <w:sz w:val="9"/>
                <w:szCs w:val="9"/>
                <w:color w:val="auto"/>
              </w:rPr>
            </w:pPr>
          </w:p>
        </w:tc>
        <w:tc>
          <w:tcPr>
            <w:tcW w:w="0" w:type="dxa"/>
            <w:vAlign w:val="bottom"/>
          </w:tcPr>
          <w:p>
            <w:pPr>
              <w:spacing w:after="0"/>
              <w:rPr>
                <w:sz w:val="1"/>
                <w:szCs w:val="1"/>
                <w:color w:val="auto"/>
              </w:rPr>
            </w:pPr>
          </w:p>
        </w:tc>
      </w:tr>
      <w:tr>
        <w:trPr>
          <w:trHeight w:val="390"/>
        </w:trPr>
        <w:tc>
          <w:tcPr>
            <w:tcW w:w="1660" w:type="dxa"/>
            <w:vAlign w:val="bottom"/>
          </w:tcPr>
          <w:p>
            <w:pPr>
              <w:spacing w:after="0"/>
              <w:rPr>
                <w:sz w:val="24"/>
                <w:szCs w:val="24"/>
                <w:color w:val="auto"/>
              </w:rPr>
            </w:pPr>
          </w:p>
        </w:tc>
        <w:tc>
          <w:tcPr>
            <w:tcW w:w="6460" w:type="dxa"/>
            <w:vAlign w:val="bottom"/>
          </w:tcPr>
          <w:p>
            <w:pPr>
              <w:ind w:left="680"/>
              <w:spacing w:after="0"/>
              <w:rPr>
                <w:sz w:val="20"/>
                <w:szCs w:val="20"/>
                <w:color w:val="auto"/>
              </w:rPr>
            </w:pPr>
            <w:r>
              <w:rPr>
                <w:rFonts w:ascii="Verdana" w:cs="Verdana" w:eastAsia="Verdana" w:hAnsi="Verdana"/>
                <w:sz w:val="17"/>
                <w:szCs w:val="17"/>
                <w:color w:val="auto"/>
              </w:rPr>
              <w:t xml:space="preserve">50 </w:t>
            </w:r>
            <w:r>
              <w:rPr>
                <w:rFonts w:ascii="Verdana" w:cs="Verdana" w:eastAsia="Verdana" w:hAnsi="Verdana"/>
                <w:sz w:val="17"/>
                <w:szCs w:val="17"/>
                <w:color w:val="auto"/>
              </w:rPr>
              <w:t>лет</w:t>
            </w:r>
            <w:r>
              <w:rPr>
                <w:rFonts w:ascii="Verdana" w:cs="Verdana" w:eastAsia="Verdana" w:hAnsi="Verdana"/>
                <w:sz w:val="17"/>
                <w:szCs w:val="17"/>
                <w:color w:val="auto"/>
              </w:rPr>
              <w:t xml:space="preserve">) </w:t>
            </w:r>
            <w:r>
              <w:rPr>
                <w:rFonts w:ascii="Verdana" w:cs="Verdana" w:eastAsia="Verdana" w:hAnsi="Verdana"/>
                <w:sz w:val="17"/>
                <w:szCs w:val="17"/>
                <w:color w:val="auto"/>
              </w:rPr>
              <w:t>с длительностью СД</w:t>
            </w:r>
            <w:r>
              <w:rPr>
                <w:rFonts w:ascii="Verdana" w:cs="Verdana" w:eastAsia="Verdana" w:hAnsi="Verdana"/>
                <w:sz w:val="17"/>
                <w:szCs w:val="17"/>
                <w:color w:val="auto"/>
              </w:rPr>
              <w:t xml:space="preserve"> &lt;10 </w:t>
            </w:r>
            <w:r>
              <w:rPr>
                <w:rFonts w:ascii="Verdana" w:cs="Verdana" w:eastAsia="Verdana" w:hAnsi="Verdana"/>
                <w:sz w:val="17"/>
                <w:szCs w:val="17"/>
                <w:color w:val="auto"/>
              </w:rPr>
              <w:t>лет без поражения органов</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390"/>
        </w:trPr>
        <w:tc>
          <w:tcPr>
            <w:tcW w:w="1660" w:type="dxa"/>
            <w:vAlign w:val="bottom"/>
          </w:tcPr>
          <w:p>
            <w:pPr>
              <w:spacing w:after="0"/>
              <w:rPr>
                <w:sz w:val="24"/>
                <w:szCs w:val="24"/>
                <w:color w:val="auto"/>
              </w:rPr>
            </w:pPr>
          </w:p>
        </w:tc>
        <w:tc>
          <w:tcPr>
            <w:tcW w:w="6460" w:type="dxa"/>
            <w:vAlign w:val="bottom"/>
          </w:tcPr>
          <w:p>
            <w:pPr>
              <w:ind w:left="680"/>
              <w:spacing w:after="0"/>
              <w:rPr>
                <w:sz w:val="20"/>
                <w:szCs w:val="20"/>
                <w:color w:val="auto"/>
              </w:rPr>
            </w:pPr>
            <w:r>
              <w:rPr>
                <w:rFonts w:ascii="Verdana" w:cs="Verdana" w:eastAsia="Verdana" w:hAnsi="Verdana"/>
                <w:sz w:val="17"/>
                <w:szCs w:val="17"/>
                <w:color w:val="auto"/>
              </w:rPr>
              <w:t>мишеней и ФР</w:t>
            </w:r>
          </w:p>
        </w:tc>
        <w:tc>
          <w:tcPr>
            <w:tcW w:w="0" w:type="dxa"/>
            <w:vAlign w:val="bottom"/>
          </w:tcPr>
          <w:p>
            <w:pPr>
              <w:spacing w:after="0"/>
              <w:rPr>
                <w:sz w:val="1"/>
                <w:szCs w:val="1"/>
                <w:color w:val="auto"/>
              </w:rPr>
            </w:pPr>
          </w:p>
        </w:tc>
      </w:tr>
      <w:tr>
        <w:trPr>
          <w:trHeight w:val="390"/>
        </w:trPr>
        <w:tc>
          <w:tcPr>
            <w:tcW w:w="1660" w:type="dxa"/>
            <w:vAlign w:val="bottom"/>
          </w:tcPr>
          <w:p>
            <w:pPr>
              <w:spacing w:after="0"/>
              <w:rPr>
                <w:sz w:val="24"/>
                <w:szCs w:val="24"/>
                <w:color w:val="auto"/>
              </w:rPr>
            </w:pPr>
          </w:p>
        </w:tc>
        <w:tc>
          <w:tcPr>
            <w:tcW w:w="6460" w:type="dxa"/>
            <w:vAlign w:val="bottom"/>
          </w:tcPr>
          <w:p>
            <w:pPr>
              <w:ind w:left="680"/>
              <w:spacing w:after="0"/>
              <w:rPr>
                <w:sz w:val="20"/>
                <w:szCs w:val="20"/>
                <w:color w:val="auto"/>
              </w:rPr>
            </w:pPr>
            <w:r>
              <w:rPr>
                <w:rFonts w:ascii="Verdana" w:cs="Verdana" w:eastAsia="Verdana" w:hAnsi="Verdana"/>
                <w:sz w:val="17"/>
                <w:szCs w:val="17"/>
                <w:color w:val="auto"/>
              </w:rPr>
              <w:t xml:space="preserve">SCORE ≥1% </w:t>
            </w:r>
            <w:r>
              <w:rPr>
                <w:rFonts w:ascii="Verdana" w:cs="Verdana" w:eastAsia="Verdana" w:hAnsi="Verdana"/>
                <w:sz w:val="17"/>
                <w:szCs w:val="17"/>
                <w:color w:val="auto"/>
              </w:rPr>
              <w:t>и</w:t>
            </w:r>
            <w:r>
              <w:rPr>
                <w:rFonts w:ascii="Verdana" w:cs="Verdana" w:eastAsia="Verdana" w:hAnsi="Verdana"/>
                <w:sz w:val="17"/>
                <w:szCs w:val="17"/>
                <w:color w:val="auto"/>
              </w:rPr>
              <w:t xml:space="preserve"> &lt; 5%</w:t>
            </w:r>
          </w:p>
        </w:tc>
        <w:tc>
          <w:tcPr>
            <w:tcW w:w="0" w:type="dxa"/>
            <w:vAlign w:val="bottom"/>
          </w:tcPr>
          <w:p>
            <w:pPr>
              <w:spacing w:after="0"/>
              <w:rPr>
                <w:sz w:val="1"/>
                <w:szCs w:val="1"/>
                <w:color w:val="auto"/>
              </w:rPr>
            </w:pPr>
          </w:p>
        </w:tc>
      </w:tr>
    </w:tbl>
    <w:p>
      <w:pPr>
        <w:spacing w:after="0" w:line="199" w:lineRule="exact"/>
        <w:rPr>
          <w:sz w:val="20"/>
          <w:szCs w:val="20"/>
          <w:color w:val="auto"/>
        </w:rPr>
      </w:pPr>
      <w:r>
        <w:rPr>
          <w:sz w:val="20"/>
          <w:szCs w:val="20"/>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1648460"/>
            <wp:wrapNone/>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398">
                      <a:extLst>
                        <a:ext uri="{28A0092B-C50C-407E-A947-70E740481C1C}"/>
                      </a:extLst>
                    </a:blip>
                    <a:srcRect/>
                    <a:stretch>
                      <a:fillRect/>
                    </a:stretch>
                  </pic:blipFill>
                  <pic:spPr bwMode="auto">
                    <a:xfrm>
                      <a:off x="0" y="0"/>
                      <a:ext cx="5365115" cy="1648460"/>
                    </a:xfrm>
                    <a:prstGeom prst="rect">
                      <a:avLst/>
                    </a:prstGeom>
                    <a:noFill/>
                  </pic:spPr>
                </pic:pic>
              </a:graphicData>
            </a:graphic>
          </wp:anchor>
        </w:drawing>
      </w:r>
    </w:p>
    <w:p>
      <w:pPr>
        <w:ind w:left="520"/>
        <w:spacing w:after="0"/>
        <w:tabs>
          <w:tab w:leader="none" w:pos="2840" w:val="left"/>
        </w:tabs>
        <w:rPr>
          <w:sz w:val="20"/>
          <w:szCs w:val="20"/>
          <w:color w:val="auto"/>
        </w:rPr>
      </w:pPr>
      <w:r>
        <w:rPr>
          <w:rFonts w:ascii="Verdana" w:cs="Verdana" w:eastAsia="Verdana" w:hAnsi="Verdana"/>
          <w:sz w:val="33"/>
          <w:szCs w:val="33"/>
          <w:color w:val="auto"/>
          <w:vertAlign w:val="superscript"/>
        </w:rPr>
        <w:t>Низкий</w:t>
      </w:r>
      <w:r>
        <w:rPr>
          <w:sz w:val="20"/>
          <w:szCs w:val="20"/>
          <w:color w:val="auto"/>
        </w:rPr>
        <w:tab/>
      </w:r>
      <w:r>
        <w:rPr>
          <w:rFonts w:ascii="Verdana" w:cs="Verdana" w:eastAsia="Verdana" w:hAnsi="Verdana"/>
          <w:sz w:val="17"/>
          <w:szCs w:val="17"/>
          <w:color w:val="auto"/>
        </w:rPr>
        <w:t>SCORE&lt;1%</w:t>
      </w:r>
    </w:p>
    <w:p>
      <w:pPr>
        <w:spacing w:after="0" w:line="242" w:lineRule="exact"/>
        <w:rPr>
          <w:sz w:val="20"/>
          <w:szCs w:val="20"/>
          <w:color w:val="auto"/>
        </w:rPr>
      </w:pPr>
    </w:p>
    <w:p>
      <w:pPr>
        <w:jc w:val="both"/>
        <w:ind w:left="360" w:right="220"/>
        <w:spacing w:after="0" w:line="268" w:lineRule="auto"/>
        <w:rPr>
          <w:sz w:val="20"/>
          <w:szCs w:val="20"/>
          <w:color w:val="auto"/>
        </w:rPr>
      </w:pPr>
      <w:r>
        <w:rPr>
          <w:rFonts w:ascii="Arial" w:cs="Arial" w:eastAsia="Arial" w:hAnsi="Arial"/>
          <w:sz w:val="54"/>
          <w:szCs w:val="54"/>
          <w:color w:val="auto"/>
          <w:vertAlign w:val="superscript"/>
        </w:rPr>
        <w:t>1</w:t>
      </w:r>
      <w:r>
        <w:rPr>
          <w:rFonts w:ascii="Arial" w:cs="Arial" w:eastAsia="Arial" w:hAnsi="Arial"/>
          <w:sz w:val="27"/>
          <w:szCs w:val="27"/>
          <w:color w:val="auto"/>
        </w:rPr>
        <w:t xml:space="preserve"> ИБС</w:t>
      </w:r>
      <w:r>
        <w:rPr>
          <w:rFonts w:ascii="Arial" w:cs="Arial" w:eastAsia="Arial" w:hAnsi="Arial"/>
          <w:sz w:val="27"/>
          <w:szCs w:val="27"/>
          <w:color w:val="auto"/>
        </w:rPr>
        <w:t>:</w:t>
      </w:r>
      <w:r>
        <w:rPr>
          <w:rFonts w:ascii="Arial" w:cs="Arial" w:eastAsia="Arial" w:hAnsi="Arial"/>
          <w:sz w:val="27"/>
          <w:szCs w:val="27"/>
          <w:color w:val="auto"/>
        </w:rPr>
        <w:t xml:space="preserve"> стенокардия напряжения </w:t>
      </w:r>
      <w:r>
        <w:rPr>
          <w:rFonts w:ascii="Arial" w:cs="Arial" w:eastAsia="Arial" w:hAnsi="Arial"/>
          <w:sz w:val="27"/>
          <w:szCs w:val="27"/>
          <w:color w:val="auto"/>
        </w:rPr>
        <w:t>3-4</w:t>
      </w:r>
      <w:r>
        <w:rPr>
          <w:rFonts w:ascii="Arial" w:cs="Arial" w:eastAsia="Arial" w:hAnsi="Arial"/>
          <w:sz w:val="27"/>
          <w:szCs w:val="27"/>
          <w:color w:val="auto"/>
        </w:rPr>
        <w:t xml:space="preserve"> ФК</w:t>
      </w:r>
      <w:r>
        <w:rPr>
          <w:rFonts w:ascii="Arial" w:cs="Arial" w:eastAsia="Arial" w:hAnsi="Arial"/>
          <w:sz w:val="27"/>
          <w:szCs w:val="27"/>
          <w:color w:val="auto"/>
        </w:rPr>
        <w:t>,</w:t>
      </w:r>
      <w:r>
        <w:rPr>
          <w:rFonts w:ascii="Arial" w:cs="Arial" w:eastAsia="Arial" w:hAnsi="Arial"/>
          <w:sz w:val="27"/>
          <w:szCs w:val="27"/>
          <w:color w:val="auto"/>
        </w:rPr>
        <w:t xml:space="preserve"> нестабильная стенокардия</w:t>
      </w:r>
      <w:r>
        <w:rPr>
          <w:rFonts w:ascii="Arial" w:cs="Arial" w:eastAsia="Arial" w:hAnsi="Arial"/>
          <w:sz w:val="27"/>
          <w:szCs w:val="27"/>
          <w:color w:val="auto"/>
        </w:rPr>
        <w:t>,</w:t>
      </w:r>
      <w:r>
        <w:rPr>
          <w:rFonts w:ascii="Arial" w:cs="Arial" w:eastAsia="Arial" w:hAnsi="Arial"/>
          <w:sz w:val="27"/>
          <w:szCs w:val="27"/>
          <w:color w:val="auto"/>
        </w:rPr>
        <w:t xml:space="preserve"> перенесенный инфаркт миокарда</w:t>
      </w:r>
      <w:r>
        <w:rPr>
          <w:rFonts w:ascii="Arial" w:cs="Arial" w:eastAsia="Arial" w:hAnsi="Arial"/>
          <w:sz w:val="27"/>
          <w:szCs w:val="27"/>
          <w:color w:val="auto"/>
        </w:rPr>
        <w:t>,</w:t>
      </w:r>
      <w:r>
        <w:rPr>
          <w:rFonts w:ascii="Arial" w:cs="Arial" w:eastAsia="Arial" w:hAnsi="Arial"/>
          <w:sz w:val="27"/>
          <w:szCs w:val="27"/>
          <w:color w:val="auto"/>
        </w:rPr>
        <w:t xml:space="preserve"> ишемический инсульт</w:t>
      </w:r>
      <w:r>
        <w:rPr>
          <w:rFonts w:ascii="Arial" w:cs="Arial" w:eastAsia="Arial" w:hAnsi="Arial"/>
          <w:sz w:val="27"/>
          <w:szCs w:val="27"/>
          <w:color w:val="auto"/>
        </w:rPr>
        <w:t>,</w:t>
      </w:r>
      <w:r>
        <w:rPr>
          <w:rFonts w:ascii="Arial" w:cs="Arial" w:eastAsia="Arial" w:hAnsi="Arial"/>
          <w:sz w:val="27"/>
          <w:szCs w:val="27"/>
          <w:color w:val="auto"/>
        </w:rPr>
        <w:t xml:space="preserve"> ЧКВ</w:t>
      </w:r>
      <w:r>
        <w:rPr>
          <w:rFonts w:ascii="Arial" w:cs="Arial" w:eastAsia="Arial" w:hAnsi="Arial"/>
          <w:sz w:val="27"/>
          <w:szCs w:val="27"/>
          <w:color w:val="auto"/>
        </w:rPr>
        <w:t>,</w:t>
      </w:r>
      <w:r>
        <w:rPr>
          <w:rFonts w:ascii="Arial" w:cs="Arial" w:eastAsia="Arial" w:hAnsi="Arial"/>
          <w:sz w:val="27"/>
          <w:szCs w:val="27"/>
          <w:color w:val="auto"/>
        </w:rPr>
        <w:t xml:space="preserve"> операция КШ</w:t>
      </w:r>
      <w:r>
        <w:rPr>
          <w:rFonts w:ascii="Arial" w:cs="Arial" w:eastAsia="Arial" w:hAnsi="Arial"/>
          <w:sz w:val="27"/>
          <w:szCs w:val="27"/>
          <w:color w:val="auto"/>
        </w:rPr>
        <w:t>,</w:t>
      </w:r>
      <w:r>
        <w:rPr>
          <w:rFonts w:ascii="Arial" w:cs="Arial" w:eastAsia="Arial" w:hAnsi="Arial"/>
          <w:sz w:val="27"/>
          <w:szCs w:val="27"/>
          <w:color w:val="auto"/>
        </w:rPr>
        <w:t xml:space="preserve"> ангиопластика сонных артерий или артерий нижних конечностей</w:t>
      </w:r>
      <w:r>
        <w:rPr>
          <w:rFonts w:ascii="Arial" w:cs="Arial" w:eastAsia="Arial" w:hAnsi="Arial"/>
          <w:sz w:val="27"/>
          <w:szCs w:val="27"/>
          <w:color w:val="auto"/>
        </w:rPr>
        <w:t>,</w:t>
      </w:r>
      <w:r>
        <w:rPr>
          <w:rFonts w:ascii="Arial" w:cs="Arial" w:eastAsia="Arial" w:hAnsi="Arial"/>
          <w:sz w:val="27"/>
          <w:szCs w:val="27"/>
          <w:color w:val="auto"/>
        </w:rPr>
        <w:t xml:space="preserve"> каротидная эндартерэктомия</w:t>
      </w:r>
      <w:r>
        <w:rPr>
          <w:rFonts w:ascii="Arial" w:cs="Arial" w:eastAsia="Arial" w:hAnsi="Arial"/>
          <w:sz w:val="27"/>
          <w:szCs w:val="27"/>
          <w:color w:val="auto"/>
        </w:rPr>
        <w:t>,</w:t>
      </w:r>
      <w:r>
        <w:rPr>
          <w:rFonts w:ascii="Arial" w:cs="Arial" w:eastAsia="Arial" w:hAnsi="Arial"/>
          <w:sz w:val="27"/>
          <w:szCs w:val="27"/>
          <w:color w:val="auto"/>
        </w:rPr>
        <w:t xml:space="preserve"> подвздошно</w:t>
      </w:r>
      <w:r>
        <w:rPr>
          <w:rFonts w:ascii="Arial" w:cs="Arial" w:eastAsia="Arial" w:hAnsi="Arial"/>
          <w:sz w:val="27"/>
          <w:szCs w:val="27"/>
          <w:color w:val="auto"/>
        </w:rPr>
        <w:t>-</w:t>
      </w:r>
      <w:r>
        <w:rPr>
          <w:rFonts w:ascii="Arial" w:cs="Arial" w:eastAsia="Arial" w:hAnsi="Arial"/>
          <w:sz w:val="27"/>
          <w:szCs w:val="27"/>
          <w:color w:val="auto"/>
        </w:rPr>
        <w:t>бедренное</w:t>
      </w:r>
      <w:r>
        <w:rPr>
          <w:rFonts w:ascii="Arial" w:cs="Arial" w:eastAsia="Arial" w:hAnsi="Arial"/>
          <w:sz w:val="27"/>
          <w:szCs w:val="27"/>
          <w:color w:val="auto"/>
        </w:rPr>
        <w:t>,</w:t>
      </w:r>
      <w:r>
        <w:rPr>
          <w:rFonts w:ascii="Arial" w:cs="Arial" w:eastAsia="Arial" w:hAnsi="Arial"/>
          <w:sz w:val="27"/>
          <w:szCs w:val="27"/>
          <w:color w:val="auto"/>
        </w:rPr>
        <w:t xml:space="preserve"> бедренно</w:t>
      </w:r>
      <w:r>
        <w:rPr>
          <w:rFonts w:ascii="Arial" w:cs="Arial" w:eastAsia="Arial" w:hAnsi="Arial"/>
          <w:sz w:val="27"/>
          <w:szCs w:val="27"/>
          <w:color w:val="auto"/>
        </w:rPr>
        <w:t>-</w:t>
      </w:r>
      <w:r>
        <w:rPr>
          <w:rFonts w:ascii="Arial" w:cs="Arial" w:eastAsia="Arial" w:hAnsi="Arial"/>
          <w:sz w:val="27"/>
          <w:szCs w:val="27"/>
          <w:color w:val="auto"/>
        </w:rPr>
        <w:t>подколенное шунтирование</w:t>
      </w:r>
      <w:r>
        <w:rPr>
          <w:rFonts w:ascii="Arial" w:cs="Arial" w:eastAsia="Arial" w:hAnsi="Arial"/>
          <w:sz w:val="27"/>
          <w:szCs w:val="27"/>
          <w:color w:val="auto"/>
        </w:rPr>
        <w:t>.</w:t>
      </w:r>
    </w:p>
    <w:p>
      <w:pPr>
        <w:spacing w:after="0" w:line="141" w:lineRule="exact"/>
        <w:rPr>
          <w:sz w:val="20"/>
          <w:szCs w:val="20"/>
          <w:color w:val="auto"/>
        </w:rPr>
      </w:pPr>
    </w:p>
    <w:p>
      <w:pPr>
        <w:jc w:val="both"/>
        <w:ind w:left="360" w:right="220"/>
        <w:spacing w:after="0" w:line="246" w:lineRule="auto"/>
        <w:rPr>
          <w:sz w:val="20"/>
          <w:szCs w:val="20"/>
          <w:color w:val="auto"/>
        </w:rPr>
      </w:pPr>
      <w:r>
        <w:rPr>
          <w:rFonts w:ascii="Arial" w:cs="Arial" w:eastAsia="Arial" w:hAnsi="Arial"/>
          <w:sz w:val="54"/>
          <w:szCs w:val="54"/>
          <w:color w:val="auto"/>
          <w:vertAlign w:val="superscript"/>
        </w:rPr>
        <w:t>2</w:t>
      </w:r>
      <w:r>
        <w:rPr>
          <w:rFonts w:ascii="Arial" w:cs="Arial" w:eastAsia="Arial" w:hAnsi="Arial"/>
          <w:sz w:val="27"/>
          <w:szCs w:val="27"/>
          <w:color w:val="auto"/>
        </w:rPr>
        <w:t xml:space="preserve"> Инфаркт миокарда</w:t>
      </w:r>
      <w:r>
        <w:rPr>
          <w:rFonts w:ascii="Arial" w:cs="Arial" w:eastAsia="Arial" w:hAnsi="Arial"/>
          <w:sz w:val="27"/>
          <w:szCs w:val="27"/>
          <w:color w:val="auto"/>
        </w:rPr>
        <w:t>,</w:t>
      </w:r>
      <w:r>
        <w:rPr>
          <w:rFonts w:ascii="Arial" w:cs="Arial" w:eastAsia="Arial" w:hAnsi="Arial"/>
          <w:sz w:val="27"/>
          <w:szCs w:val="27"/>
          <w:color w:val="auto"/>
        </w:rPr>
        <w:t xml:space="preserve"> нестабильная стенокардия</w:t>
      </w:r>
      <w:r>
        <w:rPr>
          <w:rFonts w:ascii="Arial" w:cs="Arial" w:eastAsia="Arial" w:hAnsi="Arial"/>
          <w:sz w:val="27"/>
          <w:szCs w:val="27"/>
          <w:color w:val="auto"/>
        </w:rPr>
        <w:t>,</w:t>
      </w:r>
      <w:r>
        <w:rPr>
          <w:rFonts w:ascii="Arial" w:cs="Arial" w:eastAsia="Arial" w:hAnsi="Arial"/>
          <w:sz w:val="27"/>
          <w:szCs w:val="27"/>
          <w:color w:val="auto"/>
        </w:rPr>
        <w:t xml:space="preserve"> перемежающаяся хромота</w:t>
      </w:r>
      <w:r>
        <w:rPr>
          <w:rFonts w:ascii="Arial" w:cs="Arial" w:eastAsia="Arial" w:hAnsi="Arial"/>
          <w:sz w:val="27"/>
          <w:szCs w:val="27"/>
          <w:color w:val="auto"/>
        </w:rPr>
        <w:t>,</w:t>
      </w:r>
      <w:r>
        <w:rPr>
          <w:rFonts w:ascii="Arial" w:cs="Arial" w:eastAsia="Arial" w:hAnsi="Arial"/>
          <w:sz w:val="27"/>
          <w:szCs w:val="27"/>
          <w:color w:val="auto"/>
        </w:rPr>
        <w:t xml:space="preserve"> транзиторная ишемическая атака</w:t>
      </w:r>
      <w:r>
        <w:rPr>
          <w:rFonts w:ascii="Arial" w:cs="Arial" w:eastAsia="Arial" w:hAnsi="Arial"/>
          <w:sz w:val="27"/>
          <w:szCs w:val="27"/>
          <w:color w:val="auto"/>
        </w:rPr>
        <w:t>/</w:t>
      </w:r>
      <w:r>
        <w:rPr>
          <w:rFonts w:ascii="Arial" w:cs="Arial" w:eastAsia="Arial" w:hAnsi="Arial"/>
          <w:sz w:val="27"/>
          <w:szCs w:val="27"/>
          <w:color w:val="auto"/>
        </w:rPr>
        <w:t xml:space="preserve"> ишемический инсульт</w:t>
      </w:r>
      <w:r>
        <w:rPr>
          <w:rFonts w:ascii="Arial" w:cs="Arial" w:eastAsia="Arial" w:hAnsi="Arial"/>
          <w:sz w:val="27"/>
          <w:szCs w:val="27"/>
          <w:color w:val="auto"/>
        </w:rPr>
        <w:t>.</w:t>
      </w:r>
    </w:p>
    <w:p>
      <w:pPr>
        <w:spacing w:after="0" w:line="168" w:lineRule="exact"/>
        <w:rPr>
          <w:sz w:val="20"/>
          <w:szCs w:val="20"/>
          <w:color w:val="auto"/>
        </w:rPr>
      </w:pPr>
    </w:p>
    <w:p>
      <w:pPr>
        <w:jc w:val="both"/>
        <w:ind w:left="360" w:right="220"/>
        <w:spacing w:after="0" w:line="226" w:lineRule="auto"/>
        <w:rPr>
          <w:sz w:val="20"/>
          <w:szCs w:val="20"/>
          <w:color w:val="auto"/>
        </w:rPr>
      </w:pPr>
      <w:r>
        <w:rPr>
          <w:rFonts w:ascii="Arial" w:cs="Arial" w:eastAsia="Arial" w:hAnsi="Arial"/>
          <w:sz w:val="54"/>
          <w:szCs w:val="54"/>
          <w:color w:val="auto"/>
          <w:vertAlign w:val="superscript"/>
        </w:rPr>
        <w:t>3</w:t>
      </w:r>
      <w:r>
        <w:rPr>
          <w:rFonts w:ascii="Arial" w:cs="Arial" w:eastAsia="Arial" w:hAnsi="Arial"/>
          <w:sz w:val="27"/>
          <w:szCs w:val="27"/>
          <w:color w:val="auto"/>
        </w:rPr>
        <w:t xml:space="preserve"> Назначение статинов в максимально переносимых дозах в сочетании с эзетимибом</w:t>
      </w:r>
      <w:r>
        <w:rPr>
          <w:rFonts w:ascii="Arial" w:cs="Arial" w:eastAsia="Arial" w:hAnsi="Arial"/>
          <w:sz w:val="27"/>
          <w:szCs w:val="27"/>
          <w:color w:val="auto"/>
        </w:rPr>
        <w:t>.</w:t>
      </w:r>
    </w:p>
    <w:p>
      <w:pPr>
        <w:spacing w:after="0" w:line="308"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 xml:space="preserve">АГ </w:t>
      </w:r>
      <w:r>
        <w:rPr>
          <w:rFonts w:ascii="Arial" w:cs="Arial" w:eastAsia="Arial" w:hAnsi="Arial"/>
          <w:sz w:val="27"/>
          <w:szCs w:val="27"/>
          <w:color w:val="auto"/>
        </w:rPr>
        <w:t>—</w:t>
      </w:r>
      <w:r>
        <w:rPr>
          <w:rFonts w:ascii="Arial" w:cs="Arial" w:eastAsia="Arial" w:hAnsi="Arial"/>
          <w:sz w:val="27"/>
          <w:szCs w:val="27"/>
          <w:color w:val="auto"/>
        </w:rPr>
        <w:t xml:space="preserve"> артериальная гипертензия</w:t>
      </w:r>
      <w:r>
        <w:rPr>
          <w:rFonts w:ascii="Arial" w:cs="Arial" w:eastAsia="Arial" w:hAnsi="Arial"/>
          <w:sz w:val="27"/>
          <w:szCs w:val="27"/>
          <w:color w:val="auto"/>
        </w:rPr>
        <w:t>,</w:t>
      </w:r>
      <w:r>
        <w:rPr>
          <w:rFonts w:ascii="Arial" w:cs="Arial" w:eastAsia="Arial" w:hAnsi="Arial"/>
          <w:sz w:val="27"/>
          <w:szCs w:val="27"/>
          <w:color w:val="auto"/>
        </w:rPr>
        <w:t xml:space="preserve"> ХБП </w:t>
      </w:r>
      <w:r>
        <w:rPr>
          <w:rFonts w:ascii="Arial" w:cs="Arial" w:eastAsia="Arial" w:hAnsi="Arial"/>
          <w:sz w:val="27"/>
          <w:szCs w:val="27"/>
          <w:color w:val="auto"/>
        </w:rPr>
        <w:t>—</w:t>
      </w:r>
      <w:r>
        <w:rPr>
          <w:rFonts w:ascii="Arial" w:cs="Arial" w:eastAsia="Arial" w:hAnsi="Arial"/>
          <w:sz w:val="27"/>
          <w:szCs w:val="27"/>
          <w:color w:val="auto"/>
        </w:rPr>
        <w:t xml:space="preserve"> хроническая болезнь почек</w:t>
      </w:r>
      <w:r>
        <w:rPr>
          <w:rFonts w:ascii="Arial" w:cs="Arial" w:eastAsia="Arial" w:hAnsi="Arial"/>
          <w:sz w:val="27"/>
          <w:szCs w:val="27"/>
          <w:color w:val="auto"/>
        </w:rPr>
        <w:t>,</w:t>
      </w:r>
      <w:r>
        <w:rPr>
          <w:rFonts w:ascii="Arial" w:cs="Arial" w:eastAsia="Arial" w:hAnsi="Arial"/>
          <w:sz w:val="27"/>
          <w:szCs w:val="27"/>
          <w:color w:val="auto"/>
        </w:rPr>
        <w:t xml:space="preserve"> СКФ </w:t>
      </w:r>
      <w:r>
        <w:rPr>
          <w:rFonts w:ascii="Arial" w:cs="Arial" w:eastAsia="Arial" w:hAnsi="Arial"/>
          <w:sz w:val="27"/>
          <w:szCs w:val="27"/>
          <w:color w:val="auto"/>
        </w:rPr>
        <w:t>—</w:t>
      </w:r>
      <w:r>
        <w:rPr>
          <w:rFonts w:ascii="Arial" w:cs="Arial" w:eastAsia="Arial" w:hAnsi="Arial"/>
          <w:sz w:val="27"/>
          <w:szCs w:val="27"/>
          <w:color w:val="auto"/>
        </w:rPr>
        <w:t xml:space="preserve"> скорость клубочковой фильтрации</w:t>
      </w:r>
      <w:r>
        <w:rPr>
          <w:rFonts w:ascii="Arial" w:cs="Arial" w:eastAsia="Arial" w:hAnsi="Arial"/>
          <w:sz w:val="27"/>
          <w:szCs w:val="27"/>
          <w:color w:val="auto"/>
        </w:rPr>
        <w:t>,</w:t>
      </w:r>
      <w:r>
        <w:rPr>
          <w:rFonts w:ascii="Arial" w:cs="Arial" w:eastAsia="Arial" w:hAnsi="Arial"/>
          <w:sz w:val="27"/>
          <w:szCs w:val="27"/>
          <w:color w:val="auto"/>
        </w:rPr>
        <w:t xml:space="preserve"> ТИА </w:t>
      </w:r>
      <w:r>
        <w:rPr>
          <w:rFonts w:ascii="Arial" w:cs="Arial" w:eastAsia="Arial" w:hAnsi="Arial"/>
          <w:sz w:val="27"/>
          <w:szCs w:val="27"/>
          <w:color w:val="auto"/>
        </w:rPr>
        <w:t>—</w:t>
      </w:r>
      <w:r>
        <w:rPr>
          <w:rFonts w:ascii="Arial" w:cs="Arial" w:eastAsia="Arial" w:hAnsi="Arial"/>
          <w:sz w:val="27"/>
          <w:szCs w:val="27"/>
          <w:color w:val="auto"/>
        </w:rPr>
        <w:t xml:space="preserve"> транзиторная ишемическая атака</w:t>
      </w:r>
      <w:r>
        <w:rPr>
          <w:rFonts w:ascii="Arial" w:cs="Arial" w:eastAsia="Arial" w:hAnsi="Arial"/>
          <w:sz w:val="27"/>
          <w:szCs w:val="27"/>
          <w:color w:val="auto"/>
        </w:rPr>
        <w:t>, CC</w:t>
      </w:r>
      <w:r>
        <w:rPr>
          <w:rFonts w:ascii="Arial" w:cs="Arial" w:eastAsia="Arial" w:hAnsi="Arial"/>
          <w:sz w:val="27"/>
          <w:szCs w:val="27"/>
          <w:color w:val="auto"/>
        </w:rPr>
        <w:t xml:space="preserve">З </w:t>
      </w:r>
      <w:r>
        <w:rPr>
          <w:rFonts w:ascii="Arial" w:cs="Arial" w:eastAsia="Arial" w:hAnsi="Arial"/>
          <w:sz w:val="27"/>
          <w:szCs w:val="27"/>
          <w:color w:val="auto"/>
        </w:rPr>
        <w:t>—</w:t>
      </w:r>
      <w:r>
        <w:rPr>
          <w:rFonts w:ascii="Arial" w:cs="Arial" w:eastAsia="Arial" w:hAnsi="Arial"/>
          <w:sz w:val="27"/>
          <w:szCs w:val="27"/>
          <w:color w:val="auto"/>
        </w:rPr>
        <w:t xml:space="preserve"> сердечно</w:t>
      </w:r>
      <w:r>
        <w:rPr>
          <w:rFonts w:ascii="Arial" w:cs="Arial" w:eastAsia="Arial" w:hAnsi="Arial"/>
          <w:sz w:val="27"/>
          <w:szCs w:val="27"/>
          <w:color w:val="auto"/>
        </w:rPr>
        <w:t>-</w:t>
      </w:r>
      <w:r>
        <w:rPr>
          <w:rFonts w:ascii="Arial" w:cs="Arial" w:eastAsia="Arial" w:hAnsi="Arial"/>
          <w:sz w:val="27"/>
          <w:szCs w:val="27"/>
          <w:color w:val="auto"/>
        </w:rPr>
        <w:t>сосудистые заболевания</w:t>
      </w:r>
      <w:r>
        <w:rPr>
          <w:rFonts w:ascii="Arial" w:cs="Arial" w:eastAsia="Arial" w:hAnsi="Arial"/>
          <w:sz w:val="27"/>
          <w:szCs w:val="27"/>
          <w:color w:val="auto"/>
        </w:rPr>
        <w:t>,</w:t>
      </w:r>
      <w:r>
        <w:rPr>
          <w:rFonts w:ascii="Arial" w:cs="Arial" w:eastAsia="Arial" w:hAnsi="Arial"/>
          <w:sz w:val="27"/>
          <w:szCs w:val="27"/>
          <w:color w:val="auto"/>
        </w:rPr>
        <w:t xml:space="preserve"> АСБ </w:t>
      </w:r>
      <w:r>
        <w:rPr>
          <w:rFonts w:ascii="Arial" w:cs="Arial" w:eastAsia="Arial" w:hAnsi="Arial"/>
          <w:sz w:val="27"/>
          <w:szCs w:val="27"/>
          <w:color w:val="auto"/>
        </w:rPr>
        <w:t>–</w:t>
      </w:r>
      <w:r>
        <w:rPr>
          <w:rFonts w:ascii="Arial" w:cs="Arial" w:eastAsia="Arial" w:hAnsi="Arial"/>
          <w:sz w:val="27"/>
          <w:szCs w:val="27"/>
          <w:color w:val="auto"/>
        </w:rPr>
        <w:t xml:space="preserve"> атеросклеротическая бляшка</w:t>
      </w:r>
      <w:r>
        <w:rPr>
          <w:rFonts w:ascii="Arial" w:cs="Arial" w:eastAsia="Arial" w:hAnsi="Arial"/>
          <w:sz w:val="27"/>
          <w:szCs w:val="27"/>
          <w:color w:val="auto"/>
        </w:rPr>
        <w:t>,</w:t>
      </w:r>
      <w:r>
        <w:rPr>
          <w:rFonts w:ascii="Arial" w:cs="Arial" w:eastAsia="Arial" w:hAnsi="Arial"/>
          <w:sz w:val="27"/>
          <w:szCs w:val="27"/>
          <w:color w:val="auto"/>
        </w:rPr>
        <w:t xml:space="preserve"> СГХС </w:t>
      </w:r>
      <w:r>
        <w:rPr>
          <w:rFonts w:ascii="Arial" w:cs="Arial" w:eastAsia="Arial" w:hAnsi="Arial"/>
          <w:sz w:val="27"/>
          <w:szCs w:val="27"/>
          <w:color w:val="auto"/>
        </w:rPr>
        <w:t>–</w:t>
      </w:r>
      <w:r>
        <w:rPr>
          <w:rFonts w:ascii="Arial" w:cs="Arial" w:eastAsia="Arial" w:hAnsi="Arial"/>
          <w:sz w:val="27"/>
          <w:szCs w:val="27"/>
          <w:color w:val="auto"/>
        </w:rPr>
        <w:t xml:space="preserve"> семейная гиперхолестеринемия</w:t>
      </w:r>
      <w:r>
        <w:rPr>
          <w:rFonts w:ascii="Arial" w:cs="Arial" w:eastAsia="Arial" w:hAnsi="Arial"/>
          <w:sz w:val="27"/>
          <w:szCs w:val="27"/>
          <w:color w:val="auto"/>
        </w:rPr>
        <w:t>,</w:t>
      </w:r>
      <w:r>
        <w:rPr>
          <w:rFonts w:ascii="Arial" w:cs="Arial" w:eastAsia="Arial" w:hAnsi="Arial"/>
          <w:sz w:val="27"/>
          <w:szCs w:val="27"/>
          <w:color w:val="auto"/>
        </w:rPr>
        <w:t xml:space="preserve"> ФР </w:t>
      </w:r>
      <w:r>
        <w:rPr>
          <w:rFonts w:ascii="Arial" w:cs="Arial" w:eastAsia="Arial" w:hAnsi="Arial"/>
          <w:sz w:val="27"/>
          <w:szCs w:val="27"/>
          <w:color w:val="auto"/>
        </w:rPr>
        <w:t>–</w:t>
      </w:r>
      <w:r>
        <w:rPr>
          <w:rFonts w:ascii="Arial" w:cs="Arial" w:eastAsia="Arial" w:hAnsi="Arial"/>
          <w:sz w:val="27"/>
          <w:szCs w:val="27"/>
          <w:color w:val="auto"/>
        </w:rPr>
        <w:t xml:space="preserve"> фактор риска</w:t>
      </w:r>
      <w:r>
        <w:rPr>
          <w:rFonts w:ascii="Arial" w:cs="Arial" w:eastAsia="Arial" w:hAnsi="Arial"/>
          <w:sz w:val="27"/>
          <w:szCs w:val="27"/>
          <w:color w:val="auto"/>
        </w:rPr>
        <w:t>.</w:t>
      </w:r>
    </w:p>
    <w:p>
      <w:pPr>
        <w:spacing w:after="0" w:line="222"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13/</w:t>
      </w:r>
      <w:r>
        <w:rPr>
          <w:rFonts w:ascii="Arial" w:cs="Arial" w:eastAsia="Arial" w:hAnsi="Arial"/>
          <w:sz w:val="27"/>
          <w:szCs w:val="27"/>
          <w:b w:val="1"/>
          <w:bCs w:val="1"/>
          <w:color w:val="auto"/>
        </w:rPr>
        <w:t>Г</w:t>
      </w:r>
      <w:r>
        <w:rPr>
          <w:rFonts w:ascii="Arial" w:cs="Arial" w:eastAsia="Arial" w:hAnsi="Arial"/>
          <w:sz w:val="27"/>
          <w:szCs w:val="27"/>
          <w:b w:val="1"/>
          <w:bCs w:val="1"/>
          <w:color w:val="auto"/>
        </w:rPr>
        <w:t>2.</w:t>
      </w:r>
      <w:r>
        <w:rPr>
          <w:rFonts w:ascii="Arial" w:cs="Arial" w:eastAsia="Arial" w:hAnsi="Arial"/>
          <w:sz w:val="27"/>
          <w:szCs w:val="27"/>
          <w:b w:val="1"/>
          <w:bCs w:val="1"/>
          <w:color w:val="auto"/>
        </w:rPr>
        <w:t xml:space="preserve"> Модифицирующие факторы</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способствующие увеличению сердечно</w:t>
      </w:r>
      <w:r>
        <w:rPr>
          <w:rFonts w:ascii="Arial" w:cs="Arial" w:eastAsia="Arial" w:hAnsi="Arial"/>
          <w:sz w:val="27"/>
          <w:szCs w:val="27"/>
          <w:b w:val="1"/>
          <w:bCs w:val="1"/>
          <w:color w:val="auto"/>
        </w:rPr>
        <w:t>-</w:t>
      </w:r>
      <w:r>
        <w:rPr>
          <w:rFonts w:ascii="Arial" w:cs="Arial" w:eastAsia="Arial" w:hAnsi="Arial"/>
          <w:sz w:val="27"/>
          <w:szCs w:val="27"/>
          <w:b w:val="1"/>
          <w:bCs w:val="1"/>
          <w:color w:val="auto"/>
        </w:rPr>
        <w:t>сосудистого риска</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3878580"/>
            <wp:wrapNone/>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399">
                      <a:extLst>
                        <a:ext uri="{28A0092B-C50C-407E-A947-70E740481C1C}"/>
                      </a:extLst>
                    </a:blip>
                    <a:srcRect/>
                    <a:stretch>
                      <a:fillRect/>
                    </a:stretch>
                  </pic:blipFill>
                  <pic:spPr bwMode="auto">
                    <a:xfrm>
                      <a:off x="0" y="0"/>
                      <a:ext cx="5365115" cy="3878580"/>
                    </a:xfrm>
                    <a:prstGeom prst="rect">
                      <a:avLst/>
                    </a:prstGeom>
                    <a:noFill/>
                  </pic:spPr>
                </pic:pic>
              </a:graphicData>
            </a:graphic>
          </wp:anchor>
        </w:drawing>
      </w:r>
    </w:p>
    <w:p>
      <w:pPr>
        <w:spacing w:after="0" w:line="282"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Социальная депривация </w:t>
      </w:r>
      <w:r>
        <w:rPr>
          <w:rFonts w:ascii="Verdana" w:cs="Verdana" w:eastAsia="Verdana" w:hAnsi="Verdana"/>
          <w:sz w:val="17"/>
          <w:szCs w:val="17"/>
          <w:color w:val="auto"/>
        </w:rPr>
        <w:t>—</w:t>
      </w:r>
      <w:r>
        <w:rPr>
          <w:rFonts w:ascii="Verdana" w:cs="Verdana" w:eastAsia="Verdana" w:hAnsi="Verdana"/>
          <w:sz w:val="17"/>
          <w:szCs w:val="17"/>
          <w:color w:val="auto"/>
        </w:rPr>
        <w:t xml:space="preserve"> причина многих ССЗ</w:t>
      </w:r>
    </w:p>
    <w:p>
      <w:pPr>
        <w:spacing w:after="0" w:line="274"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 xml:space="preserve">Ожирение </w:t>
      </w:r>
      <w:r>
        <w:rPr>
          <w:rFonts w:ascii="Verdana" w:cs="Verdana" w:eastAsia="Verdana" w:hAnsi="Verdana"/>
          <w:sz w:val="17"/>
          <w:szCs w:val="17"/>
          <w:color w:val="auto"/>
        </w:rPr>
        <w:t>(</w:t>
      </w:r>
      <w:r>
        <w:rPr>
          <w:rFonts w:ascii="Verdana" w:cs="Verdana" w:eastAsia="Verdana" w:hAnsi="Verdana"/>
          <w:sz w:val="17"/>
          <w:szCs w:val="17"/>
          <w:color w:val="auto"/>
        </w:rPr>
        <w:t>диагностированное по ИМТ</w:t>
      </w:r>
      <w:r>
        <w:rPr>
          <w:rFonts w:ascii="Verdana" w:cs="Verdana" w:eastAsia="Verdana" w:hAnsi="Verdana"/>
          <w:sz w:val="17"/>
          <w:szCs w:val="17"/>
          <w:color w:val="auto"/>
        </w:rPr>
        <w:t>)</w:t>
      </w:r>
      <w:r>
        <w:rPr>
          <w:rFonts w:ascii="Verdana" w:cs="Verdana" w:eastAsia="Verdana" w:hAnsi="Verdana"/>
          <w:sz w:val="17"/>
          <w:szCs w:val="17"/>
          <w:color w:val="auto"/>
        </w:rPr>
        <w:t xml:space="preserve"> и центральное ожирение </w:t>
      </w:r>
      <w:r>
        <w:rPr>
          <w:rFonts w:ascii="Verdana" w:cs="Verdana" w:eastAsia="Verdana" w:hAnsi="Verdana"/>
          <w:sz w:val="17"/>
          <w:szCs w:val="17"/>
          <w:color w:val="auto"/>
        </w:rPr>
        <w:t>(</w:t>
      </w:r>
      <w:r>
        <w:rPr>
          <w:rFonts w:ascii="Verdana" w:cs="Verdana" w:eastAsia="Verdana" w:hAnsi="Verdana"/>
          <w:sz w:val="17"/>
          <w:szCs w:val="17"/>
          <w:color w:val="auto"/>
        </w:rPr>
        <w:t>диагностированное по окружности талии</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Отсутствие физической активности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Психологический стресс</w:t>
      </w:r>
      <w:r>
        <w:rPr>
          <w:rFonts w:ascii="Verdana" w:cs="Verdana" w:eastAsia="Verdana" w:hAnsi="Verdana"/>
          <w:sz w:val="17"/>
          <w:szCs w:val="17"/>
          <w:color w:val="auto"/>
        </w:rPr>
        <w:t>,</w:t>
      </w:r>
      <w:r>
        <w:rPr>
          <w:rFonts w:ascii="Verdana" w:cs="Verdana" w:eastAsia="Verdana" w:hAnsi="Verdana"/>
          <w:sz w:val="17"/>
          <w:szCs w:val="17"/>
          <w:color w:val="auto"/>
        </w:rPr>
        <w:t xml:space="preserve"> в том числе жизненное истощение</w:t>
      </w:r>
    </w:p>
    <w:p>
      <w:pPr>
        <w:spacing w:after="0" w:line="274"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 xml:space="preserve">Семейный анамнез раннего развития ССЗ </w:t>
      </w:r>
      <w:r>
        <w:rPr>
          <w:rFonts w:ascii="Verdana" w:cs="Verdana" w:eastAsia="Verdana" w:hAnsi="Verdana"/>
          <w:sz w:val="17"/>
          <w:szCs w:val="17"/>
          <w:color w:val="auto"/>
        </w:rPr>
        <w:t>(</w:t>
      </w:r>
      <w:r>
        <w:rPr>
          <w:rFonts w:ascii="Verdana" w:cs="Verdana" w:eastAsia="Verdana" w:hAnsi="Verdana"/>
          <w:sz w:val="17"/>
          <w:szCs w:val="17"/>
          <w:color w:val="auto"/>
        </w:rPr>
        <w:t xml:space="preserve">возникших </w:t>
      </w:r>
      <w:r>
        <w:rPr>
          <w:rFonts w:ascii="Verdana" w:cs="Verdana" w:eastAsia="Verdana" w:hAnsi="Verdana"/>
          <w:sz w:val="17"/>
          <w:szCs w:val="17"/>
          <w:color w:val="auto"/>
        </w:rPr>
        <w:t>&lt;55</w:t>
      </w:r>
      <w:r>
        <w:rPr>
          <w:rFonts w:ascii="Verdana" w:cs="Verdana" w:eastAsia="Verdana" w:hAnsi="Verdana"/>
          <w:sz w:val="17"/>
          <w:szCs w:val="17"/>
          <w:color w:val="auto"/>
        </w:rPr>
        <w:t xml:space="preserve"> лет у мужчин и до </w:t>
      </w:r>
      <w:r>
        <w:rPr>
          <w:rFonts w:ascii="Verdana" w:cs="Verdana" w:eastAsia="Verdana" w:hAnsi="Verdana"/>
          <w:sz w:val="17"/>
          <w:szCs w:val="17"/>
          <w:color w:val="auto"/>
        </w:rPr>
        <w:t>&lt;60</w:t>
      </w:r>
      <w:r>
        <w:rPr>
          <w:rFonts w:ascii="Verdana" w:cs="Verdana" w:eastAsia="Verdana" w:hAnsi="Verdana"/>
          <w:sz w:val="17"/>
          <w:szCs w:val="17"/>
          <w:color w:val="auto"/>
        </w:rPr>
        <w:t xml:space="preserve"> лет у женщин</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Аутоиммунные и другие воспалительные заболевания</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Большие психические расстройства</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Лечение инфекций при наличии ВИЧ</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Фибрилляция предсердий</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Гипертрофия левого желудочка</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ХБП</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Синдром обструктивного апноэ сна</w:t>
      </w:r>
    </w:p>
    <w:p>
      <w:pPr>
        <w:sectPr>
          <w:pgSz w:w="11900" w:h="16840" w:orient="portrait"/>
          <w:cols w:equalWidth="0" w:num="1">
            <w:col w:w="9020"/>
          </w:cols>
          <w:pgMar w:left="1440" w:top="143" w:right="1440" w:bottom="0" w:gutter="0" w:footer="0" w:header="0"/>
        </w:sectPr>
      </w:pPr>
    </w:p>
    <w:bookmarkStart w:id="146" w:name="page147"/>
    <w:bookmarkEnd w:id="146"/>
    <w:p>
      <w:pPr>
        <w:jc w:val="both"/>
        <w:ind w:left="360" w:right="220"/>
        <w:spacing w:after="0" w:line="334" w:lineRule="auto"/>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3.1.</w:t>
      </w:r>
      <w:r>
        <w:rPr>
          <w:rFonts w:ascii="Arial" w:cs="Arial" w:eastAsia="Arial" w:hAnsi="Arial"/>
          <w:sz w:val="27"/>
          <w:szCs w:val="27"/>
          <w:color w:val="auto"/>
        </w:rPr>
        <w:t xml:space="preserve"> Классификация стадий и стратификация риска при АГ</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47" w:lineRule="exact"/>
        <w:rPr>
          <w:sz w:val="20"/>
          <w:szCs w:val="20"/>
          <w:color w:val="auto"/>
        </w:rPr>
      </w:pPr>
    </w:p>
    <w:p>
      <w:pPr>
        <w:jc w:val="both"/>
        <w:ind w:left="360" w:right="220"/>
        <w:spacing w:after="0" w:line="313"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w:t>
      </w:r>
      <w:r>
        <w:rPr>
          <w:rFonts w:ascii="Arial" w:cs="Arial" w:eastAsia="Arial" w:hAnsi="Arial"/>
          <w:sz w:val="27"/>
          <w:szCs w:val="27"/>
          <w:b w:val="1"/>
          <w:bCs w:val="1"/>
          <w:color w:val="auto"/>
        </w:rPr>
        <w:t>Г</w:t>
      </w:r>
      <w:r>
        <w:rPr>
          <w:rFonts w:ascii="Arial" w:cs="Arial" w:eastAsia="Arial" w:hAnsi="Arial"/>
          <w:sz w:val="27"/>
          <w:szCs w:val="27"/>
          <w:b w:val="1"/>
          <w:bCs w:val="1"/>
          <w:color w:val="auto"/>
        </w:rPr>
        <w:t>3.</w:t>
      </w:r>
      <w:r>
        <w:rPr>
          <w:rFonts w:ascii="Arial" w:cs="Arial" w:eastAsia="Arial" w:hAnsi="Arial"/>
          <w:sz w:val="27"/>
          <w:szCs w:val="27"/>
          <w:b w:val="1"/>
          <w:bCs w:val="1"/>
          <w:color w:val="auto"/>
        </w:rPr>
        <w:t>Классификация стадий АГ в зависимости от уровней артериального давления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наличия факторов СС риска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поражения органов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обусловленного гипертензией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и наличия сопутствующих заболеваний</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121920</wp:posOffset>
            </wp:positionV>
            <wp:extent cx="5365115" cy="6089015"/>
            <wp:wrapNone/>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400">
                      <a:extLst>
                        <a:ext uri="{28A0092B-C50C-407E-A947-70E740481C1C}"/>
                      </a:extLst>
                    </a:blip>
                    <a:srcRect/>
                    <a:stretch>
                      <a:fillRect/>
                    </a:stretch>
                  </pic:blipFill>
                  <pic:spPr bwMode="auto">
                    <a:xfrm>
                      <a:off x="0" y="0"/>
                      <a:ext cx="5365115" cy="6089015"/>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50"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2/</w:t>
      </w:r>
      <w:r>
        <w:rPr>
          <w:rFonts w:ascii="Arial" w:cs="Arial" w:eastAsia="Arial" w:hAnsi="Arial"/>
          <w:sz w:val="27"/>
          <w:szCs w:val="27"/>
          <w:b w:val="1"/>
          <w:bCs w:val="1"/>
          <w:color w:val="auto"/>
        </w:rPr>
        <w:t>Г</w:t>
      </w:r>
      <w:r>
        <w:rPr>
          <w:rFonts w:ascii="Arial" w:cs="Arial" w:eastAsia="Arial" w:hAnsi="Arial"/>
          <w:sz w:val="27"/>
          <w:szCs w:val="27"/>
          <w:b w:val="1"/>
          <w:bCs w:val="1"/>
          <w:color w:val="auto"/>
        </w:rPr>
        <w:t>3.</w:t>
      </w:r>
      <w:r>
        <w:rPr>
          <w:rFonts w:ascii="Arial" w:cs="Arial" w:eastAsia="Arial" w:hAnsi="Arial"/>
          <w:sz w:val="27"/>
          <w:szCs w:val="27"/>
          <w:b w:val="1"/>
          <w:bCs w:val="1"/>
          <w:color w:val="auto"/>
        </w:rPr>
        <w:t xml:space="preserve"> Факторы</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определяющие сердечно</w:t>
      </w:r>
      <w:r>
        <w:rPr>
          <w:rFonts w:ascii="Arial" w:cs="Arial" w:eastAsia="Arial" w:hAnsi="Arial"/>
          <w:sz w:val="27"/>
          <w:szCs w:val="27"/>
          <w:b w:val="1"/>
          <w:bCs w:val="1"/>
          <w:color w:val="auto"/>
        </w:rPr>
        <w:t>-</w:t>
      </w:r>
      <w:r>
        <w:rPr>
          <w:rFonts w:ascii="Arial" w:cs="Arial" w:eastAsia="Arial" w:hAnsi="Arial"/>
          <w:sz w:val="27"/>
          <w:szCs w:val="27"/>
          <w:b w:val="1"/>
          <w:bCs w:val="1"/>
          <w:color w:val="auto"/>
        </w:rPr>
        <w:t>сосудистый риск и стадию заболевания у пациентов с АГ</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100965</wp:posOffset>
            </wp:positionV>
            <wp:extent cx="5365115" cy="762000"/>
            <wp:wrapNone/>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401">
                      <a:extLst>
                        <a:ext uri="{28A0092B-C50C-407E-A947-70E740481C1C}"/>
                      </a:extLst>
                    </a:blip>
                    <a:srcRect/>
                    <a:stretch>
                      <a:fillRect/>
                    </a:stretch>
                  </pic:blipFill>
                  <pic:spPr bwMode="auto">
                    <a:xfrm>
                      <a:off x="0" y="0"/>
                      <a:ext cx="5365115" cy="762000"/>
                    </a:xfrm>
                    <a:prstGeom prst="rect">
                      <a:avLst/>
                    </a:prstGeom>
                    <a:noFill/>
                  </pic:spPr>
                </pic:pic>
              </a:graphicData>
            </a:graphic>
          </wp:anchor>
        </w:drawing>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Демографические характеристики и лабораторные параметры</w:t>
      </w:r>
    </w:p>
    <w:p>
      <w:pPr>
        <w:spacing w:after="0" w:line="383"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Мужской пол</w:t>
      </w:r>
    </w:p>
    <w:p>
      <w:pPr>
        <w:sectPr>
          <w:pgSz w:w="11900" w:h="16840" w:orient="portrait"/>
          <w:cols w:equalWidth="0" w:num="1">
            <w:col w:w="9020"/>
          </w:cols>
          <w:pgMar w:left="1440" w:top="679" w:right="1440" w:bottom="229" w:gutter="0" w:footer="0" w:header="0"/>
        </w:sectPr>
      </w:pPr>
    </w:p>
    <w:bookmarkStart w:id="147" w:name="page148"/>
    <w:bookmarkEnd w:id="147"/>
    <w:p>
      <w:pPr>
        <w:ind w:left="840"/>
        <w:spacing w:after="0"/>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9525</wp:posOffset>
            </wp:positionV>
            <wp:extent cx="5365115" cy="9557385"/>
            <wp:wrapNone/>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402">
                      <a:extLst>
                        <a:ext uri="{28A0092B-C50C-407E-A947-70E740481C1C}"/>
                      </a:extLst>
                    </a:blip>
                    <a:srcRect/>
                    <a:stretch>
                      <a:fillRect/>
                    </a:stretch>
                  </pic:blipFill>
                  <pic:spPr bwMode="auto">
                    <a:xfrm>
                      <a:off x="0" y="0"/>
                      <a:ext cx="5365115" cy="9557385"/>
                    </a:xfrm>
                    <a:prstGeom prst="rect">
                      <a:avLst/>
                    </a:prstGeom>
                    <a:noFill/>
                  </pic:spPr>
                </pic:pic>
              </a:graphicData>
            </a:graphic>
          </wp:anchor>
        </w:drawing>
        <w:t xml:space="preserve">Возраст </w:t>
      </w:r>
      <w:r>
        <w:rPr>
          <w:rFonts w:ascii="Verdana" w:cs="Verdana" w:eastAsia="Verdana" w:hAnsi="Verdana"/>
          <w:sz w:val="33"/>
          <w:szCs w:val="33"/>
          <w:color w:val="auto"/>
          <w:vertAlign w:val="superscript"/>
        </w:rPr>
        <w:t>а</w:t>
      </w:r>
      <w:r>
        <w:rPr>
          <w:rFonts w:ascii="Verdana" w:cs="Verdana" w:eastAsia="Verdana" w:hAnsi="Verdana"/>
          <w:sz w:val="17"/>
          <w:szCs w:val="17"/>
          <w:color w:val="auto"/>
        </w:rPr>
        <w:t xml:space="preserve"> </w:t>
      </w:r>
      <w:r>
        <w:rPr>
          <w:rFonts w:ascii="Verdana" w:cs="Verdana" w:eastAsia="Verdana" w:hAnsi="Verdana"/>
          <w:sz w:val="17"/>
          <w:szCs w:val="17"/>
          <w:color w:val="auto"/>
        </w:rPr>
        <w:t>≥55</w:t>
      </w:r>
      <w:r>
        <w:rPr>
          <w:rFonts w:ascii="Verdana" w:cs="Verdana" w:eastAsia="Verdana" w:hAnsi="Verdana"/>
          <w:sz w:val="17"/>
          <w:szCs w:val="17"/>
          <w:color w:val="auto"/>
        </w:rPr>
        <w:t xml:space="preserve"> лет у мужчин</w:t>
      </w:r>
      <w:r>
        <w:rPr>
          <w:rFonts w:ascii="Verdana" w:cs="Verdana" w:eastAsia="Verdana" w:hAnsi="Verdana"/>
          <w:sz w:val="17"/>
          <w:szCs w:val="17"/>
          <w:color w:val="auto"/>
        </w:rPr>
        <w:t>, ≥65</w:t>
      </w:r>
      <w:r>
        <w:rPr>
          <w:rFonts w:ascii="Verdana" w:cs="Verdana" w:eastAsia="Verdana" w:hAnsi="Verdana"/>
          <w:sz w:val="17"/>
          <w:szCs w:val="17"/>
          <w:color w:val="auto"/>
        </w:rPr>
        <w:t xml:space="preserve"> лет у женщин</w:t>
      </w:r>
    </w:p>
    <w:p>
      <w:pPr>
        <w:spacing w:after="0" w:line="30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Курение </w:t>
      </w:r>
      <w:r>
        <w:rPr>
          <w:rFonts w:ascii="Verdana" w:cs="Verdana" w:eastAsia="Verdana" w:hAnsi="Verdana"/>
          <w:sz w:val="17"/>
          <w:szCs w:val="17"/>
          <w:color w:val="auto"/>
        </w:rPr>
        <w:t>(</w:t>
      </w:r>
      <w:r>
        <w:rPr>
          <w:rFonts w:ascii="Verdana" w:cs="Verdana" w:eastAsia="Verdana" w:hAnsi="Verdana"/>
          <w:sz w:val="17"/>
          <w:szCs w:val="17"/>
          <w:color w:val="auto"/>
        </w:rPr>
        <w:t>в настоящем или прошлом</w:t>
      </w:r>
      <w:r>
        <w:rPr>
          <w:rFonts w:ascii="Verdana" w:cs="Verdana" w:eastAsia="Verdana" w:hAnsi="Verdana"/>
          <w:sz w:val="17"/>
          <w:szCs w:val="17"/>
          <w:color w:val="auto"/>
        </w:rPr>
        <w:t>)</w:t>
      </w:r>
      <w:r>
        <w:rPr>
          <w:rFonts w:ascii="Verdana" w:cs="Verdana" w:eastAsia="Verdana" w:hAnsi="Verdana"/>
          <w:sz w:val="17"/>
          <w:szCs w:val="17"/>
          <w:color w:val="auto"/>
        </w:rPr>
        <w:t xml:space="preserve"> </w:t>
      </w:r>
      <w:r>
        <w:rPr>
          <w:rFonts w:ascii="Verdana" w:cs="Verdana" w:eastAsia="Verdana" w:hAnsi="Verdana"/>
          <w:sz w:val="33"/>
          <w:szCs w:val="33"/>
          <w:color w:val="auto"/>
          <w:vertAlign w:val="superscript"/>
        </w:rPr>
        <w:t>а</w:t>
      </w:r>
    </w:p>
    <w:p>
      <w:pPr>
        <w:spacing w:after="0" w:line="304" w:lineRule="exact"/>
        <w:rPr>
          <w:sz w:val="20"/>
          <w:szCs w:val="20"/>
          <w:color w:val="auto"/>
        </w:rPr>
      </w:pPr>
    </w:p>
    <w:p>
      <w:pPr>
        <w:jc w:val="both"/>
        <w:ind w:left="840" w:right="380"/>
        <w:spacing w:after="0" w:line="343" w:lineRule="auto"/>
        <w:rPr>
          <w:sz w:val="20"/>
          <w:szCs w:val="20"/>
          <w:color w:val="auto"/>
        </w:rPr>
      </w:pPr>
      <w:r>
        <w:rPr>
          <w:rFonts w:ascii="Verdana" w:cs="Verdana" w:eastAsia="Verdana" w:hAnsi="Verdana"/>
          <w:sz w:val="17"/>
          <w:szCs w:val="17"/>
          <w:color w:val="auto"/>
        </w:rPr>
        <w:t xml:space="preserve">Дислипидемия </w:t>
      </w:r>
      <w:r>
        <w:rPr>
          <w:rFonts w:ascii="Verdana" w:cs="Verdana" w:eastAsia="Verdana" w:hAnsi="Verdana"/>
          <w:sz w:val="33"/>
          <w:szCs w:val="33"/>
          <w:color w:val="auto"/>
          <w:vertAlign w:val="superscript"/>
        </w:rPr>
        <w:t>а</w:t>
      </w:r>
      <w:r>
        <w:rPr>
          <w:rFonts w:ascii="Verdana" w:cs="Verdana" w:eastAsia="Verdana" w:hAnsi="Verdana"/>
          <w:sz w:val="17"/>
          <w:szCs w:val="17"/>
          <w:color w:val="auto"/>
        </w:rPr>
        <w:t xml:space="preserve"> </w:t>
      </w:r>
      <w:r>
        <w:rPr>
          <w:rFonts w:ascii="Verdana" w:cs="Verdana" w:eastAsia="Verdana" w:hAnsi="Verdana"/>
          <w:sz w:val="17"/>
          <w:szCs w:val="17"/>
          <w:color w:val="auto"/>
        </w:rPr>
        <w:t>(</w:t>
      </w:r>
      <w:r>
        <w:rPr>
          <w:rFonts w:ascii="Verdana" w:cs="Verdana" w:eastAsia="Verdana" w:hAnsi="Verdana"/>
          <w:sz w:val="17"/>
          <w:szCs w:val="17"/>
          <w:color w:val="auto"/>
        </w:rPr>
        <w:t>принимается во внимание каждый из представленных показателей липидного обмена</w:t>
      </w:r>
      <w:r>
        <w:rPr>
          <w:rFonts w:ascii="Verdana" w:cs="Verdana" w:eastAsia="Verdana" w:hAnsi="Verdana"/>
          <w:sz w:val="17"/>
          <w:szCs w:val="17"/>
          <w:color w:val="auto"/>
        </w:rPr>
        <w:t>)</w:t>
      </w:r>
    </w:p>
    <w:p>
      <w:pPr>
        <w:spacing w:after="0" w:line="2" w:lineRule="exact"/>
        <w:rPr>
          <w:sz w:val="20"/>
          <w:szCs w:val="20"/>
          <w:color w:val="auto"/>
        </w:rPr>
      </w:pPr>
    </w:p>
    <w:p>
      <w:pPr>
        <w:ind w:left="1160"/>
        <w:spacing w:after="0"/>
        <w:rPr>
          <w:sz w:val="20"/>
          <w:szCs w:val="20"/>
          <w:color w:val="auto"/>
        </w:rPr>
      </w:pPr>
      <w:r>
        <w:rPr>
          <w:rFonts w:ascii="Verdana" w:cs="Verdana" w:eastAsia="Verdana" w:hAnsi="Verdana"/>
          <w:sz w:val="17"/>
          <w:szCs w:val="17"/>
          <w:color w:val="auto"/>
        </w:rPr>
        <w:t xml:space="preserve">ОХС </w:t>
      </w:r>
      <w:r>
        <w:rPr>
          <w:rFonts w:ascii="Verdana" w:cs="Verdana" w:eastAsia="Verdana" w:hAnsi="Verdana"/>
          <w:sz w:val="17"/>
          <w:szCs w:val="17"/>
          <w:color w:val="auto"/>
        </w:rPr>
        <w:t>&gt;4,9</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и</w:t>
      </w:r>
      <w:r>
        <w:rPr>
          <w:rFonts w:ascii="Verdana" w:cs="Verdana" w:eastAsia="Verdana" w:hAnsi="Verdana"/>
          <w:sz w:val="17"/>
          <w:szCs w:val="17"/>
          <w:color w:val="auto"/>
        </w:rPr>
        <w:t>/</w:t>
      </w:r>
      <w:r>
        <w:rPr>
          <w:rFonts w:ascii="Verdana" w:cs="Verdana" w:eastAsia="Verdana" w:hAnsi="Verdana"/>
          <w:sz w:val="17"/>
          <w:szCs w:val="17"/>
          <w:color w:val="auto"/>
        </w:rPr>
        <w:t>или</w:t>
      </w:r>
    </w:p>
    <w:p>
      <w:pPr>
        <w:spacing w:after="0" w:line="184" w:lineRule="exact"/>
        <w:rPr>
          <w:sz w:val="20"/>
          <w:szCs w:val="20"/>
          <w:color w:val="auto"/>
        </w:rPr>
      </w:pPr>
    </w:p>
    <w:p>
      <w:pPr>
        <w:ind w:left="1160"/>
        <w:spacing w:after="0"/>
        <w:rPr>
          <w:sz w:val="20"/>
          <w:szCs w:val="20"/>
          <w:color w:val="auto"/>
        </w:rPr>
      </w:pPr>
      <w:r>
        <w:rPr>
          <w:rFonts w:ascii="Verdana" w:cs="Verdana" w:eastAsia="Verdana" w:hAnsi="Verdana"/>
          <w:sz w:val="17"/>
          <w:szCs w:val="17"/>
          <w:color w:val="auto"/>
        </w:rPr>
        <w:t xml:space="preserve">ХС ЛНП </w:t>
      </w:r>
      <w:r>
        <w:rPr>
          <w:rFonts w:ascii="Verdana" w:cs="Verdana" w:eastAsia="Verdana" w:hAnsi="Verdana"/>
          <w:sz w:val="17"/>
          <w:szCs w:val="17"/>
          <w:color w:val="auto"/>
        </w:rPr>
        <w:t>&gt;3,0</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и</w:t>
      </w:r>
      <w:r>
        <w:rPr>
          <w:rFonts w:ascii="Verdana" w:cs="Verdana" w:eastAsia="Verdana" w:hAnsi="Verdana"/>
          <w:sz w:val="17"/>
          <w:szCs w:val="17"/>
          <w:color w:val="auto"/>
        </w:rPr>
        <w:t>/</w:t>
      </w:r>
      <w:r>
        <w:rPr>
          <w:rFonts w:ascii="Verdana" w:cs="Verdana" w:eastAsia="Verdana" w:hAnsi="Verdana"/>
          <w:sz w:val="17"/>
          <w:szCs w:val="17"/>
          <w:color w:val="auto"/>
        </w:rPr>
        <w:t>или</w:t>
      </w:r>
    </w:p>
    <w:p>
      <w:pPr>
        <w:spacing w:after="0" w:line="184" w:lineRule="exact"/>
        <w:rPr>
          <w:sz w:val="20"/>
          <w:szCs w:val="20"/>
          <w:color w:val="auto"/>
        </w:rPr>
      </w:pPr>
    </w:p>
    <w:p>
      <w:pPr>
        <w:ind w:left="1160"/>
        <w:spacing w:after="0"/>
        <w:rPr>
          <w:sz w:val="20"/>
          <w:szCs w:val="20"/>
          <w:color w:val="auto"/>
        </w:rPr>
      </w:pPr>
      <w:r>
        <w:rPr>
          <w:rFonts w:ascii="Verdana" w:cs="Verdana" w:eastAsia="Verdana" w:hAnsi="Verdana"/>
          <w:sz w:val="15"/>
          <w:szCs w:val="15"/>
          <w:color w:val="auto"/>
        </w:rPr>
        <w:t xml:space="preserve">ХС ЛВП у мужчин </w:t>
      </w:r>
      <w:r>
        <w:rPr>
          <w:rFonts w:ascii="Verdana" w:cs="Verdana" w:eastAsia="Verdana" w:hAnsi="Verdana"/>
          <w:sz w:val="15"/>
          <w:szCs w:val="15"/>
          <w:color w:val="auto"/>
        </w:rPr>
        <w:t>— &lt;1,0</w:t>
      </w:r>
      <w:r>
        <w:rPr>
          <w:rFonts w:ascii="Verdana" w:cs="Verdana" w:eastAsia="Verdana" w:hAnsi="Verdana"/>
          <w:sz w:val="15"/>
          <w:szCs w:val="15"/>
          <w:color w:val="auto"/>
        </w:rPr>
        <w:t xml:space="preserve"> ммоль</w:t>
      </w:r>
      <w:r>
        <w:rPr>
          <w:rFonts w:ascii="Verdana" w:cs="Verdana" w:eastAsia="Verdana" w:hAnsi="Verdana"/>
          <w:sz w:val="15"/>
          <w:szCs w:val="15"/>
          <w:color w:val="auto"/>
        </w:rPr>
        <w:t>/</w:t>
      </w:r>
      <w:r>
        <w:rPr>
          <w:rFonts w:ascii="Verdana" w:cs="Verdana" w:eastAsia="Verdana" w:hAnsi="Verdana"/>
          <w:sz w:val="15"/>
          <w:szCs w:val="15"/>
          <w:color w:val="auto"/>
        </w:rPr>
        <w:t xml:space="preserve">л </w:t>
      </w:r>
      <w:r>
        <w:rPr>
          <w:rFonts w:ascii="Verdana" w:cs="Verdana" w:eastAsia="Verdana" w:hAnsi="Verdana"/>
          <w:sz w:val="15"/>
          <w:szCs w:val="15"/>
          <w:color w:val="auto"/>
        </w:rPr>
        <w:t>(40</w:t>
      </w:r>
      <w:r>
        <w:rPr>
          <w:rFonts w:ascii="Verdana" w:cs="Verdana" w:eastAsia="Verdana" w:hAnsi="Verdana"/>
          <w:sz w:val="15"/>
          <w:szCs w:val="15"/>
          <w:color w:val="auto"/>
        </w:rPr>
        <w:t xml:space="preserve"> мг</w:t>
      </w:r>
      <w:r>
        <w:rPr>
          <w:rFonts w:ascii="Verdana" w:cs="Verdana" w:eastAsia="Verdana" w:hAnsi="Verdana"/>
          <w:sz w:val="15"/>
          <w:szCs w:val="15"/>
          <w:color w:val="auto"/>
        </w:rPr>
        <w:t>/</w:t>
      </w:r>
      <w:r>
        <w:rPr>
          <w:rFonts w:ascii="Verdana" w:cs="Verdana" w:eastAsia="Verdana" w:hAnsi="Verdana"/>
          <w:sz w:val="15"/>
          <w:szCs w:val="15"/>
          <w:color w:val="auto"/>
        </w:rPr>
        <w:t>дл</w:t>
      </w:r>
      <w:r>
        <w:rPr>
          <w:rFonts w:ascii="Verdana" w:cs="Verdana" w:eastAsia="Verdana" w:hAnsi="Verdana"/>
          <w:sz w:val="15"/>
          <w:szCs w:val="15"/>
          <w:color w:val="auto"/>
        </w:rPr>
        <w:t>),</w:t>
      </w:r>
      <w:r>
        <w:rPr>
          <w:rFonts w:ascii="Verdana" w:cs="Verdana" w:eastAsia="Verdana" w:hAnsi="Verdana"/>
          <w:sz w:val="15"/>
          <w:szCs w:val="15"/>
          <w:color w:val="auto"/>
        </w:rPr>
        <w:t xml:space="preserve"> у женщин </w:t>
      </w:r>
      <w:r>
        <w:rPr>
          <w:rFonts w:ascii="Verdana" w:cs="Verdana" w:eastAsia="Verdana" w:hAnsi="Verdana"/>
          <w:sz w:val="15"/>
          <w:szCs w:val="15"/>
          <w:color w:val="auto"/>
        </w:rPr>
        <w:t>— &lt;1,2</w:t>
      </w:r>
      <w:r>
        <w:rPr>
          <w:rFonts w:ascii="Verdana" w:cs="Verdana" w:eastAsia="Verdana" w:hAnsi="Verdana"/>
          <w:sz w:val="15"/>
          <w:szCs w:val="15"/>
          <w:color w:val="auto"/>
        </w:rPr>
        <w:t xml:space="preserve"> ммоль</w:t>
      </w:r>
      <w:r>
        <w:rPr>
          <w:rFonts w:ascii="Verdana" w:cs="Verdana" w:eastAsia="Verdana" w:hAnsi="Verdana"/>
          <w:sz w:val="15"/>
          <w:szCs w:val="15"/>
          <w:color w:val="auto"/>
        </w:rPr>
        <w:t>/</w:t>
      </w:r>
      <w:r>
        <w:rPr>
          <w:rFonts w:ascii="Verdana" w:cs="Verdana" w:eastAsia="Verdana" w:hAnsi="Verdana"/>
          <w:sz w:val="15"/>
          <w:szCs w:val="15"/>
          <w:color w:val="auto"/>
        </w:rPr>
        <w:t xml:space="preserve">л </w:t>
      </w:r>
      <w:r>
        <w:rPr>
          <w:rFonts w:ascii="Verdana" w:cs="Verdana" w:eastAsia="Verdana" w:hAnsi="Verdana"/>
          <w:sz w:val="15"/>
          <w:szCs w:val="15"/>
          <w:color w:val="auto"/>
        </w:rPr>
        <w:t>(46</w:t>
      </w:r>
      <w:r>
        <w:rPr>
          <w:rFonts w:ascii="Verdana" w:cs="Verdana" w:eastAsia="Verdana" w:hAnsi="Verdana"/>
          <w:sz w:val="15"/>
          <w:szCs w:val="15"/>
          <w:color w:val="auto"/>
        </w:rPr>
        <w:t xml:space="preserve"> мг</w:t>
      </w:r>
      <w:r>
        <w:rPr>
          <w:rFonts w:ascii="Verdana" w:cs="Verdana" w:eastAsia="Verdana" w:hAnsi="Verdana"/>
          <w:sz w:val="15"/>
          <w:szCs w:val="15"/>
          <w:color w:val="auto"/>
        </w:rPr>
        <w:t>/</w:t>
      </w:r>
      <w:r>
        <w:rPr>
          <w:rFonts w:ascii="Verdana" w:cs="Verdana" w:eastAsia="Verdana" w:hAnsi="Verdana"/>
          <w:sz w:val="15"/>
          <w:szCs w:val="15"/>
          <w:color w:val="auto"/>
        </w:rPr>
        <w:t>дл</w:t>
      </w:r>
      <w:r>
        <w:rPr>
          <w:rFonts w:ascii="Verdana" w:cs="Verdana" w:eastAsia="Verdana" w:hAnsi="Verdana"/>
          <w:sz w:val="15"/>
          <w:szCs w:val="15"/>
          <w:color w:val="auto"/>
        </w:rPr>
        <w:t>)</w:t>
      </w:r>
    </w:p>
    <w:p>
      <w:pPr>
        <w:spacing w:after="0" w:line="208" w:lineRule="exact"/>
        <w:rPr>
          <w:sz w:val="20"/>
          <w:szCs w:val="20"/>
          <w:color w:val="auto"/>
        </w:rPr>
      </w:pPr>
    </w:p>
    <w:p>
      <w:pPr>
        <w:ind w:left="1160"/>
        <w:spacing w:after="0"/>
        <w:rPr>
          <w:sz w:val="20"/>
          <w:szCs w:val="20"/>
          <w:color w:val="auto"/>
        </w:rPr>
      </w:pPr>
      <w:r>
        <w:rPr>
          <w:rFonts w:ascii="Verdana" w:cs="Verdana" w:eastAsia="Verdana" w:hAnsi="Verdana"/>
          <w:sz w:val="17"/>
          <w:szCs w:val="17"/>
          <w:color w:val="auto"/>
        </w:rPr>
        <w:t xml:space="preserve">Триглицериды </w:t>
      </w:r>
      <w:r>
        <w:rPr>
          <w:rFonts w:ascii="Verdana" w:cs="Verdana" w:eastAsia="Verdana" w:hAnsi="Verdana"/>
          <w:sz w:val="17"/>
          <w:szCs w:val="17"/>
          <w:color w:val="auto"/>
        </w:rPr>
        <w:t>&gt;1,7</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Гипергликемия натощак </w:t>
      </w:r>
      <w:r>
        <w:rPr>
          <w:rFonts w:ascii="Verdana" w:cs="Verdana" w:eastAsia="Verdana" w:hAnsi="Verdana"/>
          <w:sz w:val="17"/>
          <w:szCs w:val="17"/>
          <w:color w:val="auto"/>
        </w:rPr>
        <w:t>(</w:t>
      </w:r>
      <w:r>
        <w:rPr>
          <w:rFonts w:ascii="Verdana" w:cs="Verdana" w:eastAsia="Verdana" w:hAnsi="Verdana"/>
          <w:sz w:val="17"/>
          <w:szCs w:val="17"/>
          <w:color w:val="auto"/>
        </w:rPr>
        <w:t>глюкоза плазмы</w:t>
      </w:r>
      <w:r>
        <w:rPr>
          <w:rFonts w:ascii="Verdana" w:cs="Verdana" w:eastAsia="Verdana" w:hAnsi="Verdana"/>
          <w:sz w:val="17"/>
          <w:szCs w:val="17"/>
          <w:color w:val="auto"/>
        </w:rPr>
        <w:t>)</w:t>
      </w:r>
    </w:p>
    <w:p>
      <w:pPr>
        <w:spacing w:after="0" w:line="184" w:lineRule="exact"/>
        <w:rPr>
          <w:sz w:val="20"/>
          <w:szCs w:val="20"/>
          <w:color w:val="auto"/>
        </w:rPr>
      </w:pPr>
    </w:p>
    <w:p>
      <w:pPr>
        <w:ind w:left="1160" w:right="380"/>
        <w:spacing w:after="0" w:line="468" w:lineRule="auto"/>
        <w:rPr>
          <w:sz w:val="20"/>
          <w:szCs w:val="20"/>
          <w:color w:val="auto"/>
        </w:rPr>
      </w:pPr>
      <w:r>
        <w:rPr>
          <w:rFonts w:ascii="Verdana" w:cs="Verdana" w:eastAsia="Verdana" w:hAnsi="Verdana"/>
          <w:sz w:val="17"/>
          <w:szCs w:val="17"/>
          <w:color w:val="auto"/>
        </w:rPr>
        <w:t xml:space="preserve">Глюкоза плазмы натощак </w:t>
      </w:r>
      <w:r>
        <w:rPr>
          <w:rFonts w:ascii="Verdana" w:cs="Verdana" w:eastAsia="Verdana" w:hAnsi="Verdana"/>
          <w:sz w:val="17"/>
          <w:szCs w:val="17"/>
          <w:color w:val="auto"/>
        </w:rPr>
        <w:t>5,6–6,9</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 xml:space="preserve">л </w:t>
      </w:r>
      <w:r>
        <w:rPr>
          <w:rFonts w:ascii="Verdana" w:cs="Verdana" w:eastAsia="Verdana" w:hAnsi="Verdana"/>
          <w:sz w:val="17"/>
          <w:szCs w:val="17"/>
          <w:color w:val="auto"/>
        </w:rPr>
        <w:t>(102–25</w:t>
      </w:r>
      <w:r>
        <w:rPr>
          <w:rFonts w:ascii="Verdana" w:cs="Verdana" w:eastAsia="Verdana" w:hAnsi="Verdana"/>
          <w:sz w:val="17"/>
          <w:szCs w:val="17"/>
          <w:color w:val="auto"/>
        </w:rPr>
        <w:t xml:space="preserve"> мг</w:t>
      </w:r>
      <w:r>
        <w:rPr>
          <w:rFonts w:ascii="Verdana" w:cs="Verdana" w:eastAsia="Verdana" w:hAnsi="Verdana"/>
          <w:sz w:val="17"/>
          <w:szCs w:val="17"/>
          <w:color w:val="auto"/>
        </w:rPr>
        <w:t>/</w:t>
      </w:r>
      <w:r>
        <w:rPr>
          <w:rFonts w:ascii="Verdana" w:cs="Verdana" w:eastAsia="Verdana" w:hAnsi="Verdana"/>
          <w:sz w:val="17"/>
          <w:szCs w:val="17"/>
          <w:color w:val="auto"/>
        </w:rPr>
        <w:t>дл</w:t>
      </w:r>
      <w:r>
        <w:rPr>
          <w:rFonts w:ascii="Verdana" w:cs="Verdana" w:eastAsia="Verdana" w:hAnsi="Verdana"/>
          <w:sz w:val="17"/>
          <w:szCs w:val="17"/>
          <w:color w:val="auto"/>
        </w:rPr>
        <w:t>)</w:t>
      </w:r>
      <w:r>
        <w:rPr>
          <w:rFonts w:ascii="Verdana" w:cs="Verdana" w:eastAsia="Verdana" w:hAnsi="Verdana"/>
          <w:sz w:val="17"/>
          <w:szCs w:val="17"/>
          <w:color w:val="auto"/>
        </w:rPr>
        <w:t xml:space="preserve"> или нарушение толерантности к глюкозе</w:t>
      </w:r>
    </w:p>
    <w:p>
      <w:pPr>
        <w:spacing w:after="0" w:line="200"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Избыточная масса тела </w:t>
      </w:r>
      <w:r>
        <w:rPr>
          <w:rFonts w:ascii="Verdana" w:cs="Verdana" w:eastAsia="Verdana" w:hAnsi="Verdana"/>
          <w:sz w:val="17"/>
          <w:szCs w:val="17"/>
          <w:color w:val="auto"/>
        </w:rPr>
        <w:t>(</w:t>
      </w:r>
      <w:r>
        <w:rPr>
          <w:rFonts w:ascii="Verdana" w:cs="Verdana" w:eastAsia="Verdana" w:hAnsi="Verdana"/>
          <w:sz w:val="17"/>
          <w:szCs w:val="17"/>
          <w:color w:val="auto"/>
        </w:rPr>
        <w:t xml:space="preserve">ИМТ </w:t>
      </w:r>
      <w:r>
        <w:rPr>
          <w:rFonts w:ascii="Verdana" w:cs="Verdana" w:eastAsia="Verdana" w:hAnsi="Verdana"/>
          <w:sz w:val="17"/>
          <w:szCs w:val="17"/>
          <w:color w:val="auto"/>
        </w:rPr>
        <w:t>25-29,9</w:t>
      </w:r>
      <w:r>
        <w:rPr>
          <w:rFonts w:ascii="Verdana" w:cs="Verdana" w:eastAsia="Verdana" w:hAnsi="Verdana"/>
          <w:sz w:val="17"/>
          <w:szCs w:val="17"/>
          <w:color w:val="auto"/>
        </w:rPr>
        <w:t xml:space="preserve"> кг</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33"/>
          <w:szCs w:val="33"/>
          <w:color w:val="auto"/>
          <w:vertAlign w:val="superscript"/>
        </w:rPr>
        <w:t>2</w:t>
      </w:r>
      <w:r>
        <w:rPr>
          <w:rFonts w:ascii="Verdana" w:cs="Verdana" w:eastAsia="Verdana" w:hAnsi="Verdana"/>
          <w:sz w:val="17"/>
          <w:szCs w:val="17"/>
          <w:color w:val="auto"/>
        </w:rPr>
        <w:t>)</w:t>
      </w:r>
      <w:r>
        <w:rPr>
          <w:rFonts w:ascii="Verdana" w:cs="Verdana" w:eastAsia="Verdana" w:hAnsi="Verdana"/>
          <w:sz w:val="17"/>
          <w:szCs w:val="17"/>
          <w:color w:val="auto"/>
        </w:rPr>
        <w:t xml:space="preserve"> или ожирение </w:t>
      </w:r>
      <w:r>
        <w:rPr>
          <w:rFonts w:ascii="Verdana" w:cs="Verdana" w:eastAsia="Verdana" w:hAnsi="Verdana"/>
          <w:sz w:val="17"/>
          <w:szCs w:val="17"/>
          <w:color w:val="auto"/>
        </w:rPr>
        <w:t>(</w:t>
      </w:r>
      <w:r>
        <w:rPr>
          <w:rFonts w:ascii="Verdana" w:cs="Verdana" w:eastAsia="Verdana" w:hAnsi="Verdana"/>
          <w:sz w:val="17"/>
          <w:szCs w:val="17"/>
          <w:color w:val="auto"/>
        </w:rPr>
        <w:t xml:space="preserve">ИМТ </w:t>
      </w:r>
      <w:r>
        <w:rPr>
          <w:rFonts w:ascii="Verdana" w:cs="Verdana" w:eastAsia="Verdana" w:hAnsi="Verdana"/>
          <w:sz w:val="17"/>
          <w:szCs w:val="17"/>
          <w:color w:val="auto"/>
        </w:rPr>
        <w:t>≥ 30</w:t>
      </w:r>
      <w:r>
        <w:rPr>
          <w:rFonts w:ascii="Verdana" w:cs="Verdana" w:eastAsia="Verdana" w:hAnsi="Verdana"/>
          <w:sz w:val="17"/>
          <w:szCs w:val="17"/>
          <w:color w:val="auto"/>
        </w:rPr>
        <w:t xml:space="preserve"> кг</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33"/>
          <w:szCs w:val="33"/>
          <w:color w:val="auto"/>
          <w:vertAlign w:val="superscript"/>
        </w:rPr>
        <w:t>2</w:t>
      </w:r>
      <w:r>
        <w:rPr>
          <w:rFonts w:ascii="Verdana" w:cs="Verdana" w:eastAsia="Verdana" w:hAnsi="Verdana"/>
          <w:sz w:val="17"/>
          <w:szCs w:val="17"/>
          <w:color w:val="auto"/>
        </w:rPr>
        <w:t>)</w:t>
      </w:r>
    </w:p>
    <w:p>
      <w:pPr>
        <w:spacing w:after="0" w:line="394" w:lineRule="exact"/>
        <w:rPr>
          <w:sz w:val="20"/>
          <w:szCs w:val="20"/>
          <w:color w:val="auto"/>
        </w:rPr>
      </w:pPr>
    </w:p>
    <w:p>
      <w:pPr>
        <w:jc w:val="both"/>
        <w:ind w:left="840" w:right="380"/>
        <w:spacing w:after="0" w:line="468" w:lineRule="auto"/>
        <w:rPr>
          <w:sz w:val="20"/>
          <w:szCs w:val="20"/>
          <w:color w:val="auto"/>
        </w:rPr>
      </w:pPr>
      <w:r>
        <w:rPr>
          <w:rFonts w:ascii="Verdana" w:cs="Verdana" w:eastAsia="Verdana" w:hAnsi="Verdana"/>
          <w:sz w:val="17"/>
          <w:szCs w:val="17"/>
          <w:color w:val="auto"/>
        </w:rPr>
        <w:t xml:space="preserve">Семейный анамнез развития ССЗ в молодом возрасте </w:t>
      </w:r>
      <w:r>
        <w:rPr>
          <w:rFonts w:ascii="Verdana" w:cs="Verdana" w:eastAsia="Verdana" w:hAnsi="Verdana"/>
          <w:sz w:val="17"/>
          <w:szCs w:val="17"/>
          <w:color w:val="auto"/>
        </w:rPr>
        <w:t>(&lt; 55</w:t>
      </w:r>
      <w:r>
        <w:rPr>
          <w:rFonts w:ascii="Verdana" w:cs="Verdana" w:eastAsia="Verdana" w:hAnsi="Verdana"/>
          <w:sz w:val="17"/>
          <w:szCs w:val="17"/>
          <w:color w:val="auto"/>
        </w:rPr>
        <w:t xml:space="preserve"> лет для мужчин и </w:t>
      </w:r>
      <w:r>
        <w:rPr>
          <w:rFonts w:ascii="Verdana" w:cs="Verdana" w:eastAsia="Verdana" w:hAnsi="Verdana"/>
          <w:sz w:val="17"/>
          <w:szCs w:val="17"/>
          <w:color w:val="auto"/>
        </w:rPr>
        <w:t>&lt;65</w:t>
      </w:r>
      <w:r>
        <w:rPr>
          <w:rFonts w:ascii="Verdana" w:cs="Verdana" w:eastAsia="Verdana" w:hAnsi="Verdana"/>
          <w:sz w:val="17"/>
          <w:szCs w:val="17"/>
          <w:color w:val="auto"/>
        </w:rPr>
        <w:t xml:space="preserve"> лет для женщин</w:t>
      </w:r>
      <w:r>
        <w:rPr>
          <w:rFonts w:ascii="Verdana" w:cs="Verdana" w:eastAsia="Verdana" w:hAnsi="Verdana"/>
          <w:sz w:val="17"/>
          <w:szCs w:val="17"/>
          <w:color w:val="auto"/>
        </w:rPr>
        <w:t>)</w:t>
      </w:r>
    </w:p>
    <w:p>
      <w:pPr>
        <w:spacing w:after="0" w:line="290"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Мочевая кислота </w:t>
      </w:r>
      <w:r>
        <w:rPr>
          <w:rFonts w:ascii="Verdana" w:cs="Verdana" w:eastAsia="Verdana" w:hAnsi="Verdana"/>
          <w:sz w:val="17"/>
          <w:szCs w:val="17"/>
          <w:color w:val="auto"/>
        </w:rPr>
        <w:t>(≥360</w:t>
      </w:r>
      <w:r>
        <w:rPr>
          <w:rFonts w:ascii="Verdana" w:cs="Verdana" w:eastAsia="Verdana" w:hAnsi="Verdana"/>
          <w:sz w:val="17"/>
          <w:szCs w:val="17"/>
          <w:color w:val="auto"/>
        </w:rPr>
        <w:t xml:space="preserve"> мкмоль</w:t>
      </w:r>
      <w:r>
        <w:rPr>
          <w:rFonts w:ascii="Verdana" w:cs="Verdana" w:eastAsia="Verdana" w:hAnsi="Verdana"/>
          <w:sz w:val="17"/>
          <w:szCs w:val="17"/>
          <w:color w:val="auto"/>
        </w:rPr>
        <w:t>/</w:t>
      </w:r>
      <w:r>
        <w:rPr>
          <w:rFonts w:ascii="Verdana" w:cs="Verdana" w:eastAsia="Verdana" w:hAnsi="Verdana"/>
          <w:sz w:val="17"/>
          <w:szCs w:val="17"/>
          <w:color w:val="auto"/>
        </w:rPr>
        <w:t>л у женщин</w:t>
      </w:r>
      <w:r>
        <w:rPr>
          <w:rFonts w:ascii="Verdana" w:cs="Verdana" w:eastAsia="Verdana" w:hAnsi="Verdana"/>
          <w:sz w:val="17"/>
          <w:szCs w:val="17"/>
          <w:color w:val="auto"/>
        </w:rPr>
        <w:t>, ≥420</w:t>
      </w:r>
      <w:r>
        <w:rPr>
          <w:rFonts w:ascii="Verdana" w:cs="Verdana" w:eastAsia="Verdana" w:hAnsi="Verdana"/>
          <w:sz w:val="17"/>
          <w:szCs w:val="17"/>
          <w:color w:val="auto"/>
        </w:rPr>
        <w:t xml:space="preserve"> мкмоль</w:t>
      </w:r>
      <w:r>
        <w:rPr>
          <w:rFonts w:ascii="Verdana" w:cs="Verdana" w:eastAsia="Verdana" w:hAnsi="Verdana"/>
          <w:sz w:val="17"/>
          <w:szCs w:val="17"/>
          <w:color w:val="auto"/>
        </w:rPr>
        <w:t>/</w:t>
      </w:r>
      <w:r>
        <w:rPr>
          <w:rFonts w:ascii="Verdana" w:cs="Verdana" w:eastAsia="Verdana" w:hAnsi="Verdana"/>
          <w:sz w:val="17"/>
          <w:szCs w:val="17"/>
          <w:color w:val="auto"/>
        </w:rPr>
        <w:t>л у мужчин</w:t>
      </w:r>
      <w:r>
        <w:rPr>
          <w:rFonts w:ascii="Verdana" w:cs="Verdana" w:eastAsia="Verdana" w:hAnsi="Verdana"/>
          <w:sz w:val="17"/>
          <w:szCs w:val="17"/>
          <w:color w:val="auto"/>
        </w:rPr>
        <w:t>)</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Развитие АГ в молодом возрасте у родителей или в семье</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Ранняя менопауза</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Малоподвижный образ жизни</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Психологические и социально</w:t>
      </w:r>
      <w:r>
        <w:rPr>
          <w:rFonts w:ascii="Verdana" w:cs="Verdana" w:eastAsia="Verdana" w:hAnsi="Verdana"/>
          <w:sz w:val="17"/>
          <w:szCs w:val="17"/>
          <w:color w:val="auto"/>
        </w:rPr>
        <w:t>-</w:t>
      </w:r>
      <w:r>
        <w:rPr>
          <w:rFonts w:ascii="Verdana" w:cs="Verdana" w:eastAsia="Verdana" w:hAnsi="Verdana"/>
          <w:sz w:val="17"/>
          <w:szCs w:val="17"/>
          <w:color w:val="auto"/>
        </w:rPr>
        <w:t>экономические факторы</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Частота сердечных сокращений </w:t>
      </w:r>
      <w:r>
        <w:rPr>
          <w:rFonts w:ascii="Verdana" w:cs="Verdana" w:eastAsia="Verdana" w:hAnsi="Verdana"/>
          <w:sz w:val="17"/>
          <w:szCs w:val="17"/>
          <w:color w:val="auto"/>
        </w:rPr>
        <w:t>(</w:t>
      </w:r>
      <w:r>
        <w:rPr>
          <w:rFonts w:ascii="Verdana" w:cs="Verdana" w:eastAsia="Verdana" w:hAnsi="Verdana"/>
          <w:sz w:val="17"/>
          <w:szCs w:val="17"/>
          <w:color w:val="auto"/>
        </w:rPr>
        <w:t xml:space="preserve">значение в покое </w:t>
      </w:r>
      <w:r>
        <w:rPr>
          <w:rFonts w:ascii="Verdana" w:cs="Verdana" w:eastAsia="Verdana" w:hAnsi="Verdana"/>
          <w:sz w:val="17"/>
          <w:szCs w:val="17"/>
          <w:color w:val="auto"/>
        </w:rPr>
        <w:t>&gt;80</w:t>
      </w:r>
      <w:r>
        <w:rPr>
          <w:rFonts w:ascii="Verdana" w:cs="Verdana" w:eastAsia="Verdana" w:hAnsi="Verdana"/>
          <w:sz w:val="17"/>
          <w:szCs w:val="17"/>
          <w:color w:val="auto"/>
        </w:rPr>
        <w:t xml:space="preserve"> ударов в минуту</w:t>
      </w:r>
      <w:r>
        <w:rPr>
          <w:rFonts w:ascii="Verdana" w:cs="Verdana" w:eastAsia="Verdana" w:hAnsi="Verdana"/>
          <w:sz w:val="17"/>
          <w:szCs w:val="17"/>
          <w:color w:val="auto"/>
        </w:rPr>
        <w:t>)</w:t>
      </w:r>
    </w:p>
    <w:p>
      <w:pPr>
        <w:spacing w:after="0" w:line="39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Бессимптомное поражение органов</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мишеней</w:t>
      </w:r>
    </w:p>
    <w:p>
      <w:pPr>
        <w:spacing w:after="0" w:line="383"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Артериальная жесткость</w:t>
      </w:r>
      <w:r>
        <w:rPr>
          <w:rFonts w:ascii="Verdana" w:cs="Verdana" w:eastAsia="Verdana" w:hAnsi="Verdana"/>
          <w:sz w:val="17"/>
          <w:szCs w:val="17"/>
          <w:color w:val="auto"/>
        </w:rPr>
        <w:t>:</w:t>
      </w:r>
    </w:p>
    <w:p>
      <w:pPr>
        <w:spacing w:after="0" w:line="184" w:lineRule="exact"/>
        <w:rPr>
          <w:sz w:val="20"/>
          <w:szCs w:val="20"/>
          <w:color w:val="auto"/>
        </w:rPr>
      </w:pPr>
    </w:p>
    <w:p>
      <w:pPr>
        <w:ind w:left="1160"/>
        <w:spacing w:after="0"/>
        <w:rPr>
          <w:sz w:val="20"/>
          <w:szCs w:val="20"/>
          <w:color w:val="auto"/>
        </w:rPr>
      </w:pPr>
      <w:r>
        <w:rPr>
          <w:rFonts w:ascii="Verdana" w:cs="Verdana" w:eastAsia="Verdana" w:hAnsi="Verdana"/>
          <w:sz w:val="17"/>
          <w:szCs w:val="17"/>
          <w:color w:val="auto"/>
        </w:rPr>
        <w:t xml:space="preserve">Пульсовое давление </w:t>
      </w:r>
      <w:r>
        <w:rPr>
          <w:rFonts w:ascii="Verdana" w:cs="Verdana" w:eastAsia="Verdana" w:hAnsi="Verdana"/>
          <w:sz w:val="17"/>
          <w:szCs w:val="17"/>
          <w:color w:val="auto"/>
        </w:rPr>
        <w:t>(</w:t>
      </w:r>
      <w:r>
        <w:rPr>
          <w:rFonts w:ascii="Verdana" w:cs="Verdana" w:eastAsia="Verdana" w:hAnsi="Verdana"/>
          <w:sz w:val="17"/>
          <w:szCs w:val="17"/>
          <w:color w:val="auto"/>
        </w:rPr>
        <w:t>у пожилых пациентов</w:t>
      </w:r>
      <w:r>
        <w:rPr>
          <w:rFonts w:ascii="Verdana" w:cs="Verdana" w:eastAsia="Verdana" w:hAnsi="Verdana"/>
          <w:sz w:val="17"/>
          <w:szCs w:val="17"/>
          <w:color w:val="auto"/>
        </w:rPr>
        <w:t>) ≥60</w:t>
      </w:r>
      <w:r>
        <w:rPr>
          <w:rFonts w:ascii="Verdana" w:cs="Verdana" w:eastAsia="Verdana" w:hAnsi="Verdana"/>
          <w:sz w:val="17"/>
          <w:szCs w:val="17"/>
          <w:color w:val="auto"/>
        </w:rPr>
        <w:t xml:space="preserve"> 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p>
      <w:pPr>
        <w:spacing w:after="0" w:line="184" w:lineRule="exact"/>
        <w:rPr>
          <w:sz w:val="20"/>
          <w:szCs w:val="20"/>
          <w:color w:val="auto"/>
        </w:rPr>
      </w:pPr>
    </w:p>
    <w:p>
      <w:pPr>
        <w:ind w:left="1160"/>
        <w:spacing w:after="0"/>
        <w:rPr>
          <w:sz w:val="20"/>
          <w:szCs w:val="20"/>
          <w:color w:val="auto"/>
        </w:rPr>
      </w:pPr>
      <w:r>
        <w:rPr>
          <w:rFonts w:ascii="Verdana" w:cs="Verdana" w:eastAsia="Verdana" w:hAnsi="Verdana"/>
          <w:sz w:val="17"/>
          <w:szCs w:val="17"/>
          <w:color w:val="auto"/>
        </w:rPr>
        <w:t xml:space="preserve">Каротидная скорость пульсовой волны </w:t>
      </w:r>
      <w:r>
        <w:rPr>
          <w:rFonts w:ascii="Verdana" w:cs="Verdana" w:eastAsia="Verdana" w:hAnsi="Verdana"/>
          <w:sz w:val="17"/>
          <w:szCs w:val="17"/>
          <w:color w:val="auto"/>
        </w:rPr>
        <w:t>&gt;10</w:t>
      </w:r>
      <w:r>
        <w:rPr>
          <w:rFonts w:ascii="Verdana" w:cs="Verdana" w:eastAsia="Verdana" w:hAnsi="Verdana"/>
          <w:sz w:val="17"/>
          <w:szCs w:val="17"/>
          <w:color w:val="auto"/>
        </w:rPr>
        <w:t xml:space="preserve"> м</w:t>
      </w:r>
      <w:r>
        <w:rPr>
          <w:rFonts w:ascii="Verdana" w:cs="Verdana" w:eastAsia="Verdana" w:hAnsi="Verdana"/>
          <w:sz w:val="17"/>
          <w:szCs w:val="17"/>
          <w:color w:val="auto"/>
        </w:rPr>
        <w:t>/</w:t>
      </w:r>
      <w:r>
        <w:rPr>
          <w:rFonts w:ascii="Verdana" w:cs="Verdana" w:eastAsia="Verdana" w:hAnsi="Verdana"/>
          <w:sz w:val="17"/>
          <w:szCs w:val="17"/>
          <w:color w:val="auto"/>
        </w:rPr>
        <w:t>с</w:t>
      </w:r>
    </w:p>
    <w:p>
      <w:pPr>
        <w:spacing w:after="0" w:line="200" w:lineRule="exact"/>
        <w:rPr>
          <w:sz w:val="20"/>
          <w:szCs w:val="20"/>
          <w:color w:val="auto"/>
        </w:rPr>
      </w:pPr>
    </w:p>
    <w:p>
      <w:pPr>
        <w:spacing w:after="0" w:line="299" w:lineRule="exact"/>
        <w:rPr>
          <w:sz w:val="20"/>
          <w:szCs w:val="20"/>
          <w:color w:val="auto"/>
        </w:rPr>
      </w:pPr>
    </w:p>
    <w:p>
      <w:pPr>
        <w:jc w:val="both"/>
        <w:ind w:left="840" w:right="380"/>
        <w:spacing w:after="0" w:line="460" w:lineRule="auto"/>
        <w:rPr>
          <w:sz w:val="20"/>
          <w:szCs w:val="20"/>
          <w:color w:val="auto"/>
        </w:rPr>
      </w:pPr>
      <w:r>
        <w:rPr>
          <w:rFonts w:ascii="Verdana" w:cs="Verdana" w:eastAsia="Verdana" w:hAnsi="Verdana"/>
          <w:sz w:val="17"/>
          <w:szCs w:val="17"/>
          <w:color w:val="auto"/>
        </w:rPr>
        <w:t xml:space="preserve">ЭКГ признаки ГЛЖ </w:t>
      </w:r>
      <w:r>
        <w:rPr>
          <w:rFonts w:ascii="Verdana" w:cs="Verdana" w:eastAsia="Verdana" w:hAnsi="Verdana"/>
          <w:sz w:val="17"/>
          <w:szCs w:val="17"/>
          <w:color w:val="auto"/>
        </w:rPr>
        <w:t>(</w:t>
      </w:r>
      <w:r>
        <w:rPr>
          <w:rFonts w:ascii="Verdana" w:cs="Verdana" w:eastAsia="Verdana" w:hAnsi="Verdana"/>
          <w:sz w:val="17"/>
          <w:szCs w:val="17"/>
          <w:color w:val="auto"/>
        </w:rPr>
        <w:t>индекс Соколова</w:t>
      </w:r>
      <w:r>
        <w:rPr>
          <w:rFonts w:ascii="Verdana" w:cs="Verdana" w:eastAsia="Verdana" w:hAnsi="Verdana"/>
          <w:sz w:val="17"/>
          <w:szCs w:val="17"/>
          <w:color w:val="auto"/>
        </w:rPr>
        <w:t>–</w:t>
      </w:r>
      <w:r>
        <w:rPr>
          <w:rFonts w:ascii="Verdana" w:cs="Verdana" w:eastAsia="Verdana" w:hAnsi="Verdana"/>
          <w:sz w:val="17"/>
          <w:szCs w:val="17"/>
          <w:color w:val="auto"/>
        </w:rPr>
        <w:t xml:space="preserve">Лайона </w:t>
      </w:r>
      <w:r>
        <w:rPr>
          <w:rFonts w:ascii="Verdana" w:cs="Verdana" w:eastAsia="Verdana" w:hAnsi="Verdana"/>
          <w:sz w:val="17"/>
          <w:szCs w:val="17"/>
          <w:color w:val="auto"/>
        </w:rPr>
        <w:t>&gt; 35</w:t>
      </w:r>
      <w:r>
        <w:rPr>
          <w:rFonts w:ascii="Verdana" w:cs="Verdana" w:eastAsia="Verdana" w:hAnsi="Verdana"/>
          <w:sz w:val="17"/>
          <w:szCs w:val="17"/>
          <w:color w:val="auto"/>
        </w:rPr>
        <w:t xml:space="preserve"> мм</w:t>
      </w:r>
      <w:r>
        <w:rPr>
          <w:rFonts w:ascii="Verdana" w:cs="Verdana" w:eastAsia="Verdana" w:hAnsi="Verdana"/>
          <w:sz w:val="17"/>
          <w:szCs w:val="17"/>
          <w:color w:val="auto"/>
        </w:rPr>
        <w:t>,</w:t>
      </w:r>
      <w:r>
        <w:rPr>
          <w:rFonts w:ascii="Verdana" w:cs="Verdana" w:eastAsia="Verdana" w:hAnsi="Verdana"/>
          <w:sz w:val="17"/>
          <w:szCs w:val="17"/>
          <w:color w:val="auto"/>
        </w:rPr>
        <w:t xml:space="preserve"> или амплитуда зубца </w:t>
      </w:r>
      <w:r>
        <w:rPr>
          <w:rFonts w:ascii="Verdana" w:cs="Verdana" w:eastAsia="Verdana" w:hAnsi="Verdana"/>
          <w:sz w:val="17"/>
          <w:szCs w:val="17"/>
          <w:color w:val="auto"/>
        </w:rPr>
        <w:t>R</w:t>
      </w:r>
      <w:r>
        <w:rPr>
          <w:rFonts w:ascii="Verdana" w:cs="Verdana" w:eastAsia="Verdana" w:hAnsi="Verdana"/>
          <w:sz w:val="17"/>
          <w:szCs w:val="17"/>
          <w:color w:val="auto"/>
        </w:rPr>
        <w:t xml:space="preserve"> в отведении </w:t>
      </w:r>
      <w:r>
        <w:rPr>
          <w:rFonts w:ascii="Verdana" w:cs="Verdana" w:eastAsia="Verdana" w:hAnsi="Verdana"/>
          <w:sz w:val="17"/>
          <w:szCs w:val="17"/>
          <w:color w:val="auto"/>
        </w:rPr>
        <w:t>aVL ≥11</w:t>
      </w:r>
      <w:r>
        <w:rPr>
          <w:rFonts w:ascii="Verdana" w:cs="Verdana" w:eastAsia="Verdana" w:hAnsi="Verdana"/>
          <w:sz w:val="17"/>
          <w:szCs w:val="17"/>
          <w:color w:val="auto"/>
        </w:rPr>
        <w:t xml:space="preserve"> мм</w:t>
      </w:r>
      <w:r>
        <w:rPr>
          <w:rFonts w:ascii="Verdana" w:cs="Verdana" w:eastAsia="Verdana" w:hAnsi="Verdana"/>
          <w:sz w:val="17"/>
          <w:szCs w:val="17"/>
          <w:color w:val="auto"/>
        </w:rPr>
        <w:t>,</w:t>
      </w:r>
      <w:r>
        <w:rPr>
          <w:rFonts w:ascii="Verdana" w:cs="Verdana" w:eastAsia="Verdana" w:hAnsi="Verdana"/>
          <w:sz w:val="17"/>
          <w:szCs w:val="17"/>
          <w:color w:val="auto"/>
        </w:rPr>
        <w:t xml:space="preserve"> корнельское произведение </w:t>
      </w:r>
      <w:r>
        <w:rPr>
          <w:rFonts w:ascii="Verdana" w:cs="Verdana" w:eastAsia="Verdana" w:hAnsi="Verdana"/>
          <w:sz w:val="17"/>
          <w:szCs w:val="17"/>
          <w:color w:val="auto"/>
        </w:rPr>
        <w:t>&gt;2440</w:t>
      </w:r>
      <w:r>
        <w:rPr>
          <w:rFonts w:ascii="Verdana" w:cs="Verdana" w:eastAsia="Verdana" w:hAnsi="Verdana"/>
          <w:sz w:val="17"/>
          <w:szCs w:val="17"/>
          <w:color w:val="auto"/>
        </w:rPr>
        <w:t xml:space="preserve"> мм </w:t>
      </w:r>
      <w:r>
        <w:rPr>
          <w:rFonts w:ascii="Verdana" w:cs="Verdana" w:eastAsia="Verdana" w:hAnsi="Verdana"/>
          <w:sz w:val="17"/>
          <w:szCs w:val="17"/>
          <w:color w:val="auto"/>
        </w:rPr>
        <w:t>´</w:t>
      </w:r>
      <w:r>
        <w:rPr>
          <w:rFonts w:ascii="Verdana" w:cs="Verdana" w:eastAsia="Verdana" w:hAnsi="Verdana"/>
          <w:sz w:val="17"/>
          <w:szCs w:val="17"/>
          <w:color w:val="auto"/>
        </w:rPr>
        <w:t xml:space="preserve"> мс или корнельский вольтажный индекс </w:t>
      </w:r>
      <w:r>
        <w:rPr>
          <w:rFonts w:ascii="Verdana" w:cs="Verdana" w:eastAsia="Verdana" w:hAnsi="Verdana"/>
          <w:sz w:val="17"/>
          <w:szCs w:val="17"/>
          <w:color w:val="auto"/>
        </w:rPr>
        <w:t>&gt;28</w:t>
      </w:r>
      <w:r>
        <w:rPr>
          <w:rFonts w:ascii="Verdana" w:cs="Verdana" w:eastAsia="Verdana" w:hAnsi="Verdana"/>
          <w:sz w:val="17"/>
          <w:szCs w:val="17"/>
          <w:color w:val="auto"/>
        </w:rPr>
        <w:t xml:space="preserve"> мм для мужчин и </w:t>
      </w:r>
      <w:r>
        <w:rPr>
          <w:rFonts w:ascii="Verdana" w:cs="Verdana" w:eastAsia="Verdana" w:hAnsi="Verdana"/>
          <w:sz w:val="17"/>
          <w:szCs w:val="17"/>
          <w:color w:val="auto"/>
        </w:rPr>
        <w:t>&gt;20</w:t>
      </w:r>
      <w:r>
        <w:rPr>
          <w:rFonts w:ascii="Verdana" w:cs="Verdana" w:eastAsia="Verdana" w:hAnsi="Verdana"/>
          <w:sz w:val="17"/>
          <w:szCs w:val="17"/>
          <w:color w:val="auto"/>
        </w:rPr>
        <w:t xml:space="preserve"> мм для женщин</w:t>
      </w:r>
      <w:r>
        <w:rPr>
          <w:rFonts w:ascii="Verdana" w:cs="Verdana" w:eastAsia="Verdana" w:hAnsi="Verdana"/>
          <w:sz w:val="17"/>
          <w:szCs w:val="17"/>
          <w:color w:val="auto"/>
        </w:rPr>
        <w:t>)</w:t>
      </w:r>
    </w:p>
    <w:p>
      <w:pPr>
        <w:sectPr>
          <w:pgSz w:w="11900" w:h="16840" w:orient="portrait"/>
          <w:cols w:equalWidth="0" w:num="1">
            <w:col w:w="9020"/>
          </w:cols>
          <w:pgMar w:left="1440" w:top="173" w:right="1440" w:bottom="1440" w:gutter="0" w:footer="0" w:header="0"/>
        </w:sectPr>
      </w:pPr>
    </w:p>
    <w:bookmarkStart w:id="148" w:name="page149"/>
    <w:bookmarkEnd w:id="148"/>
    <w:p>
      <w:pPr>
        <w:jc w:val="both"/>
        <w:ind w:left="840" w:right="380"/>
        <w:spacing w:after="0" w:line="319" w:lineRule="auto"/>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9525</wp:posOffset>
            </wp:positionV>
            <wp:extent cx="5365115" cy="8919210"/>
            <wp:wrapNone/>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403">
                      <a:extLst>
                        <a:ext uri="{28A0092B-C50C-407E-A947-70E740481C1C}"/>
                      </a:extLst>
                    </a:blip>
                    <a:srcRect/>
                    <a:stretch>
                      <a:fillRect/>
                    </a:stretch>
                  </pic:blipFill>
                  <pic:spPr bwMode="auto">
                    <a:xfrm>
                      <a:off x="0" y="0"/>
                      <a:ext cx="5365115" cy="8919210"/>
                    </a:xfrm>
                    <a:prstGeom prst="rect">
                      <a:avLst/>
                    </a:prstGeom>
                    <a:noFill/>
                  </pic:spPr>
                </pic:pic>
              </a:graphicData>
            </a:graphic>
          </wp:anchor>
        </w:drawing>
        <w:t xml:space="preserve">Эхокардиографические признаки ГЛЖ </w:t>
      </w:r>
      <w:r>
        <w:rPr>
          <w:rFonts w:ascii="Verdana" w:cs="Verdana" w:eastAsia="Verdana" w:hAnsi="Verdana"/>
          <w:sz w:val="17"/>
          <w:szCs w:val="17"/>
          <w:color w:val="auto"/>
        </w:rPr>
        <w:t>(</w:t>
      </w:r>
      <w:r>
        <w:rPr>
          <w:rFonts w:ascii="Verdana" w:cs="Verdana" w:eastAsia="Verdana" w:hAnsi="Verdana"/>
          <w:sz w:val="17"/>
          <w:szCs w:val="17"/>
          <w:color w:val="auto"/>
        </w:rPr>
        <w:t>индекс массы миокарда ЛЖ</w:t>
      </w:r>
      <w:r>
        <w:rPr>
          <w:rFonts w:ascii="Verdana" w:cs="Verdana" w:eastAsia="Verdana" w:hAnsi="Verdana"/>
          <w:sz w:val="17"/>
          <w:szCs w:val="17"/>
          <w:color w:val="auto"/>
        </w:rPr>
        <w:t>:</w:t>
      </w:r>
      <w:r>
        <w:rPr>
          <w:rFonts w:ascii="Verdana" w:cs="Verdana" w:eastAsia="Verdana" w:hAnsi="Verdana"/>
          <w:sz w:val="17"/>
          <w:szCs w:val="17"/>
          <w:color w:val="auto"/>
        </w:rPr>
        <w:t xml:space="preserve"> для мужчин </w:t>
      </w:r>
      <w:r>
        <w:rPr>
          <w:rFonts w:ascii="Verdana" w:cs="Verdana" w:eastAsia="Verdana" w:hAnsi="Verdana"/>
          <w:sz w:val="17"/>
          <w:szCs w:val="17"/>
          <w:color w:val="auto"/>
        </w:rPr>
        <w:t>&gt;50</w:t>
      </w:r>
      <w:r>
        <w:rPr>
          <w:rFonts w:ascii="Verdana" w:cs="Verdana" w:eastAsia="Verdana" w:hAnsi="Verdana"/>
          <w:sz w:val="17"/>
          <w:szCs w:val="17"/>
          <w:color w:val="auto"/>
        </w:rPr>
        <w:t xml:space="preserve"> г</w:t>
      </w:r>
      <w:r>
        <w:rPr>
          <w:rFonts w:ascii="Verdana" w:cs="Verdana" w:eastAsia="Verdana" w:hAnsi="Verdana"/>
          <w:sz w:val="17"/>
          <w:szCs w:val="17"/>
          <w:color w:val="auto"/>
        </w:rPr>
        <w:t>/</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2,7</w:t>
      </w:r>
      <w:r>
        <w:rPr>
          <w:rFonts w:ascii="Verdana" w:cs="Verdana" w:eastAsia="Verdana" w:hAnsi="Verdana"/>
          <w:sz w:val="17"/>
          <w:szCs w:val="17"/>
          <w:color w:val="auto"/>
        </w:rPr>
        <w:t>,</w:t>
      </w:r>
      <w:r>
        <w:rPr>
          <w:rFonts w:ascii="Verdana" w:cs="Verdana" w:eastAsia="Verdana" w:hAnsi="Verdana"/>
          <w:sz w:val="17"/>
          <w:szCs w:val="17"/>
          <w:color w:val="auto"/>
        </w:rPr>
        <w:t xml:space="preserve"> для женщин </w:t>
      </w:r>
      <w:r>
        <w:rPr>
          <w:rFonts w:ascii="Verdana" w:cs="Verdana" w:eastAsia="Verdana" w:hAnsi="Verdana"/>
          <w:sz w:val="17"/>
          <w:szCs w:val="17"/>
          <w:color w:val="auto"/>
        </w:rPr>
        <w:t>&gt;47</w:t>
      </w:r>
      <w:r>
        <w:rPr>
          <w:rFonts w:ascii="Verdana" w:cs="Verdana" w:eastAsia="Verdana" w:hAnsi="Verdana"/>
          <w:sz w:val="17"/>
          <w:szCs w:val="17"/>
          <w:color w:val="auto"/>
        </w:rPr>
        <w:t xml:space="preserve"> г</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33"/>
          <w:szCs w:val="33"/>
          <w:color w:val="auto"/>
          <w:vertAlign w:val="superscript"/>
        </w:rPr>
        <w:t>2,7</w:t>
      </w:r>
      <w:r>
        <w:rPr>
          <w:rFonts w:ascii="Verdana" w:cs="Verdana" w:eastAsia="Verdana" w:hAnsi="Verdana"/>
          <w:sz w:val="17"/>
          <w:szCs w:val="17"/>
          <w:color w:val="auto"/>
        </w:rPr>
        <w:t>(</w:t>
      </w:r>
      <w:r>
        <w:rPr>
          <w:rFonts w:ascii="Verdana" w:cs="Verdana" w:eastAsia="Verdana" w:hAnsi="Verdana"/>
          <w:sz w:val="17"/>
          <w:szCs w:val="17"/>
          <w:color w:val="auto"/>
        </w:rPr>
        <w:t>рост в метрах</w:t>
      </w:r>
      <w:r>
        <w:rPr>
          <w:rFonts w:ascii="Verdana" w:cs="Verdana" w:eastAsia="Verdana" w:hAnsi="Verdana"/>
          <w:sz w:val="33"/>
          <w:szCs w:val="33"/>
          <w:color w:val="auto"/>
          <w:vertAlign w:val="superscript"/>
        </w:rPr>
        <w:t>2,7</w:t>
      </w:r>
      <w:r>
        <w:rPr>
          <w:rFonts w:ascii="Verdana" w:cs="Verdana" w:eastAsia="Verdana" w:hAnsi="Verdana"/>
          <w:sz w:val="17"/>
          <w:szCs w:val="17"/>
          <w:color w:val="auto"/>
        </w:rPr>
        <w:t>);</w:t>
      </w:r>
      <w:r>
        <w:rPr>
          <w:rFonts w:ascii="Verdana" w:cs="Verdana" w:eastAsia="Verdana" w:hAnsi="Verdana"/>
          <w:sz w:val="17"/>
          <w:szCs w:val="17"/>
          <w:color w:val="auto"/>
        </w:rPr>
        <w:t xml:space="preserve"> индексация на площадь поверхности тела может быть использована у пациентов с нормальной массой тела</w:t>
      </w:r>
      <w:r>
        <w:rPr>
          <w:rFonts w:ascii="Verdana" w:cs="Verdana" w:eastAsia="Verdana" w:hAnsi="Verdana"/>
          <w:sz w:val="17"/>
          <w:szCs w:val="17"/>
          <w:color w:val="auto"/>
        </w:rPr>
        <w:t>:</w:t>
      </w:r>
      <w:r>
        <w:rPr>
          <w:rFonts w:ascii="Verdana" w:cs="Verdana" w:eastAsia="Verdana" w:hAnsi="Verdana"/>
          <w:sz w:val="17"/>
          <w:szCs w:val="17"/>
          <w:color w:val="auto"/>
        </w:rPr>
        <w:t xml:space="preserve"> масса ЛЖ</w:t>
      </w:r>
      <w:r>
        <w:rPr>
          <w:rFonts w:ascii="Verdana" w:cs="Verdana" w:eastAsia="Verdana" w:hAnsi="Verdana"/>
          <w:sz w:val="17"/>
          <w:szCs w:val="17"/>
          <w:color w:val="auto"/>
        </w:rPr>
        <w:t>/</w:t>
      </w:r>
      <w:r>
        <w:rPr>
          <w:rFonts w:ascii="Verdana" w:cs="Verdana" w:eastAsia="Verdana" w:hAnsi="Verdana"/>
          <w:sz w:val="17"/>
          <w:szCs w:val="17"/>
          <w:color w:val="auto"/>
        </w:rPr>
        <w:t>ППТ г</w:t>
      </w:r>
      <w:r>
        <w:rPr>
          <w:rFonts w:ascii="Verdana" w:cs="Verdana" w:eastAsia="Verdana" w:hAnsi="Verdana"/>
          <w:sz w:val="17"/>
          <w:szCs w:val="17"/>
          <w:color w:val="auto"/>
        </w:rPr>
        <w:t>/</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w:t>
      </w:r>
      <w:r>
        <w:rPr>
          <w:rFonts w:ascii="Verdana" w:cs="Verdana" w:eastAsia="Verdana" w:hAnsi="Verdana"/>
          <w:sz w:val="17"/>
          <w:szCs w:val="17"/>
          <w:color w:val="auto"/>
        </w:rPr>
        <w:t>&gt; 115 (</w:t>
      </w:r>
      <w:r>
        <w:rPr>
          <w:rFonts w:ascii="Verdana" w:cs="Verdana" w:eastAsia="Verdana" w:hAnsi="Verdana"/>
          <w:sz w:val="17"/>
          <w:szCs w:val="17"/>
          <w:color w:val="auto"/>
        </w:rPr>
        <w:t>мужчины</w:t>
      </w:r>
      <w:r>
        <w:rPr>
          <w:rFonts w:ascii="Verdana" w:cs="Verdana" w:eastAsia="Verdana" w:hAnsi="Verdana"/>
          <w:sz w:val="17"/>
          <w:szCs w:val="17"/>
          <w:color w:val="auto"/>
        </w:rPr>
        <w:t>)</w:t>
      </w:r>
      <w:r>
        <w:rPr>
          <w:rFonts w:ascii="Verdana" w:cs="Verdana" w:eastAsia="Verdana" w:hAnsi="Verdana"/>
          <w:sz w:val="17"/>
          <w:szCs w:val="17"/>
          <w:color w:val="auto"/>
        </w:rPr>
        <w:t xml:space="preserve"> и </w:t>
      </w:r>
      <w:r>
        <w:rPr>
          <w:rFonts w:ascii="Verdana" w:cs="Verdana" w:eastAsia="Verdana" w:hAnsi="Verdana"/>
          <w:sz w:val="17"/>
          <w:szCs w:val="17"/>
          <w:color w:val="auto"/>
        </w:rPr>
        <w:t>&gt; 95 (</w:t>
      </w:r>
      <w:r>
        <w:rPr>
          <w:rFonts w:ascii="Verdana" w:cs="Verdana" w:eastAsia="Verdana" w:hAnsi="Verdana"/>
          <w:sz w:val="17"/>
          <w:szCs w:val="17"/>
          <w:color w:val="auto"/>
        </w:rPr>
        <w:t>женщины</w:t>
      </w:r>
      <w:r>
        <w:rPr>
          <w:rFonts w:ascii="Verdana" w:cs="Verdana" w:eastAsia="Verdana" w:hAnsi="Verdana"/>
          <w:sz w:val="17"/>
          <w:szCs w:val="17"/>
          <w:color w:val="auto"/>
        </w:rPr>
        <w:t>)).</w:t>
      </w:r>
    </w:p>
    <w:p>
      <w:pPr>
        <w:spacing w:after="0" w:line="260" w:lineRule="exact"/>
        <w:rPr>
          <w:sz w:val="20"/>
          <w:szCs w:val="20"/>
          <w:color w:val="auto"/>
        </w:rPr>
      </w:pPr>
    </w:p>
    <w:p>
      <w:pPr>
        <w:jc w:val="both"/>
        <w:ind w:left="840" w:right="400"/>
        <w:spacing w:after="0" w:line="336" w:lineRule="auto"/>
        <w:rPr>
          <w:sz w:val="20"/>
          <w:szCs w:val="20"/>
          <w:color w:val="auto"/>
        </w:rPr>
      </w:pPr>
      <w:r>
        <w:rPr>
          <w:rFonts w:ascii="Verdana" w:cs="Verdana" w:eastAsia="Verdana" w:hAnsi="Verdana"/>
          <w:sz w:val="17"/>
          <w:szCs w:val="17"/>
          <w:color w:val="auto"/>
        </w:rPr>
        <w:t xml:space="preserve">Альбуминурия </w:t>
      </w:r>
      <w:r>
        <w:rPr>
          <w:rFonts w:ascii="Verdana" w:cs="Verdana" w:eastAsia="Verdana" w:hAnsi="Verdana"/>
          <w:sz w:val="17"/>
          <w:szCs w:val="17"/>
          <w:color w:val="auto"/>
        </w:rPr>
        <w:t>30–300</w:t>
      </w:r>
      <w:r>
        <w:rPr>
          <w:rFonts w:ascii="Verdana" w:cs="Verdana" w:eastAsia="Verdana" w:hAnsi="Verdana"/>
          <w:sz w:val="17"/>
          <w:szCs w:val="17"/>
          <w:color w:val="auto"/>
        </w:rPr>
        <w:t xml:space="preserve"> мг</w:t>
      </w:r>
      <w:r>
        <w:rPr>
          <w:rFonts w:ascii="Verdana" w:cs="Verdana" w:eastAsia="Verdana" w:hAnsi="Verdana"/>
          <w:sz w:val="17"/>
          <w:szCs w:val="17"/>
          <w:color w:val="auto"/>
        </w:rPr>
        <w:t>/24</w:t>
      </w:r>
      <w:r>
        <w:rPr>
          <w:rFonts w:ascii="Verdana" w:cs="Verdana" w:eastAsia="Verdana" w:hAnsi="Verdana"/>
          <w:sz w:val="17"/>
          <w:szCs w:val="17"/>
          <w:color w:val="auto"/>
        </w:rPr>
        <w:t xml:space="preserve"> ч или повышение отношения альбумин</w:t>
      </w:r>
      <w:r>
        <w:rPr>
          <w:rFonts w:ascii="Verdana" w:cs="Verdana" w:eastAsia="Verdana" w:hAnsi="Verdana"/>
          <w:sz w:val="17"/>
          <w:szCs w:val="17"/>
          <w:color w:val="auto"/>
        </w:rPr>
        <w:t>-</w:t>
      </w:r>
      <w:r>
        <w:rPr>
          <w:rFonts w:ascii="Verdana" w:cs="Verdana" w:eastAsia="Verdana" w:hAnsi="Verdana"/>
          <w:sz w:val="17"/>
          <w:szCs w:val="17"/>
          <w:color w:val="auto"/>
        </w:rPr>
        <w:t xml:space="preserve">креатинин </w:t>
      </w:r>
      <w:r>
        <w:rPr>
          <w:rFonts w:ascii="Verdana" w:cs="Verdana" w:eastAsia="Verdana" w:hAnsi="Verdana"/>
          <w:sz w:val="17"/>
          <w:szCs w:val="17"/>
          <w:color w:val="auto"/>
        </w:rPr>
        <w:t>(30–300</w:t>
      </w:r>
      <w:r>
        <w:rPr>
          <w:rFonts w:ascii="Verdana" w:cs="Verdana" w:eastAsia="Verdana" w:hAnsi="Verdana"/>
          <w:sz w:val="17"/>
          <w:szCs w:val="17"/>
          <w:color w:val="auto"/>
        </w:rPr>
        <w:t xml:space="preserve"> мг</w:t>
      </w:r>
      <w:r>
        <w:rPr>
          <w:rFonts w:ascii="Verdana" w:cs="Verdana" w:eastAsia="Verdana" w:hAnsi="Verdana"/>
          <w:sz w:val="17"/>
          <w:szCs w:val="17"/>
          <w:color w:val="auto"/>
        </w:rPr>
        <w:t>/</w:t>
      </w:r>
      <w:r>
        <w:rPr>
          <w:rFonts w:ascii="Verdana" w:cs="Verdana" w:eastAsia="Verdana" w:hAnsi="Verdana"/>
          <w:sz w:val="17"/>
          <w:szCs w:val="17"/>
          <w:color w:val="auto"/>
        </w:rPr>
        <w:t>г</w:t>
      </w:r>
      <w:r>
        <w:rPr>
          <w:rFonts w:ascii="Verdana" w:cs="Verdana" w:eastAsia="Verdana" w:hAnsi="Verdana"/>
          <w:sz w:val="17"/>
          <w:szCs w:val="17"/>
          <w:color w:val="auto"/>
        </w:rPr>
        <w:t>; 3,4-34</w:t>
      </w:r>
      <w:r>
        <w:rPr>
          <w:rFonts w:ascii="Verdana" w:cs="Verdana" w:eastAsia="Verdana" w:hAnsi="Verdana"/>
          <w:sz w:val="17"/>
          <w:szCs w:val="17"/>
          <w:color w:val="auto"/>
        </w:rPr>
        <w:t xml:space="preserve"> мг</w:t>
      </w:r>
      <w:r>
        <w:rPr>
          <w:rFonts w:ascii="Verdana" w:cs="Verdana" w:eastAsia="Verdana" w:hAnsi="Verdana"/>
          <w:sz w:val="17"/>
          <w:szCs w:val="17"/>
          <w:color w:val="auto"/>
        </w:rPr>
        <w:t>/</w:t>
      </w:r>
      <w:r>
        <w:rPr>
          <w:rFonts w:ascii="Verdana" w:cs="Verdana" w:eastAsia="Verdana" w:hAnsi="Verdana"/>
          <w:sz w:val="17"/>
          <w:szCs w:val="17"/>
          <w:color w:val="auto"/>
        </w:rPr>
        <w:t>ммоль</w:t>
      </w:r>
      <w:r>
        <w:rPr>
          <w:rFonts w:ascii="Verdana" w:cs="Verdana" w:eastAsia="Verdana" w:hAnsi="Verdana"/>
          <w:sz w:val="17"/>
          <w:szCs w:val="17"/>
          <w:color w:val="auto"/>
        </w:rPr>
        <w:t>) (</w:t>
      </w:r>
      <w:r>
        <w:rPr>
          <w:rFonts w:ascii="Verdana" w:cs="Verdana" w:eastAsia="Verdana" w:hAnsi="Verdana"/>
          <w:sz w:val="17"/>
          <w:szCs w:val="17"/>
          <w:color w:val="auto"/>
        </w:rPr>
        <w:t>предпочтительно в утренней порции мочи</w:t>
      </w:r>
      <w:r>
        <w:rPr>
          <w:rFonts w:ascii="Verdana" w:cs="Verdana" w:eastAsia="Verdana" w:hAnsi="Verdana"/>
          <w:sz w:val="17"/>
          <w:szCs w:val="17"/>
          <w:color w:val="auto"/>
        </w:rPr>
        <w:t>)</w:t>
      </w:r>
      <w:r>
        <w:rPr>
          <w:rFonts w:ascii="Verdana" w:cs="Verdana" w:eastAsia="Verdana" w:hAnsi="Verdana"/>
          <w:sz w:val="33"/>
          <w:szCs w:val="33"/>
          <w:color w:val="auto"/>
          <w:vertAlign w:val="superscript"/>
        </w:rPr>
        <w:t>b</w:t>
      </w:r>
    </w:p>
    <w:p>
      <w:pPr>
        <w:spacing w:after="0" w:line="155"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Умеренная ХБП с СКФ </w:t>
      </w:r>
      <w:r>
        <w:rPr>
          <w:rFonts w:ascii="Verdana" w:cs="Verdana" w:eastAsia="Verdana" w:hAnsi="Verdana"/>
          <w:sz w:val="17"/>
          <w:szCs w:val="17"/>
          <w:color w:val="auto"/>
        </w:rPr>
        <w:t>&gt;30–59</w:t>
      </w:r>
      <w:r>
        <w:rPr>
          <w:rFonts w:ascii="Verdana" w:cs="Verdana" w:eastAsia="Verdana" w:hAnsi="Verdana"/>
          <w:sz w:val="17"/>
          <w:szCs w:val="17"/>
          <w:color w:val="auto"/>
        </w:rPr>
        <w:t xml:space="preserve"> мл</w:t>
      </w:r>
      <w:r>
        <w:rPr>
          <w:rFonts w:ascii="Verdana" w:cs="Verdana" w:eastAsia="Verdana" w:hAnsi="Verdana"/>
          <w:sz w:val="17"/>
          <w:szCs w:val="17"/>
          <w:color w:val="auto"/>
        </w:rPr>
        <w:t>/</w:t>
      </w:r>
      <w:r>
        <w:rPr>
          <w:rFonts w:ascii="Verdana" w:cs="Verdana" w:eastAsia="Verdana" w:hAnsi="Verdana"/>
          <w:sz w:val="17"/>
          <w:szCs w:val="17"/>
          <w:color w:val="auto"/>
        </w:rPr>
        <w:t>мин</w:t>
      </w:r>
      <w:r>
        <w:rPr>
          <w:rFonts w:ascii="Verdana" w:cs="Verdana" w:eastAsia="Verdana" w:hAnsi="Verdana"/>
          <w:sz w:val="17"/>
          <w:szCs w:val="17"/>
          <w:color w:val="auto"/>
        </w:rPr>
        <w:t>/1,73</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w:t>
      </w:r>
      <w:r>
        <w:rPr>
          <w:rFonts w:ascii="Verdana" w:cs="Verdana" w:eastAsia="Verdana" w:hAnsi="Verdana"/>
          <w:sz w:val="17"/>
          <w:szCs w:val="17"/>
          <w:color w:val="auto"/>
        </w:rPr>
        <w:t xml:space="preserve"> </w:t>
      </w:r>
      <w:r>
        <w:rPr>
          <w:rFonts w:ascii="Verdana" w:cs="Verdana" w:eastAsia="Verdana" w:hAnsi="Verdana"/>
          <w:sz w:val="17"/>
          <w:szCs w:val="17"/>
          <w:color w:val="auto"/>
        </w:rPr>
        <w:t>(</w:t>
      </w:r>
      <w:r>
        <w:rPr>
          <w:rFonts w:ascii="Verdana" w:cs="Verdana" w:eastAsia="Verdana" w:hAnsi="Verdana"/>
          <w:sz w:val="17"/>
          <w:szCs w:val="17"/>
          <w:color w:val="auto"/>
        </w:rPr>
        <w:t>ППТ</w:t>
      </w:r>
      <w:r>
        <w:rPr>
          <w:rFonts w:ascii="Verdana" w:cs="Verdana" w:eastAsia="Verdana" w:hAnsi="Verdana"/>
          <w:sz w:val="17"/>
          <w:szCs w:val="17"/>
          <w:color w:val="auto"/>
        </w:rPr>
        <w:t>)</w:t>
      </w:r>
    </w:p>
    <w:p>
      <w:pPr>
        <w:spacing w:after="0" w:line="394"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Лодыжечно</w:t>
      </w:r>
      <w:r>
        <w:rPr>
          <w:rFonts w:ascii="Verdana" w:cs="Verdana" w:eastAsia="Verdana" w:hAnsi="Verdana"/>
          <w:sz w:val="17"/>
          <w:szCs w:val="17"/>
          <w:color w:val="auto"/>
        </w:rPr>
        <w:t>-</w:t>
      </w:r>
      <w:r>
        <w:rPr>
          <w:rFonts w:ascii="Verdana" w:cs="Verdana" w:eastAsia="Verdana" w:hAnsi="Verdana"/>
          <w:sz w:val="17"/>
          <w:szCs w:val="17"/>
          <w:color w:val="auto"/>
        </w:rPr>
        <w:t xml:space="preserve">плечевой индекс </w:t>
      </w:r>
      <w:r>
        <w:rPr>
          <w:rFonts w:ascii="Verdana" w:cs="Verdana" w:eastAsia="Verdana" w:hAnsi="Verdana"/>
          <w:sz w:val="17"/>
          <w:szCs w:val="17"/>
          <w:color w:val="auto"/>
        </w:rPr>
        <w:t>&lt;0,9</w:t>
      </w:r>
    </w:p>
    <w:p>
      <w:pPr>
        <w:spacing w:after="0" w:line="200" w:lineRule="exact"/>
        <w:rPr>
          <w:sz w:val="20"/>
          <w:szCs w:val="20"/>
          <w:color w:val="auto"/>
        </w:rPr>
      </w:pPr>
    </w:p>
    <w:p>
      <w:pPr>
        <w:spacing w:after="0" w:line="299" w:lineRule="exact"/>
        <w:rPr>
          <w:sz w:val="20"/>
          <w:szCs w:val="20"/>
          <w:color w:val="auto"/>
        </w:rPr>
      </w:pPr>
    </w:p>
    <w:p>
      <w:pPr>
        <w:jc w:val="both"/>
        <w:ind w:left="840" w:right="380"/>
        <w:spacing w:after="0" w:line="468" w:lineRule="auto"/>
        <w:rPr>
          <w:sz w:val="20"/>
          <w:szCs w:val="20"/>
          <w:color w:val="auto"/>
        </w:rPr>
      </w:pPr>
      <w:r>
        <w:rPr>
          <w:rFonts w:ascii="Verdana" w:cs="Verdana" w:eastAsia="Verdana" w:hAnsi="Verdana"/>
          <w:sz w:val="17"/>
          <w:szCs w:val="17"/>
          <w:color w:val="auto"/>
        </w:rPr>
        <w:t>Выраженная ретинопатия</w:t>
      </w:r>
      <w:r>
        <w:rPr>
          <w:rFonts w:ascii="Verdana" w:cs="Verdana" w:eastAsia="Verdana" w:hAnsi="Verdana"/>
          <w:sz w:val="17"/>
          <w:szCs w:val="17"/>
          <w:color w:val="auto"/>
        </w:rPr>
        <w:t>:</w:t>
      </w:r>
      <w:r>
        <w:rPr>
          <w:rFonts w:ascii="Verdana" w:cs="Verdana" w:eastAsia="Verdana" w:hAnsi="Verdana"/>
          <w:sz w:val="17"/>
          <w:szCs w:val="17"/>
          <w:color w:val="auto"/>
        </w:rPr>
        <w:t xml:space="preserve"> наличие кровоизлияний</w:t>
      </w:r>
      <w:r>
        <w:rPr>
          <w:rFonts w:ascii="Verdana" w:cs="Verdana" w:eastAsia="Verdana" w:hAnsi="Verdana"/>
          <w:sz w:val="17"/>
          <w:szCs w:val="17"/>
          <w:color w:val="auto"/>
        </w:rPr>
        <w:t>,</w:t>
      </w:r>
      <w:r>
        <w:rPr>
          <w:rFonts w:ascii="Verdana" w:cs="Verdana" w:eastAsia="Verdana" w:hAnsi="Verdana"/>
          <w:sz w:val="17"/>
          <w:szCs w:val="17"/>
          <w:color w:val="auto"/>
        </w:rPr>
        <w:t xml:space="preserve"> экссудатов или отека соска зрительного нерва</w:t>
      </w:r>
      <w:r>
        <w:rPr>
          <w:rFonts w:ascii="Verdana" w:cs="Verdana" w:eastAsia="Verdana" w:hAnsi="Verdana"/>
          <w:sz w:val="17"/>
          <w:szCs w:val="17"/>
          <w:color w:val="auto"/>
        </w:rPr>
        <w:t>.</w:t>
      </w:r>
    </w:p>
    <w:p>
      <w:pPr>
        <w:spacing w:after="0" w:line="181"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Диагностированные СС или почечные заболевания</w:t>
      </w:r>
    </w:p>
    <w:p>
      <w:pPr>
        <w:spacing w:after="0" w:line="383" w:lineRule="exact"/>
        <w:rPr>
          <w:sz w:val="20"/>
          <w:szCs w:val="20"/>
          <w:color w:val="auto"/>
        </w:rPr>
      </w:pPr>
    </w:p>
    <w:p>
      <w:pPr>
        <w:ind w:left="840" w:right="380"/>
        <w:spacing w:after="0" w:line="468" w:lineRule="auto"/>
        <w:rPr>
          <w:sz w:val="20"/>
          <w:szCs w:val="20"/>
          <w:color w:val="auto"/>
        </w:rPr>
      </w:pPr>
      <w:r>
        <w:rPr>
          <w:rFonts w:ascii="Verdana" w:cs="Verdana" w:eastAsia="Verdana" w:hAnsi="Verdana"/>
          <w:sz w:val="17"/>
          <w:szCs w:val="17"/>
          <w:color w:val="auto"/>
        </w:rPr>
        <w:t>Цереброваскулярные заболевания</w:t>
      </w:r>
      <w:r>
        <w:rPr>
          <w:rFonts w:ascii="Verdana" w:cs="Verdana" w:eastAsia="Verdana" w:hAnsi="Verdana"/>
          <w:sz w:val="17"/>
          <w:szCs w:val="17"/>
          <w:color w:val="auto"/>
        </w:rPr>
        <w:t>:</w:t>
      </w:r>
      <w:r>
        <w:rPr>
          <w:rFonts w:ascii="Verdana" w:cs="Verdana" w:eastAsia="Verdana" w:hAnsi="Verdana"/>
          <w:sz w:val="17"/>
          <w:szCs w:val="17"/>
          <w:color w:val="auto"/>
        </w:rPr>
        <w:t xml:space="preserve"> ишемический инсульт</w:t>
      </w:r>
      <w:r>
        <w:rPr>
          <w:rFonts w:ascii="Verdana" w:cs="Verdana" w:eastAsia="Verdana" w:hAnsi="Verdana"/>
          <w:sz w:val="17"/>
          <w:szCs w:val="17"/>
          <w:color w:val="auto"/>
        </w:rPr>
        <w:t>,</w:t>
      </w:r>
      <w:r>
        <w:rPr>
          <w:rFonts w:ascii="Verdana" w:cs="Verdana" w:eastAsia="Verdana" w:hAnsi="Verdana"/>
          <w:sz w:val="17"/>
          <w:szCs w:val="17"/>
          <w:color w:val="auto"/>
        </w:rPr>
        <w:t xml:space="preserve"> геморрагический инсульт</w:t>
      </w:r>
      <w:r>
        <w:rPr>
          <w:rFonts w:ascii="Verdana" w:cs="Verdana" w:eastAsia="Verdana" w:hAnsi="Verdana"/>
          <w:sz w:val="17"/>
          <w:szCs w:val="17"/>
          <w:color w:val="auto"/>
        </w:rPr>
        <w:t>,</w:t>
      </w:r>
      <w:r>
        <w:rPr>
          <w:rFonts w:ascii="Verdana" w:cs="Verdana" w:eastAsia="Verdana" w:hAnsi="Verdana"/>
          <w:sz w:val="17"/>
          <w:szCs w:val="17"/>
          <w:color w:val="auto"/>
        </w:rPr>
        <w:t xml:space="preserve"> ТИА</w:t>
      </w:r>
    </w:p>
    <w:p>
      <w:pPr>
        <w:spacing w:after="0" w:line="290" w:lineRule="exact"/>
        <w:rPr>
          <w:sz w:val="20"/>
          <w:szCs w:val="20"/>
          <w:color w:val="auto"/>
        </w:rPr>
      </w:pPr>
    </w:p>
    <w:p>
      <w:pPr>
        <w:jc w:val="both"/>
        <w:ind w:left="840" w:right="380"/>
        <w:spacing w:after="0" w:line="468" w:lineRule="auto"/>
        <w:rPr>
          <w:sz w:val="20"/>
          <w:szCs w:val="20"/>
          <w:color w:val="auto"/>
        </w:rPr>
      </w:pPr>
      <w:r>
        <w:rPr>
          <w:rFonts w:ascii="Verdana" w:cs="Verdana" w:eastAsia="Verdana" w:hAnsi="Verdana"/>
          <w:sz w:val="17"/>
          <w:szCs w:val="17"/>
          <w:color w:val="auto"/>
        </w:rPr>
        <w:t>ИБС</w:t>
      </w:r>
      <w:r>
        <w:rPr>
          <w:rFonts w:ascii="Verdana" w:cs="Verdana" w:eastAsia="Verdana" w:hAnsi="Verdana"/>
          <w:sz w:val="17"/>
          <w:szCs w:val="17"/>
          <w:color w:val="auto"/>
        </w:rPr>
        <w:t>:</w:t>
      </w:r>
      <w:r>
        <w:rPr>
          <w:rFonts w:ascii="Verdana" w:cs="Verdana" w:eastAsia="Verdana" w:hAnsi="Verdana"/>
          <w:sz w:val="17"/>
          <w:szCs w:val="17"/>
          <w:color w:val="auto"/>
        </w:rPr>
        <w:t xml:space="preserve"> инфаркт миокарда</w:t>
      </w:r>
      <w:r>
        <w:rPr>
          <w:rFonts w:ascii="Verdana" w:cs="Verdana" w:eastAsia="Verdana" w:hAnsi="Verdana"/>
          <w:sz w:val="17"/>
          <w:szCs w:val="17"/>
          <w:color w:val="auto"/>
        </w:rPr>
        <w:t>,</w:t>
      </w:r>
      <w:r>
        <w:rPr>
          <w:rFonts w:ascii="Verdana" w:cs="Verdana" w:eastAsia="Verdana" w:hAnsi="Verdana"/>
          <w:sz w:val="17"/>
          <w:szCs w:val="17"/>
          <w:color w:val="auto"/>
        </w:rPr>
        <w:t xml:space="preserve"> стенокардия</w:t>
      </w:r>
      <w:r>
        <w:rPr>
          <w:rFonts w:ascii="Verdana" w:cs="Verdana" w:eastAsia="Verdana" w:hAnsi="Verdana"/>
          <w:sz w:val="17"/>
          <w:szCs w:val="17"/>
          <w:color w:val="auto"/>
        </w:rPr>
        <w:t>,</w:t>
      </w:r>
      <w:r>
        <w:rPr>
          <w:rFonts w:ascii="Verdana" w:cs="Verdana" w:eastAsia="Verdana" w:hAnsi="Verdana"/>
          <w:sz w:val="17"/>
          <w:szCs w:val="17"/>
          <w:color w:val="auto"/>
        </w:rPr>
        <w:t xml:space="preserve"> реваскуляризация миокарда </w:t>
      </w:r>
      <w:r>
        <w:rPr>
          <w:rFonts w:ascii="Verdana" w:cs="Verdana" w:eastAsia="Verdana" w:hAnsi="Verdana"/>
          <w:sz w:val="17"/>
          <w:szCs w:val="17"/>
          <w:color w:val="auto"/>
        </w:rPr>
        <w:t>(</w:t>
      </w:r>
      <w:r>
        <w:rPr>
          <w:rFonts w:ascii="Verdana" w:cs="Verdana" w:eastAsia="Verdana" w:hAnsi="Verdana"/>
          <w:sz w:val="17"/>
          <w:szCs w:val="17"/>
          <w:color w:val="auto"/>
        </w:rPr>
        <w:t>методом чрескожного коронарного вмешательства или аортокоронарного шунтирования</w:t>
      </w:r>
      <w:r>
        <w:rPr>
          <w:rFonts w:ascii="Verdana" w:cs="Verdana" w:eastAsia="Verdana" w:hAnsi="Verdana"/>
          <w:sz w:val="17"/>
          <w:szCs w:val="17"/>
          <w:color w:val="auto"/>
        </w:rPr>
        <w:t>)</w:t>
      </w:r>
    </w:p>
    <w:p>
      <w:pPr>
        <w:spacing w:after="0" w:line="290"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Наличие атероматозных бляшек при визуализации </w:t>
      </w:r>
      <w:r>
        <w:rPr>
          <w:rFonts w:ascii="Verdana" w:cs="Verdana" w:eastAsia="Verdana" w:hAnsi="Verdana"/>
          <w:sz w:val="17"/>
          <w:szCs w:val="17"/>
          <w:color w:val="auto"/>
        </w:rPr>
        <w:t>(</w:t>
      </w:r>
      <w:r>
        <w:rPr>
          <w:rFonts w:ascii="Verdana" w:cs="Verdana" w:eastAsia="Verdana" w:hAnsi="Verdana"/>
          <w:sz w:val="17"/>
          <w:szCs w:val="17"/>
          <w:color w:val="auto"/>
        </w:rPr>
        <w:t xml:space="preserve">стеноз </w:t>
      </w:r>
      <w:r>
        <w:rPr>
          <w:rFonts w:ascii="Verdana" w:cs="Verdana" w:eastAsia="Verdana" w:hAnsi="Verdana"/>
          <w:sz w:val="17"/>
          <w:szCs w:val="17"/>
          <w:color w:val="auto"/>
        </w:rPr>
        <w:t>≥50%)</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Сердечная недостаточность</w:t>
      </w:r>
      <w:r>
        <w:rPr>
          <w:rFonts w:ascii="Verdana" w:cs="Verdana" w:eastAsia="Verdana" w:hAnsi="Verdana"/>
          <w:sz w:val="17"/>
          <w:szCs w:val="17"/>
          <w:color w:val="auto"/>
        </w:rPr>
        <w:t>,</w:t>
      </w:r>
      <w:r>
        <w:rPr>
          <w:rFonts w:ascii="Verdana" w:cs="Verdana" w:eastAsia="Verdana" w:hAnsi="Verdana"/>
          <w:sz w:val="17"/>
          <w:szCs w:val="17"/>
          <w:color w:val="auto"/>
        </w:rPr>
        <w:t xml:space="preserve"> в том числе СН с сохраненной ФВ</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Заболевание периферических артерий</w:t>
      </w:r>
    </w:p>
    <w:p>
      <w:pPr>
        <w:spacing w:after="0" w:line="200" w:lineRule="exact"/>
        <w:rPr>
          <w:sz w:val="20"/>
          <w:szCs w:val="20"/>
          <w:color w:val="auto"/>
        </w:rPr>
      </w:pPr>
    </w:p>
    <w:p>
      <w:pPr>
        <w:spacing w:after="0" w:line="29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Фибрилляция предсердий</w:t>
      </w:r>
    </w:p>
    <w:p>
      <w:pPr>
        <w:spacing w:after="0" w:line="200" w:lineRule="exact"/>
        <w:rPr>
          <w:sz w:val="20"/>
          <w:szCs w:val="20"/>
          <w:color w:val="auto"/>
        </w:rPr>
      </w:pPr>
    </w:p>
    <w:p>
      <w:pPr>
        <w:spacing w:after="0" w:line="209" w:lineRule="exact"/>
        <w:rPr>
          <w:sz w:val="20"/>
          <w:szCs w:val="20"/>
          <w:color w:val="auto"/>
        </w:rPr>
      </w:pPr>
    </w:p>
    <w:p>
      <w:pPr>
        <w:ind w:left="840"/>
        <w:spacing w:after="0"/>
        <w:rPr>
          <w:sz w:val="20"/>
          <w:szCs w:val="20"/>
          <w:color w:val="auto"/>
        </w:rPr>
      </w:pPr>
      <w:r>
        <w:rPr>
          <w:rFonts w:ascii="Verdana" w:cs="Verdana" w:eastAsia="Verdana" w:hAnsi="Verdana"/>
          <w:sz w:val="17"/>
          <w:szCs w:val="17"/>
          <w:color w:val="auto"/>
        </w:rPr>
        <w:t xml:space="preserve">Тяжелая ХБП с СКФ </w:t>
      </w:r>
      <w:r>
        <w:rPr>
          <w:rFonts w:ascii="Verdana" w:cs="Verdana" w:eastAsia="Verdana" w:hAnsi="Verdana"/>
          <w:sz w:val="17"/>
          <w:szCs w:val="17"/>
          <w:color w:val="auto"/>
        </w:rPr>
        <w:t>&lt;30</w:t>
      </w:r>
      <w:r>
        <w:rPr>
          <w:rFonts w:ascii="Verdana" w:cs="Verdana" w:eastAsia="Verdana" w:hAnsi="Verdana"/>
          <w:sz w:val="17"/>
          <w:szCs w:val="17"/>
          <w:color w:val="auto"/>
        </w:rPr>
        <w:t xml:space="preserve"> мл</w:t>
      </w:r>
      <w:r>
        <w:rPr>
          <w:rFonts w:ascii="Verdana" w:cs="Verdana" w:eastAsia="Verdana" w:hAnsi="Verdana"/>
          <w:sz w:val="17"/>
          <w:szCs w:val="17"/>
          <w:color w:val="auto"/>
        </w:rPr>
        <w:t>/</w:t>
      </w:r>
      <w:r>
        <w:rPr>
          <w:rFonts w:ascii="Verdana" w:cs="Verdana" w:eastAsia="Verdana" w:hAnsi="Verdana"/>
          <w:sz w:val="17"/>
          <w:szCs w:val="17"/>
          <w:color w:val="auto"/>
        </w:rPr>
        <w:t>мин</w:t>
      </w:r>
      <w:r>
        <w:rPr>
          <w:rFonts w:ascii="Verdana" w:cs="Verdana" w:eastAsia="Verdana" w:hAnsi="Verdana"/>
          <w:sz w:val="17"/>
          <w:szCs w:val="17"/>
          <w:color w:val="auto"/>
        </w:rPr>
        <w:t>/1,73</w:t>
      </w:r>
      <w:r>
        <w:rPr>
          <w:rFonts w:ascii="Verdana" w:cs="Verdana" w:eastAsia="Verdana" w:hAnsi="Verdana"/>
          <w:sz w:val="17"/>
          <w:szCs w:val="17"/>
          <w:color w:val="auto"/>
        </w:rPr>
        <w:t xml:space="preserve"> м</w:t>
      </w:r>
      <w:r>
        <w:rPr>
          <w:rFonts w:ascii="Verdana" w:cs="Verdana" w:eastAsia="Verdana" w:hAnsi="Verdana"/>
          <w:sz w:val="33"/>
          <w:szCs w:val="33"/>
          <w:color w:val="auto"/>
          <w:vertAlign w:val="superscript"/>
        </w:rPr>
        <w:t>2</w:t>
      </w:r>
      <w:r>
        <w:rPr>
          <w:rFonts w:ascii="Verdana" w:cs="Verdana" w:eastAsia="Verdana" w:hAnsi="Verdana"/>
          <w:sz w:val="17"/>
          <w:szCs w:val="17"/>
          <w:color w:val="auto"/>
        </w:rPr>
        <w:t>(</w:t>
      </w:r>
      <w:r>
        <w:rPr>
          <w:rFonts w:ascii="Verdana" w:cs="Verdana" w:eastAsia="Verdana" w:hAnsi="Verdana"/>
          <w:sz w:val="17"/>
          <w:szCs w:val="17"/>
          <w:color w:val="auto"/>
        </w:rPr>
        <w:t>ППТ</w:t>
      </w:r>
      <w:r>
        <w:rPr>
          <w:rFonts w:ascii="Verdana" w:cs="Verdana" w:eastAsia="Verdana" w:hAnsi="Verdana"/>
          <w:sz w:val="17"/>
          <w:szCs w:val="17"/>
          <w:color w:val="auto"/>
        </w:rPr>
        <w:t>)</w:t>
      </w:r>
    </w:p>
    <w:p>
      <w:pPr>
        <w:spacing w:after="0" w:line="285"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Сахарный диабет</w:t>
      </w:r>
    </w:p>
    <w:p>
      <w:pPr>
        <w:spacing w:after="0" w:line="383" w:lineRule="exact"/>
        <w:rPr>
          <w:sz w:val="20"/>
          <w:szCs w:val="20"/>
          <w:color w:val="auto"/>
        </w:rPr>
      </w:pPr>
    </w:p>
    <w:p>
      <w:pPr>
        <w:ind w:left="1160" w:right="1320"/>
        <w:spacing w:after="0" w:line="453" w:lineRule="auto"/>
        <w:rPr>
          <w:sz w:val="20"/>
          <w:szCs w:val="20"/>
          <w:color w:val="auto"/>
        </w:rPr>
      </w:pPr>
      <w:r>
        <w:rPr>
          <w:rFonts w:ascii="Verdana" w:cs="Verdana" w:eastAsia="Verdana" w:hAnsi="Verdana"/>
          <w:sz w:val="17"/>
          <w:szCs w:val="17"/>
          <w:color w:val="auto"/>
        </w:rPr>
        <w:t xml:space="preserve">Глюкоза плазмы натощак </w:t>
      </w:r>
      <w:r>
        <w:rPr>
          <w:rFonts w:ascii="Verdana" w:cs="Verdana" w:eastAsia="Verdana" w:hAnsi="Verdana"/>
          <w:sz w:val="17"/>
          <w:szCs w:val="17"/>
          <w:color w:val="auto"/>
        </w:rPr>
        <w:t>≥7,0</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при двух измерениях подряд и</w:t>
      </w:r>
      <w:r>
        <w:rPr>
          <w:rFonts w:ascii="Verdana" w:cs="Verdana" w:eastAsia="Verdana" w:hAnsi="Verdana"/>
          <w:sz w:val="17"/>
          <w:szCs w:val="17"/>
          <w:color w:val="auto"/>
        </w:rPr>
        <w:t>/</w:t>
      </w:r>
      <w:r>
        <w:rPr>
          <w:rFonts w:ascii="Verdana" w:cs="Verdana" w:eastAsia="Verdana" w:hAnsi="Verdana"/>
          <w:sz w:val="17"/>
          <w:szCs w:val="17"/>
          <w:color w:val="auto"/>
        </w:rPr>
        <w:t xml:space="preserve">или </w:t>
      </w:r>
      <w:r>
        <w:rPr>
          <w:rFonts w:ascii="Verdana" w:cs="Verdana" w:eastAsia="Verdana" w:hAnsi="Verdana"/>
          <w:sz w:val="17"/>
          <w:szCs w:val="17"/>
          <w:color w:val="auto"/>
        </w:rPr>
        <w:t xml:space="preserve">HbA1c ≥ 6,5% </w:t>
      </w:r>
      <w:r>
        <w:rPr>
          <w:rFonts w:ascii="Verdana" w:cs="Verdana" w:eastAsia="Verdana" w:hAnsi="Verdana"/>
          <w:sz w:val="17"/>
          <w:szCs w:val="17"/>
          <w:color w:val="auto"/>
        </w:rPr>
        <w:t>и</w:t>
      </w:r>
      <w:r>
        <w:rPr>
          <w:rFonts w:ascii="Verdana" w:cs="Verdana" w:eastAsia="Verdana" w:hAnsi="Verdana"/>
          <w:sz w:val="17"/>
          <w:szCs w:val="17"/>
          <w:color w:val="auto"/>
        </w:rPr>
        <w:t>/</w:t>
      </w:r>
      <w:r>
        <w:rPr>
          <w:rFonts w:ascii="Verdana" w:cs="Verdana" w:eastAsia="Verdana" w:hAnsi="Verdana"/>
          <w:sz w:val="17"/>
          <w:szCs w:val="17"/>
          <w:color w:val="auto"/>
        </w:rPr>
        <w:t>или</w:t>
      </w:r>
    </w:p>
    <w:p>
      <w:pPr>
        <w:ind w:left="840" w:right="2900" w:firstLine="85"/>
        <w:spacing w:after="0" w:line="563" w:lineRule="auto"/>
        <w:rPr>
          <w:sz w:val="20"/>
          <w:szCs w:val="20"/>
          <w:color w:val="auto"/>
        </w:rPr>
      </w:pPr>
      <w:r>
        <w:rPr>
          <w:sz w:val="1"/>
          <w:szCs w:val="1"/>
          <w:color w:val="auto"/>
        </w:rPr>
        <w:drawing>
          <wp:inline distT="0" distB="0" distL="0" distR="0">
            <wp:extent cx="63500" cy="63500"/>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404">
                      <a:extLst>
                        <a:ext uri="{28A0092B-C50C-407E-A947-70E740481C1C}"/>
                      </a:extLst>
                    </a:blip>
                    <a:srcRect/>
                    <a:stretch>
                      <a:fillRect/>
                    </a:stretch>
                  </pic:blipFill>
                  <pic:spPr bwMode="auto">
                    <a:xfrm>
                      <a:off x="0" y="0"/>
                      <a:ext cx="63500" cy="63500"/>
                    </a:xfrm>
                    <a:prstGeom prst="rect">
                      <a:avLst/>
                    </a:prstGeom>
                    <a:noFill/>
                    <a:ln>
                      <a:noFill/>
                    </a:ln>
                  </pic:spPr>
                </pic:pic>
              </a:graphicData>
            </a:graphic>
          </wp:inline>
        </w:drawing>
      </w:r>
      <w:r>
        <w:rPr>
          <w:rFonts w:ascii="Verdana" w:cs="Verdana" w:eastAsia="Verdana" w:hAnsi="Verdana"/>
          <w:sz w:val="15"/>
          <w:szCs w:val="15"/>
          <w:color w:val="auto"/>
        </w:rPr>
        <w:t xml:space="preserve"> Глюкоза плазмы после нагрузки </w:t>
      </w:r>
      <w:r>
        <w:rPr>
          <w:rFonts w:ascii="Verdana" w:cs="Verdana" w:eastAsia="Verdana" w:hAnsi="Verdana"/>
          <w:sz w:val="15"/>
          <w:szCs w:val="15"/>
          <w:color w:val="auto"/>
        </w:rPr>
        <w:t>≥11,1</w:t>
      </w:r>
      <w:r>
        <w:rPr>
          <w:rFonts w:ascii="Verdana" w:cs="Verdana" w:eastAsia="Verdana" w:hAnsi="Verdana"/>
          <w:sz w:val="15"/>
          <w:szCs w:val="15"/>
          <w:color w:val="auto"/>
        </w:rPr>
        <w:t xml:space="preserve"> ммоль</w:t>
      </w:r>
      <w:r>
        <w:rPr>
          <w:rFonts w:ascii="Verdana" w:cs="Verdana" w:eastAsia="Verdana" w:hAnsi="Verdana"/>
          <w:sz w:val="15"/>
          <w:szCs w:val="15"/>
          <w:color w:val="auto"/>
        </w:rPr>
        <w:t>/</w:t>
      </w:r>
      <w:r>
        <w:rPr>
          <w:rFonts w:ascii="Verdana" w:cs="Verdana" w:eastAsia="Verdana" w:hAnsi="Verdana"/>
          <w:sz w:val="15"/>
          <w:szCs w:val="15"/>
          <w:color w:val="auto"/>
        </w:rPr>
        <w:t>л и</w:t>
      </w:r>
      <w:r>
        <w:rPr>
          <w:rFonts w:ascii="Verdana" w:cs="Verdana" w:eastAsia="Verdana" w:hAnsi="Verdana"/>
          <w:sz w:val="15"/>
          <w:szCs w:val="15"/>
          <w:color w:val="auto"/>
        </w:rPr>
        <w:t>/</w:t>
      </w:r>
      <w:r>
        <w:rPr>
          <w:rFonts w:ascii="Verdana" w:cs="Verdana" w:eastAsia="Verdana" w:hAnsi="Verdana"/>
          <w:sz w:val="15"/>
          <w:szCs w:val="15"/>
          <w:color w:val="auto"/>
        </w:rPr>
        <w:t xml:space="preserve">или Глюкоза плазмы при случайном определении </w:t>
      </w:r>
      <w:r>
        <w:rPr>
          <w:rFonts w:ascii="Verdana" w:cs="Verdana" w:eastAsia="Verdana" w:hAnsi="Verdana"/>
          <w:sz w:val="15"/>
          <w:szCs w:val="15"/>
          <w:color w:val="auto"/>
        </w:rPr>
        <w:t>≥11,1</w:t>
      </w:r>
      <w:r>
        <w:rPr>
          <w:rFonts w:ascii="Verdana" w:cs="Verdana" w:eastAsia="Verdana" w:hAnsi="Verdana"/>
          <w:sz w:val="15"/>
          <w:szCs w:val="15"/>
          <w:color w:val="auto"/>
        </w:rPr>
        <w:t xml:space="preserve"> ммоль</w:t>
      </w:r>
      <w:r>
        <w:rPr>
          <w:rFonts w:ascii="Verdana" w:cs="Verdana" w:eastAsia="Verdana" w:hAnsi="Verdana"/>
          <w:sz w:val="15"/>
          <w:szCs w:val="15"/>
          <w:color w:val="auto"/>
        </w:rPr>
        <w:t>/</w:t>
      </w:r>
      <w:r>
        <w:rPr>
          <w:rFonts w:ascii="Verdana" w:cs="Verdana" w:eastAsia="Verdana" w:hAnsi="Verdana"/>
          <w:sz w:val="15"/>
          <w:szCs w:val="15"/>
          <w:color w:val="auto"/>
        </w:rPr>
        <w:t>л</w:t>
      </w:r>
    </w:p>
    <w:p>
      <w:pPr>
        <w:spacing w:after="0" w:line="26" w:lineRule="exact"/>
        <w:rPr>
          <w:sz w:val="20"/>
          <w:szCs w:val="20"/>
          <w:color w:val="auto"/>
        </w:rPr>
      </w:pPr>
    </w:p>
    <w:p>
      <w:pPr>
        <w:ind w:left="360" w:right="220" w:firstLine="1"/>
        <w:spacing w:after="0" w:line="334" w:lineRule="auto"/>
        <w:tabs>
          <w:tab w:leader="none" w:pos="572" w:val="left"/>
        </w:tabs>
        <w:numPr>
          <w:ilvl w:val="0"/>
          <w:numId w:val="105"/>
        </w:numPr>
        <w:rPr>
          <w:rFonts w:ascii="Arial" w:cs="Arial" w:eastAsia="Arial" w:hAnsi="Arial"/>
          <w:sz w:val="27"/>
          <w:szCs w:val="27"/>
          <w:color w:val="auto"/>
        </w:rPr>
      </w:pPr>
      <w:r>
        <w:rPr>
          <w:rFonts w:ascii="Arial" w:cs="Arial" w:eastAsia="Arial" w:hAnsi="Arial"/>
          <w:sz w:val="27"/>
          <w:szCs w:val="27"/>
          <w:color w:val="auto"/>
        </w:rPr>
        <w:t xml:space="preserve">— </w:t>
      </w:r>
      <w:r>
        <w:rPr>
          <w:rFonts w:ascii="Arial" w:cs="Arial" w:eastAsia="Arial" w:hAnsi="Arial"/>
          <w:sz w:val="27"/>
          <w:szCs w:val="27"/>
          <w:color w:val="auto"/>
        </w:rPr>
        <w:t>факторы риска</w:t>
      </w:r>
      <w:r>
        <w:rPr>
          <w:rFonts w:ascii="Arial" w:cs="Arial" w:eastAsia="Arial" w:hAnsi="Arial"/>
          <w:sz w:val="27"/>
          <w:szCs w:val="27"/>
          <w:color w:val="auto"/>
        </w:rPr>
        <w:t xml:space="preserve">, </w:t>
      </w:r>
      <w:r>
        <w:rPr>
          <w:rFonts w:ascii="Arial" w:cs="Arial" w:eastAsia="Arial" w:hAnsi="Arial"/>
          <w:sz w:val="27"/>
          <w:szCs w:val="27"/>
          <w:color w:val="auto"/>
        </w:rPr>
        <w:t>учтенные в шкале</w:t>
      </w:r>
      <w:r>
        <w:rPr>
          <w:rFonts w:ascii="Arial" w:cs="Arial" w:eastAsia="Arial" w:hAnsi="Arial"/>
          <w:sz w:val="27"/>
          <w:szCs w:val="27"/>
          <w:color w:val="auto"/>
        </w:rPr>
        <w:t xml:space="preserve"> SCORE, b — </w:t>
      </w:r>
      <w:r>
        <w:rPr>
          <w:rFonts w:ascii="Arial" w:cs="Arial" w:eastAsia="Arial" w:hAnsi="Arial"/>
          <w:sz w:val="27"/>
          <w:szCs w:val="27"/>
          <w:color w:val="auto"/>
        </w:rPr>
        <w:t>Протеинурия и</w:t>
      </w:r>
      <w:r>
        <w:rPr>
          <w:rFonts w:ascii="Arial" w:cs="Arial" w:eastAsia="Arial" w:hAnsi="Arial"/>
          <w:sz w:val="27"/>
          <w:szCs w:val="27"/>
          <w:color w:val="auto"/>
        </w:rPr>
        <w:t xml:space="preserve"> </w:t>
      </w:r>
      <w:r>
        <w:rPr>
          <w:rFonts w:ascii="Arial" w:cs="Arial" w:eastAsia="Arial" w:hAnsi="Arial"/>
          <w:sz w:val="27"/>
          <w:szCs w:val="27"/>
          <w:color w:val="auto"/>
        </w:rPr>
        <w:t>снижение СКФ являются независимыми факторами риска</w:t>
      </w:r>
      <w:r>
        <w:rPr>
          <w:rFonts w:ascii="Arial" w:cs="Arial" w:eastAsia="Arial" w:hAnsi="Arial"/>
          <w:sz w:val="27"/>
          <w:szCs w:val="27"/>
          <w:color w:val="auto"/>
        </w:rPr>
        <w:t>.</w:t>
      </w:r>
    </w:p>
    <w:p>
      <w:pPr>
        <w:spacing w:after="0" w:line="186" w:lineRule="exact"/>
        <w:rPr>
          <w:sz w:val="20"/>
          <w:szCs w:val="20"/>
          <w:color w:val="auto"/>
        </w:rPr>
      </w:pPr>
    </w:p>
    <w:p>
      <w:pPr>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3/</w:t>
      </w:r>
      <w:r>
        <w:rPr>
          <w:rFonts w:ascii="Arial" w:cs="Arial" w:eastAsia="Arial" w:hAnsi="Arial"/>
          <w:sz w:val="27"/>
          <w:szCs w:val="27"/>
          <w:b w:val="1"/>
          <w:bCs w:val="1"/>
          <w:color w:val="auto"/>
        </w:rPr>
        <w:t>Г</w:t>
      </w:r>
      <w:r>
        <w:rPr>
          <w:rFonts w:ascii="Arial" w:cs="Arial" w:eastAsia="Arial" w:hAnsi="Arial"/>
          <w:sz w:val="27"/>
          <w:szCs w:val="27"/>
          <w:b w:val="1"/>
          <w:bCs w:val="1"/>
          <w:color w:val="auto"/>
        </w:rPr>
        <w:t>3.</w:t>
      </w:r>
      <w:r>
        <w:rPr>
          <w:rFonts w:ascii="Arial" w:cs="Arial" w:eastAsia="Arial" w:hAnsi="Arial"/>
          <w:sz w:val="27"/>
          <w:szCs w:val="27"/>
          <w:b w:val="1"/>
          <w:bCs w:val="1"/>
          <w:color w:val="auto"/>
        </w:rPr>
        <w:t xml:space="preserve"> Расчет СКФ по формуле </w:t>
      </w:r>
      <w:r>
        <w:rPr>
          <w:rFonts w:ascii="Arial" w:cs="Arial" w:eastAsia="Arial" w:hAnsi="Arial"/>
          <w:sz w:val="27"/>
          <w:szCs w:val="27"/>
          <w:b w:val="1"/>
          <w:bCs w:val="1"/>
          <w:color w:val="auto"/>
        </w:rPr>
        <w:t>CKD-EpidemiologyCollaboration 2009*</w:t>
      </w:r>
    </w:p>
    <w:p>
      <w:pPr>
        <w:sectPr>
          <w:pgSz w:w="11900" w:h="16840" w:orient="portrait"/>
          <w:cols w:equalWidth="0" w:num="1">
            <w:col w:w="9020"/>
          </w:cols>
          <w:pgMar w:left="1440" w:top="263" w:right="1440" w:bottom="273" w:gutter="0" w:footer="0" w:header="0"/>
        </w:sectPr>
      </w:pPr>
    </w:p>
    <w:bookmarkStart w:id="149" w:name="page150"/>
    <w:bookmarkEnd w:id="149"/>
    <w:p>
      <w:pPr>
        <w:ind w:left="6140"/>
        <w:spacing w:after="0" w:line="181" w:lineRule="auto"/>
        <w:rPr>
          <w:sz w:val="20"/>
          <w:szCs w:val="20"/>
          <w:color w:val="auto"/>
        </w:rPr>
      </w:pPr>
      <w:r>
        <w:rPr>
          <w:rFonts w:ascii="Verdana" w:cs="Verdana" w:eastAsia="Verdana" w:hAnsi="Verdana"/>
          <w:sz w:val="26"/>
          <w:szCs w:val="26"/>
          <w:color w:val="auto"/>
          <w:vertAlign w:val="superscript"/>
        </w:rPr>
        <w:drawing>
          <wp:anchor simplePos="0" relativeHeight="251657728" behindDoc="1" locked="0" layoutInCell="0" allowOverlap="1">
            <wp:simplePos x="0" y="0"/>
            <wp:positionH relativeFrom="page">
              <wp:posOffset>1143635</wp:posOffset>
            </wp:positionH>
            <wp:positionV relativeFrom="page">
              <wp:posOffset>9525</wp:posOffset>
            </wp:positionV>
            <wp:extent cx="5365115" cy="1153160"/>
            <wp:wrapNone/>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405">
                      <a:extLst>
                        <a:ext uri="{28A0092B-C50C-407E-A947-70E740481C1C}"/>
                      </a:extLst>
                    </a:blip>
                    <a:srcRect/>
                    <a:stretch>
                      <a:fillRect/>
                    </a:stretch>
                  </pic:blipFill>
                  <pic:spPr bwMode="auto">
                    <a:xfrm>
                      <a:off x="0" y="0"/>
                      <a:ext cx="5365115" cy="1153160"/>
                    </a:xfrm>
                    <a:prstGeom prst="rect">
                      <a:avLst/>
                    </a:prstGeom>
                    <a:noFill/>
                  </pic:spPr>
                </pic:pic>
              </a:graphicData>
            </a:graphic>
          </wp:anchor>
        </w:drawing>
        <w:t>альфа</w:t>
      </w:r>
    </w:p>
    <w:p>
      <w:pPr>
        <w:spacing w:after="0" w:line="1" w:lineRule="exact"/>
        <w:rPr>
          <w:sz w:val="20"/>
          <w:szCs w:val="20"/>
          <w:color w:val="auto"/>
        </w:rPr>
      </w:pPr>
    </w:p>
    <w:p>
      <w:pPr>
        <w:ind w:left="520" w:right="380"/>
        <w:spacing w:after="0" w:line="186" w:lineRule="auto"/>
        <w:rPr>
          <w:sz w:val="20"/>
          <w:szCs w:val="20"/>
          <w:color w:val="auto"/>
        </w:rPr>
      </w:pPr>
      <w:r>
        <w:rPr>
          <w:rFonts w:ascii="Verdana" w:cs="Verdana" w:eastAsia="Verdana" w:hAnsi="Verdana"/>
          <w:sz w:val="11"/>
          <w:szCs w:val="11"/>
          <w:color w:val="auto"/>
        </w:rPr>
        <w:t xml:space="preserve">СКФ </w:t>
      </w:r>
      <w:r>
        <w:rPr>
          <w:rFonts w:ascii="Verdana" w:cs="Verdana" w:eastAsia="Verdana" w:hAnsi="Verdana"/>
          <w:sz w:val="11"/>
          <w:szCs w:val="11"/>
          <w:color w:val="auto"/>
        </w:rPr>
        <w:t>= 141 *</w:t>
      </w:r>
      <w:r>
        <w:rPr>
          <w:rFonts w:ascii="Verdana" w:cs="Verdana" w:eastAsia="Verdana" w:hAnsi="Verdana"/>
          <w:sz w:val="11"/>
          <w:szCs w:val="11"/>
          <w:color w:val="auto"/>
        </w:rPr>
        <w:t xml:space="preserve"> мин </w:t>
      </w:r>
      <w:r>
        <w:rPr>
          <w:rFonts w:ascii="Verdana" w:cs="Verdana" w:eastAsia="Verdana" w:hAnsi="Verdana"/>
          <w:sz w:val="11"/>
          <w:szCs w:val="11"/>
          <w:color w:val="auto"/>
        </w:rPr>
        <w:t>(</w:t>
      </w:r>
      <w:r>
        <w:rPr>
          <w:rFonts w:ascii="Verdana" w:cs="Verdana" w:eastAsia="Verdana" w:hAnsi="Verdana"/>
          <w:sz w:val="11"/>
          <w:szCs w:val="11"/>
          <w:color w:val="auto"/>
        </w:rPr>
        <w:t>Креатинин</w:t>
      </w:r>
      <w:r>
        <w:rPr>
          <w:rFonts w:ascii="Verdana" w:cs="Verdana" w:eastAsia="Verdana" w:hAnsi="Verdana"/>
          <w:sz w:val="16"/>
          <w:szCs w:val="16"/>
          <w:color w:val="auto"/>
          <w:vertAlign w:val="superscript"/>
        </w:rPr>
        <w:t>1.209</w:t>
      </w:r>
      <w:r>
        <w:rPr>
          <w:rFonts w:ascii="Verdana" w:cs="Verdana" w:eastAsia="Verdana" w:hAnsi="Verdana"/>
          <w:sz w:val="11"/>
          <w:szCs w:val="11"/>
          <w:color w:val="auto"/>
        </w:rPr>
        <w:t>в сыворотке</w:t>
      </w:r>
      <w:r>
        <w:rPr>
          <w:rFonts w:ascii="Verdana" w:cs="Verdana" w:eastAsia="Verdana" w:hAnsi="Verdana"/>
          <w:sz w:val="16"/>
          <w:szCs w:val="16"/>
          <w:color w:val="auto"/>
          <w:vertAlign w:val="superscript"/>
        </w:rPr>
        <w:t>Возраст</w:t>
      </w:r>
      <w:r>
        <w:rPr>
          <w:rFonts w:ascii="Verdana" w:cs="Verdana" w:eastAsia="Verdana" w:hAnsi="Verdana"/>
          <w:sz w:val="11"/>
          <w:szCs w:val="11"/>
          <w:color w:val="auto"/>
        </w:rPr>
        <w:t xml:space="preserve">крови </w:t>
      </w:r>
      <w:r>
        <w:rPr>
          <w:rFonts w:ascii="Verdana" w:cs="Verdana" w:eastAsia="Verdana" w:hAnsi="Verdana"/>
          <w:sz w:val="11"/>
          <w:szCs w:val="11"/>
          <w:color w:val="auto"/>
        </w:rPr>
        <w:t>/</w:t>
      </w:r>
      <w:r>
        <w:rPr>
          <w:rFonts w:ascii="Verdana" w:cs="Verdana" w:eastAsia="Verdana" w:hAnsi="Verdana"/>
          <w:sz w:val="11"/>
          <w:szCs w:val="11"/>
          <w:color w:val="auto"/>
        </w:rPr>
        <w:t xml:space="preserve"> каппа</w:t>
      </w:r>
      <w:r>
        <w:rPr>
          <w:rFonts w:ascii="Verdana" w:cs="Verdana" w:eastAsia="Verdana" w:hAnsi="Verdana"/>
          <w:sz w:val="11"/>
          <w:szCs w:val="11"/>
          <w:color w:val="auto"/>
        </w:rPr>
        <w:t>, 1) *</w:t>
      </w:r>
      <w:r>
        <w:rPr>
          <w:rFonts w:ascii="Verdana" w:cs="Verdana" w:eastAsia="Verdana" w:hAnsi="Verdana"/>
          <w:sz w:val="11"/>
          <w:szCs w:val="11"/>
          <w:color w:val="auto"/>
        </w:rPr>
        <w:t xml:space="preserve"> макс </w:t>
      </w:r>
      <w:r>
        <w:rPr>
          <w:rFonts w:ascii="Verdana" w:cs="Verdana" w:eastAsia="Verdana" w:hAnsi="Verdana"/>
          <w:sz w:val="11"/>
          <w:szCs w:val="11"/>
          <w:color w:val="auto"/>
        </w:rPr>
        <w:t>(</w:t>
      </w:r>
      <w:r>
        <w:rPr>
          <w:rFonts w:ascii="Verdana" w:cs="Verdana" w:eastAsia="Verdana" w:hAnsi="Verdana"/>
          <w:sz w:val="11"/>
          <w:szCs w:val="11"/>
          <w:color w:val="auto"/>
        </w:rPr>
        <w:t>Креатинин в сыворотке крови</w:t>
      </w:r>
      <w:r>
        <w:rPr>
          <w:rFonts w:ascii="Verdana" w:cs="Verdana" w:eastAsia="Verdana" w:hAnsi="Verdana"/>
          <w:sz w:val="11"/>
          <w:szCs w:val="11"/>
          <w:color w:val="auto"/>
        </w:rPr>
        <w:t>/</w:t>
      </w:r>
      <w:r>
        <w:rPr>
          <w:rFonts w:ascii="Verdana" w:cs="Verdana" w:eastAsia="Verdana" w:hAnsi="Verdana"/>
          <w:sz w:val="11"/>
          <w:szCs w:val="11"/>
          <w:color w:val="auto"/>
        </w:rPr>
        <w:t xml:space="preserve"> каппа</w:t>
      </w:r>
      <w:r>
        <w:rPr>
          <w:rFonts w:ascii="Verdana" w:cs="Verdana" w:eastAsia="Verdana" w:hAnsi="Verdana"/>
          <w:sz w:val="11"/>
          <w:szCs w:val="11"/>
          <w:color w:val="auto"/>
        </w:rPr>
        <w:t>, 1) * 0.993 *</w:t>
      </w:r>
      <w:r>
        <w:rPr>
          <w:rFonts w:ascii="Verdana" w:cs="Verdana" w:eastAsia="Verdana" w:hAnsi="Verdana"/>
          <w:sz w:val="11"/>
          <w:szCs w:val="11"/>
          <w:color w:val="auto"/>
        </w:rPr>
        <w:t xml:space="preserve"> Пол </w:t>
      </w:r>
      <w:r>
        <w:rPr>
          <w:rFonts w:ascii="Verdana" w:cs="Verdana" w:eastAsia="Verdana" w:hAnsi="Verdana"/>
          <w:sz w:val="11"/>
          <w:szCs w:val="11"/>
          <w:color w:val="auto"/>
        </w:rPr>
        <w:t>*</w:t>
      </w:r>
      <w:r>
        <w:rPr>
          <w:rFonts w:ascii="Verdana" w:cs="Verdana" w:eastAsia="Verdana" w:hAnsi="Verdana"/>
          <w:sz w:val="11"/>
          <w:szCs w:val="11"/>
          <w:color w:val="auto"/>
        </w:rPr>
        <w:t xml:space="preserve"> Раса</w:t>
      </w:r>
      <w:r>
        <w:rPr>
          <w:rFonts w:ascii="Verdana" w:cs="Verdana" w:eastAsia="Verdana" w:hAnsi="Verdana"/>
          <w:sz w:val="11"/>
          <w:szCs w:val="11"/>
          <w:color w:val="auto"/>
        </w:rPr>
        <w:t>,</w:t>
      </w:r>
    </w:p>
    <w:p>
      <w:pPr>
        <w:ind w:left="520"/>
        <w:spacing w:after="0" w:line="192" w:lineRule="auto"/>
        <w:rPr>
          <w:sz w:val="20"/>
          <w:szCs w:val="20"/>
          <w:color w:val="auto"/>
        </w:rPr>
      </w:pPr>
      <w:r>
        <w:rPr>
          <w:rFonts w:ascii="Verdana" w:cs="Verdana" w:eastAsia="Verdana" w:hAnsi="Verdana"/>
          <w:sz w:val="17"/>
          <w:szCs w:val="17"/>
          <w:color w:val="auto"/>
        </w:rPr>
        <w:t>для женщин используются следующие значения</w:t>
      </w:r>
      <w:r>
        <w:rPr>
          <w:rFonts w:ascii="Verdana" w:cs="Verdana" w:eastAsia="Verdana" w:hAnsi="Verdana"/>
          <w:sz w:val="17"/>
          <w:szCs w:val="17"/>
          <w:color w:val="auto"/>
        </w:rPr>
        <w:t>:</w:t>
      </w:r>
      <w:r>
        <w:rPr>
          <w:rFonts w:ascii="Verdana" w:cs="Verdana" w:eastAsia="Verdana" w:hAnsi="Verdana"/>
          <w:sz w:val="17"/>
          <w:szCs w:val="17"/>
          <w:color w:val="auto"/>
        </w:rPr>
        <w:t xml:space="preserve"> пол </w:t>
      </w:r>
      <w:r>
        <w:rPr>
          <w:rFonts w:ascii="Verdana" w:cs="Verdana" w:eastAsia="Verdana" w:hAnsi="Verdana"/>
          <w:sz w:val="17"/>
          <w:szCs w:val="17"/>
          <w:color w:val="auto"/>
        </w:rPr>
        <w:t>= 1,018;</w:t>
      </w:r>
      <w:r>
        <w:rPr>
          <w:rFonts w:ascii="Verdana" w:cs="Verdana" w:eastAsia="Verdana" w:hAnsi="Verdana"/>
          <w:sz w:val="17"/>
          <w:szCs w:val="17"/>
          <w:color w:val="auto"/>
        </w:rPr>
        <w:t xml:space="preserve"> альфа </w:t>
      </w:r>
      <w:r>
        <w:rPr>
          <w:rFonts w:ascii="Verdana" w:cs="Verdana" w:eastAsia="Verdana" w:hAnsi="Verdana"/>
          <w:sz w:val="17"/>
          <w:szCs w:val="17"/>
          <w:color w:val="auto"/>
        </w:rPr>
        <w:t>= — 0,329;</w:t>
      </w:r>
      <w:r>
        <w:rPr>
          <w:rFonts w:ascii="Verdana" w:cs="Verdana" w:eastAsia="Verdana" w:hAnsi="Verdana"/>
          <w:sz w:val="17"/>
          <w:szCs w:val="17"/>
          <w:color w:val="auto"/>
        </w:rPr>
        <w:t xml:space="preserve"> каппа </w:t>
      </w:r>
      <w:r>
        <w:rPr>
          <w:rFonts w:ascii="Verdana" w:cs="Verdana" w:eastAsia="Verdana" w:hAnsi="Verdana"/>
          <w:sz w:val="17"/>
          <w:szCs w:val="17"/>
          <w:color w:val="auto"/>
        </w:rPr>
        <w:t>=</w:t>
      </w:r>
    </w:p>
    <w:p>
      <w:pPr>
        <w:ind w:left="520"/>
        <w:spacing w:after="0" w:line="192" w:lineRule="auto"/>
        <w:rPr>
          <w:sz w:val="20"/>
          <w:szCs w:val="20"/>
          <w:color w:val="auto"/>
        </w:rPr>
      </w:pPr>
      <w:r>
        <w:rPr>
          <w:rFonts w:ascii="Verdana" w:cs="Verdana" w:eastAsia="Verdana" w:hAnsi="Verdana"/>
          <w:sz w:val="17"/>
          <w:szCs w:val="17"/>
          <w:color w:val="auto"/>
        </w:rPr>
        <w:t>0,7;</w:t>
      </w:r>
    </w:p>
    <w:p>
      <w:pPr>
        <w:ind w:left="520"/>
        <w:spacing w:after="0" w:line="192" w:lineRule="auto"/>
        <w:rPr>
          <w:sz w:val="20"/>
          <w:szCs w:val="20"/>
          <w:color w:val="auto"/>
        </w:rPr>
      </w:pPr>
      <w:r>
        <w:rPr>
          <w:rFonts w:ascii="Verdana" w:cs="Verdana" w:eastAsia="Verdana" w:hAnsi="Verdana"/>
          <w:sz w:val="17"/>
          <w:szCs w:val="17"/>
          <w:color w:val="auto"/>
        </w:rPr>
        <w:t>для мужчин используются следующие значения</w:t>
      </w:r>
      <w:r>
        <w:rPr>
          <w:rFonts w:ascii="Verdana" w:cs="Verdana" w:eastAsia="Verdana" w:hAnsi="Verdana"/>
          <w:sz w:val="17"/>
          <w:szCs w:val="17"/>
          <w:color w:val="auto"/>
        </w:rPr>
        <w:t>:</w:t>
      </w:r>
      <w:r>
        <w:rPr>
          <w:rFonts w:ascii="Verdana" w:cs="Verdana" w:eastAsia="Verdana" w:hAnsi="Verdana"/>
          <w:sz w:val="17"/>
          <w:szCs w:val="17"/>
          <w:color w:val="auto"/>
        </w:rPr>
        <w:t xml:space="preserve"> пол </w:t>
      </w:r>
      <w:r>
        <w:rPr>
          <w:rFonts w:ascii="Verdana" w:cs="Verdana" w:eastAsia="Verdana" w:hAnsi="Verdana"/>
          <w:sz w:val="17"/>
          <w:szCs w:val="17"/>
          <w:color w:val="auto"/>
        </w:rPr>
        <w:t>= 1;</w:t>
      </w:r>
      <w:r>
        <w:rPr>
          <w:rFonts w:ascii="Verdana" w:cs="Verdana" w:eastAsia="Verdana" w:hAnsi="Verdana"/>
          <w:sz w:val="17"/>
          <w:szCs w:val="17"/>
          <w:color w:val="auto"/>
        </w:rPr>
        <w:t xml:space="preserve"> альфа </w:t>
      </w:r>
      <w:r>
        <w:rPr>
          <w:rFonts w:ascii="Verdana" w:cs="Verdana" w:eastAsia="Verdana" w:hAnsi="Verdana"/>
          <w:sz w:val="17"/>
          <w:szCs w:val="17"/>
          <w:color w:val="auto"/>
        </w:rPr>
        <w:t>= — 0,411;</w:t>
      </w:r>
      <w:r>
        <w:rPr>
          <w:rFonts w:ascii="Verdana" w:cs="Verdana" w:eastAsia="Verdana" w:hAnsi="Verdana"/>
          <w:sz w:val="17"/>
          <w:szCs w:val="17"/>
          <w:color w:val="auto"/>
        </w:rPr>
        <w:t xml:space="preserve"> каппа </w:t>
      </w:r>
      <w:r>
        <w:rPr>
          <w:rFonts w:ascii="Verdana" w:cs="Verdana" w:eastAsia="Verdana" w:hAnsi="Verdana"/>
          <w:sz w:val="17"/>
          <w:szCs w:val="17"/>
          <w:color w:val="auto"/>
        </w:rPr>
        <w:t>= 0,9;</w:t>
      </w:r>
    </w:p>
    <w:p>
      <w:pPr>
        <w:jc w:val="both"/>
        <w:ind w:left="520" w:right="380"/>
        <w:spacing w:after="0" w:line="205" w:lineRule="auto"/>
        <w:rPr>
          <w:sz w:val="20"/>
          <w:szCs w:val="20"/>
          <w:color w:val="auto"/>
        </w:rPr>
      </w:pPr>
      <w:r>
        <w:rPr>
          <w:rFonts w:ascii="Verdana" w:cs="Verdana" w:eastAsia="Verdana" w:hAnsi="Verdana"/>
          <w:sz w:val="17"/>
          <w:szCs w:val="17"/>
          <w:color w:val="auto"/>
        </w:rPr>
        <w:t>дляпредставителейнегройднойрасы</w:t>
      </w:r>
      <w:r>
        <w:rPr>
          <w:rFonts w:ascii="Verdana" w:cs="Verdana" w:eastAsia="Verdana" w:hAnsi="Verdana"/>
          <w:sz w:val="17"/>
          <w:szCs w:val="17"/>
          <w:color w:val="auto"/>
        </w:rPr>
        <w:t>:</w:t>
      </w:r>
      <w:r>
        <w:rPr>
          <w:rFonts w:ascii="Verdana" w:cs="Verdana" w:eastAsia="Verdana" w:hAnsi="Verdana"/>
          <w:sz w:val="17"/>
          <w:szCs w:val="17"/>
          <w:color w:val="auto"/>
        </w:rPr>
        <w:t xml:space="preserve"> коэффициент </w:t>
      </w:r>
      <w:r>
        <w:rPr>
          <w:rFonts w:ascii="Verdana" w:cs="Verdana" w:eastAsia="Verdana" w:hAnsi="Verdana"/>
          <w:sz w:val="17"/>
          <w:szCs w:val="17"/>
          <w:color w:val="auto"/>
        </w:rPr>
        <w:t>«</w:t>
      </w:r>
      <w:r>
        <w:rPr>
          <w:rFonts w:ascii="Verdana" w:cs="Verdana" w:eastAsia="Verdana" w:hAnsi="Verdana"/>
          <w:sz w:val="17"/>
          <w:szCs w:val="17"/>
          <w:color w:val="auto"/>
        </w:rPr>
        <w:t>раса</w:t>
      </w:r>
      <w:r>
        <w:rPr>
          <w:rFonts w:ascii="Verdana" w:cs="Verdana" w:eastAsia="Verdana" w:hAnsi="Verdana"/>
          <w:sz w:val="17"/>
          <w:szCs w:val="17"/>
          <w:color w:val="auto"/>
        </w:rPr>
        <w:t>»</w:t>
      </w:r>
      <w:r>
        <w:rPr>
          <w:rFonts w:ascii="Verdana" w:cs="Verdana" w:eastAsia="Verdana" w:hAnsi="Verdana"/>
          <w:sz w:val="17"/>
          <w:szCs w:val="17"/>
          <w:color w:val="auto"/>
        </w:rPr>
        <w:t xml:space="preserve"> равен</w:t>
      </w:r>
      <w:r>
        <w:rPr>
          <w:rFonts w:ascii="Verdana" w:cs="Verdana" w:eastAsia="Verdana" w:hAnsi="Verdana"/>
          <w:sz w:val="17"/>
          <w:szCs w:val="17"/>
          <w:color w:val="auto"/>
        </w:rPr>
        <w:t>1,159.[157, Levey AS,</w:t>
      </w:r>
      <w:r>
        <w:rPr>
          <w:rFonts w:ascii="Verdana" w:cs="Verdana" w:eastAsia="Verdana" w:hAnsi="Verdana"/>
          <w:sz w:val="17"/>
          <w:szCs w:val="17"/>
          <w:color w:val="auto"/>
        </w:rPr>
        <w:t xml:space="preserve"> </w:t>
      </w:r>
      <w:r>
        <w:rPr>
          <w:rFonts w:ascii="Verdana" w:cs="Verdana" w:eastAsia="Verdana" w:hAnsi="Verdana"/>
          <w:sz w:val="17"/>
          <w:szCs w:val="17"/>
          <w:color w:val="auto"/>
        </w:rPr>
        <w:t>Stevens LA.Estimating GFR using the CKD Epidemiology Collaboration (CKD-EPI) creatinine equation: more accurate GFR estimates, lower CKD prevalence estimates, and better risk predictions. Am J Kidney Dis. 2010;55(4):622–627.].</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5" w:lineRule="exact"/>
        <w:rPr>
          <w:sz w:val="20"/>
          <w:szCs w:val="20"/>
          <w:color w:val="auto"/>
        </w:rPr>
      </w:pPr>
    </w:p>
    <w:p>
      <w:pPr>
        <w:ind w:left="680" w:right="220"/>
        <w:spacing w:after="0" w:line="317" w:lineRule="auto"/>
        <w:rPr>
          <w:rFonts w:ascii="Arial" w:cs="Arial" w:eastAsia="Arial" w:hAnsi="Arial"/>
          <w:sz w:val="27"/>
          <w:szCs w:val="27"/>
          <w:color w:val="auto"/>
        </w:rPr>
      </w:pPr>
      <w:r>
        <w:rPr>
          <w:rFonts w:ascii="Arial" w:cs="Arial" w:eastAsia="Arial" w:hAnsi="Arial"/>
          <w:sz w:val="27"/>
          <w:szCs w:val="27"/>
          <w:color w:val="auto"/>
        </w:rPr>
        <w:t>Калькулятор СКФ</w:t>
      </w:r>
      <w:r>
        <w:rPr>
          <w:rFonts w:ascii="Arial" w:cs="Arial" w:eastAsia="Arial" w:hAnsi="Arial"/>
          <w:sz w:val="27"/>
          <w:szCs w:val="27"/>
          <w:color w:val="auto"/>
        </w:rPr>
        <w:t>:</w:t>
      </w:r>
      <w:r>
        <w:rPr>
          <w:rFonts w:ascii="Arial" w:cs="Arial" w:eastAsia="Arial" w:hAnsi="Arial"/>
          <w:sz w:val="27"/>
          <w:szCs w:val="27"/>
          <w:color w:val="auto"/>
        </w:rPr>
        <w:t xml:space="preserve"> </w:t>
      </w:r>
      <w:hyperlink r:id="rId406">
        <w:r>
          <w:rPr>
            <w:rFonts w:ascii="Arial" w:cs="Arial" w:eastAsia="Arial" w:hAnsi="Arial"/>
            <w:sz w:val="27"/>
            <w:szCs w:val="27"/>
            <w:color w:val="auto"/>
          </w:rPr>
          <w:t>https://www.kidney.org/professionals/KDOQI/gfr_calculator</w:t>
        </w:r>
      </w:hyperlink>
      <w:r>
        <w:rPr>
          <w:rFonts w:ascii="Arial" w:cs="Arial" w:eastAsia="Arial" w:hAnsi="Arial"/>
          <w:sz w:val="27"/>
          <w:szCs w:val="27"/>
          <w:color w:val="auto"/>
        </w:rPr>
        <w:t xml:space="preserve"> </w:t>
      </w:r>
      <w:hyperlink r:id="rId406">
        <w:r>
          <w:rPr>
            <w:rFonts w:ascii="Arial" w:cs="Arial" w:eastAsia="Arial" w:hAnsi="Arial"/>
            <w:sz w:val="27"/>
            <w:szCs w:val="27"/>
            <w:color w:val="auto"/>
          </w:rPr>
          <w:t>(https://www.kidney.org/professionals/KDOQI/gfr_calculator)</w:t>
        </w:r>
      </w:hyperlink>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235585</wp:posOffset>
            </wp:positionH>
            <wp:positionV relativeFrom="paragraph">
              <wp:posOffset>-701040</wp:posOffset>
            </wp:positionV>
            <wp:extent cx="82550" cy="82550"/>
            <wp:wrapNone/>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407">
                      <a:extLst>
                        <a:ext uri="{28A0092B-C50C-407E-A947-70E740481C1C}"/>
                      </a:extLst>
                    </a:blip>
                    <a:srcRect/>
                    <a:stretch>
                      <a:fillRect/>
                    </a:stretch>
                  </pic:blipFill>
                  <pic:spPr bwMode="auto">
                    <a:xfrm>
                      <a:off x="0" y="0"/>
                      <a:ext cx="82550" cy="82550"/>
                    </a:xfrm>
                    <a:prstGeom prst="rect">
                      <a:avLst/>
                    </a:prstGeom>
                    <a:noFill/>
                  </pic:spPr>
                </pic:pic>
              </a:graphicData>
            </a:graphic>
          </wp:anchor>
        </w:drawing>
      </w:r>
    </w:p>
    <w:p>
      <w:pPr>
        <w:spacing w:after="0" w:line="190" w:lineRule="exact"/>
        <w:rPr>
          <w:sz w:val="20"/>
          <w:szCs w:val="20"/>
          <w:color w:val="auto"/>
        </w:rPr>
      </w:pPr>
    </w:p>
    <w:p>
      <w:pPr>
        <w:ind w:left="500"/>
        <w:spacing w:after="0"/>
        <w:rPr>
          <w:rFonts w:ascii="Arial" w:cs="Arial" w:eastAsia="Arial" w:hAnsi="Arial"/>
          <w:sz w:val="27"/>
          <w:szCs w:val="27"/>
          <w:color w:val="auto"/>
        </w:rPr>
      </w:pPr>
      <w:hyperlink r:id="rId406">
        <w:r>
          <w:rPr>
            <w:rFonts w:ascii="Arial" w:cs="Arial" w:eastAsia="Arial" w:hAnsi="Arial"/>
            <w:sz w:val="27"/>
            <w:szCs w:val="27"/>
            <w:color w:val="auto"/>
          </w:rPr>
          <w:t>(https://www.kidney.org/professionals/KDOQI/gfr_calculator)</w:t>
        </w:r>
      </w:hyperlink>
    </w:p>
    <w:p>
      <w:pPr>
        <w:spacing w:after="0" w:line="350"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4/</w:t>
      </w:r>
      <w:r>
        <w:rPr>
          <w:rFonts w:ascii="Arial" w:cs="Arial" w:eastAsia="Arial" w:hAnsi="Arial"/>
          <w:sz w:val="27"/>
          <w:szCs w:val="27"/>
          <w:b w:val="1"/>
          <w:bCs w:val="1"/>
          <w:color w:val="auto"/>
        </w:rPr>
        <w:t>Г</w:t>
      </w:r>
      <w:r>
        <w:rPr>
          <w:rFonts w:ascii="Arial" w:cs="Arial" w:eastAsia="Arial" w:hAnsi="Arial"/>
          <w:sz w:val="27"/>
          <w:szCs w:val="27"/>
          <w:b w:val="1"/>
          <w:bCs w:val="1"/>
          <w:color w:val="auto"/>
        </w:rPr>
        <w:t>3. CHA2DS2-VAS</w:t>
      </w:r>
      <w:r>
        <w:rPr>
          <w:rFonts w:ascii="Arial" w:cs="Arial" w:eastAsia="Arial" w:hAnsi="Arial"/>
          <w:sz w:val="27"/>
          <w:szCs w:val="27"/>
          <w:b w:val="1"/>
          <w:bCs w:val="1"/>
          <w:color w:val="auto"/>
        </w:rPr>
        <w:t>с</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Шкала оценки риска тромбоэмболических осложнений у пациентов с фибрилляцией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трепетанием предсердий</w:t>
      </w:r>
    </w:p>
    <w:p>
      <w:pPr>
        <w:spacing w:after="0" w:line="203"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Название на русском языке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CHA2DS2-VAS</w:t>
      </w:r>
      <w:r>
        <w:rPr>
          <w:rFonts w:ascii="Arial" w:cs="Arial" w:eastAsia="Arial" w:hAnsi="Arial"/>
          <w:sz w:val="27"/>
          <w:szCs w:val="27"/>
          <w:color w:val="auto"/>
        </w:rPr>
        <w:t>с</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Шкала оценки</w:t>
      </w:r>
      <w:r>
        <w:rPr>
          <w:rFonts w:ascii="Arial" w:cs="Arial" w:eastAsia="Arial" w:hAnsi="Arial"/>
          <w:sz w:val="27"/>
          <w:szCs w:val="27"/>
          <w:b w:val="1"/>
          <w:bCs w:val="1"/>
          <w:color w:val="auto"/>
        </w:rPr>
        <w:t xml:space="preserve"> </w:t>
      </w:r>
      <w:r>
        <w:rPr>
          <w:rFonts w:ascii="Arial" w:cs="Arial" w:eastAsia="Arial" w:hAnsi="Arial"/>
          <w:sz w:val="27"/>
          <w:szCs w:val="27"/>
          <w:color w:val="auto"/>
        </w:rPr>
        <w:t>риска тромбоэмболических осложнений у пациентов с фибрилляцией</w:t>
      </w:r>
      <w:r>
        <w:rPr>
          <w:rFonts w:ascii="Arial" w:cs="Arial" w:eastAsia="Arial" w:hAnsi="Arial"/>
          <w:sz w:val="27"/>
          <w:szCs w:val="27"/>
          <w:color w:val="auto"/>
        </w:rPr>
        <w:t>/</w:t>
      </w:r>
      <w:r>
        <w:rPr>
          <w:rFonts w:ascii="Arial" w:cs="Arial" w:eastAsia="Arial" w:hAnsi="Arial"/>
          <w:sz w:val="27"/>
          <w:szCs w:val="27"/>
          <w:color w:val="auto"/>
        </w:rPr>
        <w:t>трепетанием предсердий</w:t>
      </w:r>
    </w:p>
    <w:p>
      <w:pPr>
        <w:spacing w:after="0" w:line="21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Оригинальное название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если есть</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CHA2DS2-VAS</w:t>
      </w:r>
      <w:r>
        <w:rPr>
          <w:rFonts w:ascii="Arial" w:cs="Arial" w:eastAsia="Arial" w:hAnsi="Arial"/>
          <w:sz w:val="27"/>
          <w:szCs w:val="27"/>
          <w:color w:val="auto"/>
        </w:rPr>
        <w:t>с</w:t>
      </w:r>
    </w:p>
    <w:p>
      <w:pPr>
        <w:spacing w:after="0" w:line="350"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b w:val="1"/>
          <w:bCs w:val="1"/>
          <w:color w:val="auto"/>
        </w:rPr>
        <w:t xml:space="preserve">Источник </w:t>
      </w:r>
      <w:r>
        <w:rPr>
          <w:rFonts w:ascii="Arial" w:cs="Arial" w:eastAsia="Arial" w:hAnsi="Arial"/>
          <w:sz w:val="27"/>
          <w:szCs w:val="27"/>
          <w:b w:val="1"/>
          <w:bCs w:val="1"/>
          <w:color w:val="auto"/>
        </w:rPr>
        <w:t>(</w:t>
      </w:r>
      <w:r>
        <w:rPr>
          <w:rFonts w:ascii="Arial" w:cs="Arial" w:eastAsia="Arial" w:hAnsi="Arial"/>
          <w:sz w:val="27"/>
          <w:szCs w:val="27"/>
          <w:b w:val="1"/>
          <w:bCs w:val="1"/>
          <w:color w:val="auto"/>
        </w:rPr>
        <w:t>официальный сайт разработчиков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публикация с валидацией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Olesen, Jonas Bjerring, et al. Validation of risk</w:t>
      </w:r>
      <w:r>
        <w:rPr>
          <w:rFonts w:ascii="Arial" w:cs="Arial" w:eastAsia="Arial" w:hAnsi="Arial"/>
          <w:sz w:val="27"/>
          <w:szCs w:val="27"/>
          <w:b w:val="1"/>
          <w:bCs w:val="1"/>
          <w:color w:val="auto"/>
        </w:rPr>
        <w:t xml:space="preserve"> </w:t>
      </w:r>
      <w:r>
        <w:rPr>
          <w:rFonts w:ascii="Arial" w:cs="Arial" w:eastAsia="Arial" w:hAnsi="Arial"/>
          <w:sz w:val="27"/>
          <w:szCs w:val="27"/>
          <w:color w:val="auto"/>
        </w:rPr>
        <w:t>stratification schemes for predicting stroke and thromboembolism in patients with atrial fibrillation: nationwide cohort study. Bmj 342 (2011): d124.</w:t>
      </w:r>
    </w:p>
    <w:p>
      <w:pPr>
        <w:spacing w:after="0" w:line="222"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Тип </w:t>
      </w:r>
      <w:r>
        <w:rPr>
          <w:rFonts w:ascii="Arial" w:cs="Arial" w:eastAsia="Arial" w:hAnsi="Arial"/>
          <w:sz w:val="27"/>
          <w:szCs w:val="27"/>
          <w:b w:val="1"/>
          <w:bCs w:val="1"/>
          <w:color w:val="auto"/>
        </w:rPr>
        <w:t>(</w:t>
      </w:r>
      <w:r>
        <w:rPr>
          <w:rFonts w:ascii="Arial" w:cs="Arial" w:eastAsia="Arial" w:hAnsi="Arial"/>
          <w:sz w:val="27"/>
          <w:szCs w:val="27"/>
          <w:b w:val="1"/>
          <w:bCs w:val="1"/>
          <w:color w:val="auto"/>
        </w:rPr>
        <w:t>подчеркнуть</w:t>
      </w:r>
      <w:r>
        <w:rPr>
          <w:rFonts w:ascii="Arial" w:cs="Arial" w:eastAsia="Arial" w:hAnsi="Arial"/>
          <w:sz w:val="27"/>
          <w:szCs w:val="27"/>
          <w:b w:val="1"/>
          <w:bCs w:val="1"/>
          <w:color w:val="auto"/>
        </w:rPr>
        <w:t>):</w:t>
      </w:r>
    </w:p>
    <w:p>
      <w:pPr>
        <w:spacing w:after="0" w:line="350"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u w:val="single" w:color="auto"/>
          <w:color w:val="auto"/>
        </w:rPr>
        <w:t>шкала оценки</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индекс</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вопросник</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другое</w:t>
      </w:r>
      <w:r>
        <w:rPr>
          <w:rFonts w:ascii="Arial" w:cs="Arial" w:eastAsia="Arial" w:hAnsi="Arial"/>
          <w:sz w:val="27"/>
          <w:szCs w:val="27"/>
          <w:color w:val="auto"/>
        </w:rPr>
        <w:t xml:space="preserve"> (</w:t>
      </w:r>
      <w:r>
        <w:rPr>
          <w:rFonts w:ascii="Arial" w:cs="Arial" w:eastAsia="Arial" w:hAnsi="Arial"/>
          <w:sz w:val="27"/>
          <w:szCs w:val="27"/>
          <w:color w:val="auto"/>
        </w:rPr>
        <w:t>уточнить</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b w:val="1"/>
          <w:bCs w:val="1"/>
          <w:color w:val="auto"/>
        </w:rPr>
        <w:t>Назначение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клинический инструмент для прогнозирования</w:t>
      </w:r>
      <w:r>
        <w:rPr>
          <w:rFonts w:ascii="Arial" w:cs="Arial" w:eastAsia="Arial" w:hAnsi="Arial"/>
          <w:sz w:val="27"/>
          <w:szCs w:val="27"/>
          <w:b w:val="1"/>
          <w:bCs w:val="1"/>
          <w:color w:val="auto"/>
        </w:rPr>
        <w:t xml:space="preserve"> </w:t>
      </w:r>
      <w:r>
        <w:rPr>
          <w:rFonts w:ascii="Arial" w:cs="Arial" w:eastAsia="Arial" w:hAnsi="Arial"/>
          <w:sz w:val="27"/>
          <w:szCs w:val="27"/>
          <w:color w:val="auto"/>
        </w:rPr>
        <w:t>риска ишемического инсульта и системного тромбоэмболизма при фибрилляции предсердий</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71"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Содержание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шаблон</w:t>
      </w:r>
      <w:r>
        <w:rPr>
          <w:rFonts w:ascii="Arial" w:cs="Arial" w:eastAsia="Arial" w:hAnsi="Arial"/>
          <w:sz w:val="27"/>
          <w:szCs w:val="27"/>
          <w:b w:val="1"/>
          <w:bCs w:val="1"/>
          <w:color w:val="auto"/>
        </w:rPr>
        <w:t>):</w:t>
      </w:r>
    </w:p>
    <w:p>
      <w:pPr>
        <w:sectPr>
          <w:pgSz w:w="11900" w:h="16840" w:orient="portrait"/>
          <w:cols w:equalWidth="0" w:num="1">
            <w:col w:w="9020"/>
          </w:cols>
          <w:pgMar w:left="1440" w:top="0" w:right="1440" w:bottom="189" w:gutter="0" w:footer="0" w:header="0"/>
        </w:sectPr>
      </w:pPr>
    </w:p>
    <w:bookmarkStart w:id="150" w:name="page151"/>
    <w:bookmarkEnd w:id="150"/>
    <w:tbl>
      <w:tblPr>
        <w:tblLayout w:type="fixed"/>
        <w:tblInd w:w="370" w:type="dxa"/>
        <w:tblCellMar>
          <w:top w:w="0" w:type="dxa"/>
          <w:left w:w="0" w:type="dxa"/>
          <w:bottom w:w="0" w:type="dxa"/>
          <w:right w:w="0" w:type="dxa"/>
        </w:tblCellMar>
      </w:tblPr>
      <w:tr>
        <w:trPr>
          <w:trHeight w:val="343"/>
        </w:trPr>
        <w:tc>
          <w:tcPr>
            <w:tcW w:w="72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Фактор риска</w:t>
            </w:r>
          </w:p>
        </w:tc>
        <w:tc>
          <w:tcPr>
            <w:tcW w:w="126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Баллы</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295"/>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Инсульт</w:t>
            </w:r>
            <w:r>
              <w:rPr>
                <w:rFonts w:ascii="Verdana" w:cs="Verdana" w:eastAsia="Verdana" w:hAnsi="Verdana"/>
                <w:sz w:val="17"/>
                <w:szCs w:val="17"/>
                <w:color w:val="auto"/>
              </w:rPr>
              <w:t>,</w:t>
            </w:r>
            <w:r>
              <w:rPr>
                <w:rFonts w:ascii="Verdana" w:cs="Verdana" w:eastAsia="Verdana" w:hAnsi="Verdana"/>
                <w:sz w:val="17"/>
                <w:szCs w:val="17"/>
                <w:color w:val="auto"/>
              </w:rPr>
              <w:t xml:space="preserve"> транзиторная ишемическая атака или артериальная тромбоэмболия</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2</w:t>
            </w:r>
          </w:p>
        </w:tc>
      </w:tr>
      <w:tr>
        <w:trPr>
          <w:trHeight w:val="220"/>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в анамнезе</w:t>
            </w:r>
          </w:p>
        </w:tc>
        <w:tc>
          <w:tcPr>
            <w:tcW w:w="1260" w:type="dxa"/>
            <w:vAlign w:val="bottom"/>
            <w:tcBorders>
              <w:right w:val="single" w:sz="8" w:color="auto"/>
            </w:tcBorders>
          </w:tcPr>
          <w:p>
            <w:pPr>
              <w:spacing w:after="0"/>
              <w:rPr>
                <w:sz w:val="19"/>
                <w:szCs w:val="19"/>
                <w:color w:val="auto"/>
              </w:rPr>
            </w:pPr>
          </w:p>
        </w:tc>
      </w:tr>
      <w:tr>
        <w:trPr>
          <w:trHeight w:val="110"/>
        </w:trPr>
        <w:tc>
          <w:tcPr>
            <w:tcW w:w="7200" w:type="dxa"/>
            <w:vAlign w:val="bottom"/>
            <w:tcBorders>
              <w:left w:val="single" w:sz="8" w:color="auto"/>
              <w:bottom w:val="single" w:sz="8" w:color="auto"/>
              <w:right w:val="single" w:sz="8" w:color="auto"/>
            </w:tcBorders>
          </w:tcPr>
          <w:p>
            <w:pPr>
              <w:spacing w:after="0"/>
              <w:rPr>
                <w:sz w:val="9"/>
                <w:szCs w:val="9"/>
                <w:color w:val="auto"/>
              </w:rPr>
            </w:pPr>
          </w:p>
        </w:tc>
        <w:tc>
          <w:tcPr>
            <w:tcW w:w="1260" w:type="dxa"/>
            <w:vAlign w:val="bottom"/>
            <w:tcBorders>
              <w:bottom w:val="single" w:sz="8" w:color="auto"/>
              <w:right w:val="single" w:sz="8" w:color="auto"/>
            </w:tcBorders>
          </w:tcPr>
          <w:p>
            <w:pPr>
              <w:spacing w:after="0"/>
              <w:rPr>
                <w:sz w:val="9"/>
                <w:szCs w:val="9"/>
                <w:color w:val="auto"/>
              </w:rPr>
            </w:pPr>
          </w:p>
        </w:tc>
      </w:tr>
      <w:tr>
        <w:trPr>
          <w:trHeight w:val="343"/>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Возраст </w:t>
            </w:r>
            <w:r>
              <w:rPr>
                <w:rFonts w:ascii="Verdana" w:cs="Verdana" w:eastAsia="Verdana" w:hAnsi="Verdana"/>
                <w:sz w:val="17"/>
                <w:szCs w:val="17"/>
                <w:color w:val="auto"/>
              </w:rPr>
              <w:t>≥75</w:t>
            </w:r>
            <w:r>
              <w:rPr>
                <w:rFonts w:ascii="Verdana" w:cs="Verdana" w:eastAsia="Verdana" w:hAnsi="Verdana"/>
                <w:sz w:val="17"/>
                <w:szCs w:val="17"/>
                <w:color w:val="auto"/>
              </w:rPr>
              <w:t xml:space="preserve"> лет</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2</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343"/>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Артериальная гипертензия</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343"/>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Сахарный диабет</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295"/>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Застойная сердечная недостаточность</w:t>
            </w:r>
            <w:r>
              <w:rPr>
                <w:rFonts w:ascii="Verdana" w:cs="Verdana" w:eastAsia="Verdana" w:hAnsi="Verdana"/>
                <w:sz w:val="17"/>
                <w:szCs w:val="17"/>
                <w:color w:val="auto"/>
              </w:rPr>
              <w:t>/</w:t>
            </w:r>
            <w:r>
              <w:rPr>
                <w:rFonts w:ascii="Verdana" w:cs="Verdana" w:eastAsia="Verdana" w:hAnsi="Verdana"/>
                <w:sz w:val="17"/>
                <w:szCs w:val="17"/>
                <w:color w:val="auto"/>
              </w:rPr>
              <w:t xml:space="preserve"> дисфункция ЛЖ </w:t>
            </w:r>
            <w:r>
              <w:rPr>
                <w:rFonts w:ascii="Verdana" w:cs="Verdana" w:eastAsia="Verdana" w:hAnsi="Verdana"/>
                <w:sz w:val="17"/>
                <w:szCs w:val="17"/>
                <w:color w:val="auto"/>
              </w:rPr>
              <w:t>(</w:t>
            </w:r>
            <w:r>
              <w:rPr>
                <w:rFonts w:ascii="Verdana" w:cs="Verdana" w:eastAsia="Verdana" w:hAnsi="Verdana"/>
                <w:sz w:val="17"/>
                <w:szCs w:val="17"/>
                <w:color w:val="auto"/>
              </w:rPr>
              <w:t>в частности</w:t>
            </w:r>
            <w:r>
              <w:rPr>
                <w:rFonts w:ascii="Verdana" w:cs="Verdana" w:eastAsia="Verdana" w:hAnsi="Verdana"/>
                <w:sz w:val="17"/>
                <w:szCs w:val="17"/>
                <w:color w:val="auto"/>
              </w:rPr>
              <w:t>,</w:t>
            </w:r>
            <w:r>
              <w:rPr>
                <w:rFonts w:ascii="Verdana" w:cs="Verdana" w:eastAsia="Verdana" w:hAnsi="Verdana"/>
                <w:sz w:val="17"/>
                <w:szCs w:val="17"/>
                <w:color w:val="auto"/>
              </w:rPr>
              <w:t xml:space="preserve"> ФВ</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220"/>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≤40%)</w:t>
            </w:r>
          </w:p>
        </w:tc>
        <w:tc>
          <w:tcPr>
            <w:tcW w:w="1260" w:type="dxa"/>
            <w:vAlign w:val="bottom"/>
            <w:tcBorders>
              <w:right w:val="single" w:sz="8" w:color="auto"/>
            </w:tcBorders>
          </w:tcPr>
          <w:p>
            <w:pPr>
              <w:spacing w:after="0"/>
              <w:rPr>
                <w:sz w:val="19"/>
                <w:szCs w:val="19"/>
                <w:color w:val="auto"/>
              </w:rPr>
            </w:pPr>
          </w:p>
        </w:tc>
      </w:tr>
      <w:tr>
        <w:trPr>
          <w:trHeight w:val="110"/>
        </w:trPr>
        <w:tc>
          <w:tcPr>
            <w:tcW w:w="7200" w:type="dxa"/>
            <w:vAlign w:val="bottom"/>
            <w:tcBorders>
              <w:left w:val="single" w:sz="8" w:color="auto"/>
              <w:bottom w:val="single" w:sz="8" w:color="auto"/>
              <w:right w:val="single" w:sz="8" w:color="auto"/>
            </w:tcBorders>
          </w:tcPr>
          <w:p>
            <w:pPr>
              <w:spacing w:after="0"/>
              <w:rPr>
                <w:sz w:val="9"/>
                <w:szCs w:val="9"/>
                <w:color w:val="auto"/>
              </w:rPr>
            </w:pPr>
          </w:p>
        </w:tc>
        <w:tc>
          <w:tcPr>
            <w:tcW w:w="1260" w:type="dxa"/>
            <w:vAlign w:val="bottom"/>
            <w:tcBorders>
              <w:bottom w:val="single" w:sz="8" w:color="auto"/>
              <w:right w:val="single" w:sz="8" w:color="auto"/>
            </w:tcBorders>
          </w:tcPr>
          <w:p>
            <w:pPr>
              <w:spacing w:after="0"/>
              <w:rPr>
                <w:sz w:val="9"/>
                <w:szCs w:val="9"/>
                <w:color w:val="auto"/>
              </w:rPr>
            </w:pPr>
          </w:p>
        </w:tc>
      </w:tr>
      <w:tr>
        <w:trPr>
          <w:trHeight w:val="295"/>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Сосудистое заболевание </w:t>
            </w:r>
            <w:r>
              <w:rPr>
                <w:rFonts w:ascii="Verdana" w:cs="Verdana" w:eastAsia="Verdana" w:hAnsi="Verdana"/>
                <w:sz w:val="17"/>
                <w:szCs w:val="17"/>
                <w:color w:val="auto"/>
              </w:rPr>
              <w:t>(</w:t>
            </w:r>
            <w:r>
              <w:rPr>
                <w:rFonts w:ascii="Verdana" w:cs="Verdana" w:eastAsia="Verdana" w:hAnsi="Verdana"/>
                <w:sz w:val="17"/>
                <w:szCs w:val="17"/>
                <w:color w:val="auto"/>
              </w:rPr>
              <w:t>инфаркт миокарда в анамнезе</w:t>
            </w:r>
            <w:r>
              <w:rPr>
                <w:rFonts w:ascii="Verdana" w:cs="Verdana" w:eastAsia="Verdana" w:hAnsi="Verdana"/>
                <w:sz w:val="17"/>
                <w:szCs w:val="17"/>
                <w:color w:val="auto"/>
              </w:rPr>
              <w:t>,</w:t>
            </w:r>
            <w:r>
              <w:rPr>
                <w:rFonts w:ascii="Verdana" w:cs="Verdana" w:eastAsia="Verdana" w:hAnsi="Verdana"/>
                <w:sz w:val="17"/>
                <w:szCs w:val="17"/>
                <w:color w:val="auto"/>
              </w:rPr>
              <w:t xml:space="preserve"> периферический</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220"/>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атеросклероз</w:t>
            </w:r>
            <w:r>
              <w:rPr>
                <w:rFonts w:ascii="Verdana" w:cs="Verdana" w:eastAsia="Verdana" w:hAnsi="Verdana"/>
                <w:sz w:val="17"/>
                <w:szCs w:val="17"/>
                <w:color w:val="auto"/>
              </w:rPr>
              <w:t>,</w:t>
            </w:r>
            <w:r>
              <w:rPr>
                <w:rFonts w:ascii="Verdana" w:cs="Verdana" w:eastAsia="Verdana" w:hAnsi="Verdana"/>
                <w:sz w:val="17"/>
                <w:szCs w:val="17"/>
                <w:color w:val="auto"/>
              </w:rPr>
              <w:t xml:space="preserve"> атеросклеротические бляшки в аорте</w:t>
            </w:r>
            <w:r>
              <w:rPr>
                <w:rFonts w:ascii="Verdana" w:cs="Verdana" w:eastAsia="Verdana" w:hAnsi="Verdana"/>
                <w:sz w:val="17"/>
                <w:szCs w:val="17"/>
                <w:color w:val="auto"/>
              </w:rPr>
              <w:t>)</w:t>
            </w:r>
          </w:p>
        </w:tc>
        <w:tc>
          <w:tcPr>
            <w:tcW w:w="1260" w:type="dxa"/>
            <w:vAlign w:val="bottom"/>
            <w:tcBorders>
              <w:right w:val="single" w:sz="8" w:color="auto"/>
            </w:tcBorders>
          </w:tcPr>
          <w:p>
            <w:pPr>
              <w:spacing w:after="0"/>
              <w:rPr>
                <w:sz w:val="19"/>
                <w:szCs w:val="19"/>
                <w:color w:val="auto"/>
              </w:rPr>
            </w:pPr>
          </w:p>
        </w:tc>
      </w:tr>
      <w:tr>
        <w:trPr>
          <w:trHeight w:val="110"/>
        </w:trPr>
        <w:tc>
          <w:tcPr>
            <w:tcW w:w="7200" w:type="dxa"/>
            <w:vAlign w:val="bottom"/>
            <w:tcBorders>
              <w:left w:val="single" w:sz="8" w:color="auto"/>
              <w:bottom w:val="single" w:sz="8" w:color="auto"/>
              <w:right w:val="single" w:sz="8" w:color="auto"/>
            </w:tcBorders>
          </w:tcPr>
          <w:p>
            <w:pPr>
              <w:spacing w:after="0"/>
              <w:rPr>
                <w:sz w:val="9"/>
                <w:szCs w:val="9"/>
                <w:color w:val="auto"/>
              </w:rPr>
            </w:pPr>
          </w:p>
        </w:tc>
        <w:tc>
          <w:tcPr>
            <w:tcW w:w="1260" w:type="dxa"/>
            <w:vAlign w:val="bottom"/>
            <w:tcBorders>
              <w:bottom w:val="single" w:sz="8" w:color="auto"/>
              <w:right w:val="single" w:sz="8" w:color="auto"/>
            </w:tcBorders>
          </w:tcPr>
          <w:p>
            <w:pPr>
              <w:spacing w:after="0"/>
              <w:rPr>
                <w:sz w:val="9"/>
                <w:szCs w:val="9"/>
                <w:color w:val="auto"/>
              </w:rPr>
            </w:pPr>
          </w:p>
        </w:tc>
      </w:tr>
      <w:tr>
        <w:trPr>
          <w:trHeight w:val="343"/>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Возраст </w:t>
            </w:r>
            <w:r>
              <w:rPr>
                <w:rFonts w:ascii="Verdana" w:cs="Verdana" w:eastAsia="Verdana" w:hAnsi="Verdana"/>
                <w:sz w:val="17"/>
                <w:szCs w:val="17"/>
                <w:color w:val="auto"/>
              </w:rPr>
              <w:t>65–74</w:t>
            </w:r>
            <w:r>
              <w:rPr>
                <w:rFonts w:ascii="Verdana" w:cs="Verdana" w:eastAsia="Verdana" w:hAnsi="Verdana"/>
                <w:sz w:val="17"/>
                <w:szCs w:val="17"/>
                <w:color w:val="auto"/>
              </w:rPr>
              <w:t xml:space="preserve"> года</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343"/>
        </w:trPr>
        <w:tc>
          <w:tcPr>
            <w:tcW w:w="72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Женский пол</w:t>
            </w:r>
          </w:p>
        </w:tc>
        <w:tc>
          <w:tcPr>
            <w:tcW w:w="12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w:t>
            </w:r>
          </w:p>
        </w:tc>
      </w:tr>
      <w:tr>
        <w:trPr>
          <w:trHeight w:val="117"/>
        </w:trPr>
        <w:tc>
          <w:tcPr>
            <w:tcW w:w="7200" w:type="dxa"/>
            <w:vAlign w:val="bottom"/>
            <w:tcBorders>
              <w:left w:val="single" w:sz="8" w:color="auto"/>
              <w:bottom w:val="single" w:sz="8" w:color="auto"/>
              <w:right w:val="single" w:sz="8" w:color="auto"/>
            </w:tcBorders>
          </w:tcPr>
          <w:p>
            <w:pPr>
              <w:spacing w:after="0"/>
              <w:rPr>
                <w:sz w:val="10"/>
                <w:szCs w:val="10"/>
                <w:color w:val="auto"/>
              </w:rPr>
            </w:pPr>
          </w:p>
        </w:tc>
        <w:tc>
          <w:tcPr>
            <w:tcW w:w="1260" w:type="dxa"/>
            <w:vAlign w:val="bottom"/>
            <w:tcBorders>
              <w:bottom w:val="single" w:sz="8" w:color="auto"/>
              <w:right w:val="single" w:sz="8" w:color="auto"/>
            </w:tcBorders>
          </w:tcPr>
          <w:p>
            <w:pPr>
              <w:spacing w:after="0"/>
              <w:rPr>
                <w:sz w:val="10"/>
                <w:szCs w:val="10"/>
                <w:color w:val="auto"/>
              </w:rPr>
            </w:pPr>
          </w:p>
        </w:tc>
      </w:tr>
      <w:tr>
        <w:trPr>
          <w:trHeight w:val="371"/>
        </w:trPr>
        <w:tc>
          <w:tcPr>
            <w:tcW w:w="7200" w:type="dxa"/>
            <w:vAlign w:val="bottom"/>
          </w:tcPr>
          <w:p>
            <w:pPr>
              <w:spacing w:after="0"/>
              <w:rPr>
                <w:sz w:val="20"/>
                <w:szCs w:val="20"/>
                <w:color w:val="auto"/>
              </w:rPr>
            </w:pPr>
            <w:r>
              <w:rPr>
                <w:rFonts w:ascii="Arial" w:cs="Arial" w:eastAsia="Arial" w:hAnsi="Arial"/>
                <w:sz w:val="27"/>
                <w:szCs w:val="27"/>
                <w:b w:val="1"/>
                <w:bCs w:val="1"/>
                <w:color w:val="auto"/>
              </w:rPr>
              <w:t xml:space="preserve">Ключ </w:t>
            </w:r>
            <w:r>
              <w:rPr>
                <w:rFonts w:ascii="Arial" w:cs="Arial" w:eastAsia="Arial" w:hAnsi="Arial"/>
                <w:sz w:val="27"/>
                <w:szCs w:val="27"/>
                <w:b w:val="1"/>
                <w:bCs w:val="1"/>
                <w:color w:val="auto"/>
              </w:rPr>
              <w:t>(</w:t>
            </w:r>
            <w:r>
              <w:rPr>
                <w:rFonts w:ascii="Arial" w:cs="Arial" w:eastAsia="Arial" w:hAnsi="Arial"/>
                <w:sz w:val="27"/>
                <w:szCs w:val="27"/>
                <w:b w:val="1"/>
                <w:bCs w:val="1"/>
                <w:color w:val="auto"/>
              </w:rPr>
              <w:t>интерпретация</w:t>
            </w:r>
            <w:r>
              <w:rPr>
                <w:rFonts w:ascii="Arial" w:cs="Arial" w:eastAsia="Arial" w:hAnsi="Arial"/>
                <w:sz w:val="27"/>
                <w:szCs w:val="27"/>
                <w:b w:val="1"/>
                <w:bCs w:val="1"/>
                <w:color w:val="auto"/>
              </w:rPr>
              <w:t>):</w:t>
            </w:r>
          </w:p>
        </w:tc>
        <w:tc>
          <w:tcPr>
            <w:tcW w:w="1260" w:type="dxa"/>
            <w:vAlign w:val="bottom"/>
          </w:tcPr>
          <w:p>
            <w:pPr>
              <w:spacing w:after="0"/>
              <w:rPr>
                <w:sz w:val="24"/>
                <w:szCs w:val="24"/>
                <w:color w:val="auto"/>
              </w:rPr>
            </w:pPr>
          </w:p>
        </w:tc>
      </w:tr>
    </w:tbl>
    <w:p>
      <w:pPr>
        <w:spacing w:after="0" w:line="264"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414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Сумма баллов по шкале</w:t>
            </w:r>
          </w:p>
        </w:tc>
        <w:tc>
          <w:tcPr>
            <w:tcW w:w="432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Ожидаемая частота инсультов за год</w:t>
            </w:r>
          </w:p>
        </w:tc>
      </w:tr>
      <w:tr>
        <w:trPr>
          <w:trHeight w:val="224"/>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CHA2DS2-VASc</w:t>
            </w:r>
          </w:p>
        </w:tc>
        <w:tc>
          <w:tcPr>
            <w:tcW w:w="4320" w:type="dxa"/>
            <w:vAlign w:val="bottom"/>
            <w:tcBorders>
              <w:right w:val="single" w:sz="8" w:color="auto"/>
            </w:tcBorders>
          </w:tcPr>
          <w:p>
            <w:pPr>
              <w:spacing w:after="0"/>
              <w:rPr>
                <w:sz w:val="19"/>
                <w:szCs w:val="19"/>
                <w:color w:val="auto"/>
              </w:rPr>
            </w:pPr>
          </w:p>
        </w:tc>
      </w:tr>
      <w:tr>
        <w:trPr>
          <w:trHeight w:val="106"/>
        </w:trPr>
        <w:tc>
          <w:tcPr>
            <w:tcW w:w="4140" w:type="dxa"/>
            <w:vAlign w:val="bottom"/>
            <w:tcBorders>
              <w:left w:val="single" w:sz="8" w:color="auto"/>
              <w:bottom w:val="single" w:sz="8" w:color="auto"/>
              <w:right w:val="single" w:sz="8" w:color="auto"/>
            </w:tcBorders>
          </w:tcPr>
          <w:p>
            <w:pPr>
              <w:spacing w:after="0"/>
              <w:rPr>
                <w:sz w:val="9"/>
                <w:szCs w:val="9"/>
                <w:color w:val="auto"/>
              </w:rPr>
            </w:pPr>
          </w:p>
        </w:tc>
        <w:tc>
          <w:tcPr>
            <w:tcW w:w="4320" w:type="dxa"/>
            <w:vAlign w:val="bottom"/>
            <w:tcBorders>
              <w:bottom w:val="single" w:sz="8" w:color="auto"/>
              <w:right w:val="single" w:sz="8" w:color="auto"/>
            </w:tcBorders>
          </w:tcPr>
          <w:p>
            <w:pPr>
              <w:spacing w:after="0"/>
              <w:rPr>
                <w:sz w:val="9"/>
                <w:szCs w:val="9"/>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0</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0 %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1</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1,3 %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2</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2,2 %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3</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3,2 %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4</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4,0 %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5</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6,7 %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6</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9,8 %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7</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9,6 %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8</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6,7 %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43"/>
        </w:trPr>
        <w:tc>
          <w:tcPr>
            <w:tcW w:w="41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9</w:t>
            </w:r>
          </w:p>
        </w:tc>
        <w:tc>
          <w:tcPr>
            <w:tcW w:w="432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15,2 %</w:t>
            </w:r>
          </w:p>
        </w:tc>
      </w:tr>
      <w:tr>
        <w:trPr>
          <w:trHeight w:val="117"/>
        </w:trPr>
        <w:tc>
          <w:tcPr>
            <w:tcW w:w="4140" w:type="dxa"/>
            <w:vAlign w:val="bottom"/>
            <w:tcBorders>
              <w:left w:val="single" w:sz="8" w:color="auto"/>
              <w:bottom w:val="single" w:sz="8" w:color="auto"/>
              <w:right w:val="single" w:sz="8" w:color="auto"/>
            </w:tcBorders>
          </w:tcPr>
          <w:p>
            <w:pPr>
              <w:spacing w:after="0"/>
              <w:rPr>
                <w:sz w:val="10"/>
                <w:szCs w:val="10"/>
                <w:color w:val="auto"/>
              </w:rPr>
            </w:pPr>
          </w:p>
        </w:tc>
        <w:tc>
          <w:tcPr>
            <w:tcW w:w="4320" w:type="dxa"/>
            <w:vAlign w:val="bottom"/>
            <w:tcBorders>
              <w:bottom w:val="single" w:sz="8" w:color="auto"/>
              <w:right w:val="single" w:sz="8" w:color="auto"/>
            </w:tcBorders>
          </w:tcPr>
          <w:p>
            <w:pPr>
              <w:spacing w:after="0"/>
              <w:rPr>
                <w:sz w:val="10"/>
                <w:szCs w:val="10"/>
                <w:color w:val="auto"/>
              </w:rPr>
            </w:pPr>
          </w:p>
        </w:tc>
      </w:tr>
      <w:tr>
        <w:trPr>
          <w:trHeight w:val="371"/>
        </w:trPr>
        <w:tc>
          <w:tcPr>
            <w:tcW w:w="4140" w:type="dxa"/>
            <w:vAlign w:val="bottom"/>
          </w:tcPr>
          <w:p>
            <w:pPr>
              <w:spacing w:after="0"/>
              <w:rPr>
                <w:sz w:val="20"/>
                <w:szCs w:val="20"/>
                <w:color w:val="auto"/>
              </w:rPr>
            </w:pPr>
            <w:r>
              <w:rPr>
                <w:rFonts w:ascii="Arial" w:cs="Arial" w:eastAsia="Arial" w:hAnsi="Arial"/>
                <w:sz w:val="27"/>
                <w:szCs w:val="27"/>
                <w:b w:val="1"/>
                <w:bCs w:val="1"/>
                <w:color w:val="auto"/>
              </w:rPr>
              <w:t>Пояснения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нет</w:t>
            </w:r>
          </w:p>
        </w:tc>
        <w:tc>
          <w:tcPr>
            <w:tcW w:w="4320" w:type="dxa"/>
            <w:vAlign w:val="bottom"/>
          </w:tcPr>
          <w:p>
            <w:pPr>
              <w:spacing w:after="0"/>
              <w:rPr>
                <w:sz w:val="24"/>
                <w:szCs w:val="24"/>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4" w:lineRule="exact"/>
        <w:rPr>
          <w:sz w:val="20"/>
          <w:szCs w:val="20"/>
          <w:color w:val="auto"/>
        </w:rPr>
      </w:pPr>
    </w:p>
    <w:p>
      <w:pPr>
        <w:ind w:left="360" w:right="620"/>
        <w:spacing w:after="0" w:line="530" w:lineRule="auto"/>
        <w:rPr>
          <w:sz w:val="20"/>
          <w:szCs w:val="20"/>
          <w:color w:val="auto"/>
        </w:rPr>
      </w:pPr>
      <w:r>
        <w:rPr>
          <w:rFonts w:ascii="Arial" w:cs="Arial" w:eastAsia="Arial" w:hAnsi="Arial"/>
          <w:sz w:val="26"/>
          <w:szCs w:val="26"/>
          <w:b w:val="1"/>
          <w:bCs w:val="1"/>
          <w:color w:val="auto"/>
        </w:rPr>
        <w:t>Таблица П</w:t>
      </w:r>
      <w:r>
        <w:rPr>
          <w:rFonts w:ascii="Arial" w:cs="Arial" w:eastAsia="Arial" w:hAnsi="Arial"/>
          <w:sz w:val="26"/>
          <w:szCs w:val="26"/>
          <w:b w:val="1"/>
          <w:bCs w:val="1"/>
          <w:color w:val="auto"/>
        </w:rPr>
        <w:t>5/</w:t>
      </w:r>
      <w:r>
        <w:rPr>
          <w:rFonts w:ascii="Arial" w:cs="Arial" w:eastAsia="Arial" w:hAnsi="Arial"/>
          <w:sz w:val="26"/>
          <w:szCs w:val="26"/>
          <w:b w:val="1"/>
          <w:bCs w:val="1"/>
          <w:color w:val="auto"/>
        </w:rPr>
        <w:t>Г</w:t>
      </w:r>
      <w:r>
        <w:rPr>
          <w:rFonts w:ascii="Arial" w:cs="Arial" w:eastAsia="Arial" w:hAnsi="Arial"/>
          <w:sz w:val="26"/>
          <w:szCs w:val="26"/>
          <w:b w:val="1"/>
          <w:bCs w:val="1"/>
          <w:color w:val="auto"/>
        </w:rPr>
        <w:t>3.</w:t>
      </w:r>
      <w:r>
        <w:rPr>
          <w:rFonts w:ascii="Arial" w:cs="Arial" w:eastAsia="Arial" w:hAnsi="Arial"/>
          <w:sz w:val="26"/>
          <w:szCs w:val="26"/>
          <w:b w:val="1"/>
          <w:bCs w:val="1"/>
          <w:color w:val="auto"/>
        </w:rPr>
        <w:t xml:space="preserve"> Шкала сонливости Эпворта </w:t>
      </w:r>
      <w:r>
        <w:rPr>
          <w:rFonts w:ascii="Arial" w:cs="Arial" w:eastAsia="Arial" w:hAnsi="Arial"/>
          <w:sz w:val="26"/>
          <w:szCs w:val="26"/>
          <w:b w:val="1"/>
          <w:bCs w:val="1"/>
          <w:color w:val="auto"/>
        </w:rPr>
        <w:t>(Epworth)</w:t>
      </w:r>
      <w:r>
        <w:rPr>
          <w:rFonts w:ascii="Arial" w:cs="Arial" w:eastAsia="Arial" w:hAnsi="Arial"/>
          <w:sz w:val="26"/>
          <w:szCs w:val="26"/>
          <w:b w:val="1"/>
          <w:bCs w:val="1"/>
          <w:color w:val="auto"/>
        </w:rPr>
        <w:t xml:space="preserve"> Название на русском языке</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Шкала сонливости Эпворта</w:t>
      </w:r>
      <w:r>
        <w:rPr>
          <w:rFonts w:ascii="Arial" w:cs="Arial" w:eastAsia="Arial" w:hAnsi="Arial"/>
          <w:sz w:val="26"/>
          <w:szCs w:val="26"/>
          <w:b w:val="1"/>
          <w:bCs w:val="1"/>
          <w:color w:val="auto"/>
        </w:rPr>
        <w:t xml:space="preserve"> Оригинальное название </w:t>
      </w:r>
      <w:r>
        <w:rPr>
          <w:rFonts w:ascii="Arial" w:cs="Arial" w:eastAsia="Arial" w:hAnsi="Arial"/>
          <w:sz w:val="26"/>
          <w:szCs w:val="26"/>
          <w:b w:val="1"/>
          <w:bCs w:val="1"/>
          <w:color w:val="auto"/>
        </w:rPr>
        <w:t>(</w:t>
      </w:r>
      <w:r>
        <w:rPr>
          <w:rFonts w:ascii="Arial" w:cs="Arial" w:eastAsia="Arial" w:hAnsi="Arial"/>
          <w:sz w:val="26"/>
          <w:szCs w:val="26"/>
          <w:b w:val="1"/>
          <w:bCs w:val="1"/>
          <w:color w:val="auto"/>
        </w:rPr>
        <w:t>если есть</w:t>
      </w:r>
      <w:r>
        <w:rPr>
          <w:rFonts w:ascii="Arial" w:cs="Arial" w:eastAsia="Arial" w:hAnsi="Arial"/>
          <w:sz w:val="26"/>
          <w:szCs w:val="26"/>
          <w:b w:val="1"/>
          <w:bCs w:val="1"/>
          <w:color w:val="auto"/>
        </w:rPr>
        <w:t>):</w:t>
      </w:r>
      <w:r>
        <w:rPr>
          <w:rFonts w:ascii="Arial" w:cs="Arial" w:eastAsia="Arial" w:hAnsi="Arial"/>
          <w:sz w:val="26"/>
          <w:szCs w:val="26"/>
          <w:b w:val="1"/>
          <w:bCs w:val="1"/>
          <w:color w:val="auto"/>
        </w:rPr>
        <w:t xml:space="preserve"> </w:t>
      </w:r>
      <w:r>
        <w:rPr>
          <w:rFonts w:ascii="Arial" w:cs="Arial" w:eastAsia="Arial" w:hAnsi="Arial"/>
          <w:sz w:val="26"/>
          <w:szCs w:val="26"/>
          <w:color w:val="auto"/>
        </w:rPr>
        <w:t>Epworth Sleepiness Scale</w:t>
      </w:r>
    </w:p>
    <w:p>
      <w:pPr>
        <w:ind w:left="360" w:right="220"/>
        <w:spacing w:after="0" w:line="337" w:lineRule="auto"/>
        <w:rPr>
          <w:sz w:val="20"/>
          <w:szCs w:val="20"/>
          <w:color w:val="auto"/>
        </w:rPr>
      </w:pPr>
      <w:r>
        <w:rPr>
          <w:rFonts w:ascii="Arial" w:cs="Arial" w:eastAsia="Arial" w:hAnsi="Arial"/>
          <w:sz w:val="27"/>
          <w:szCs w:val="27"/>
          <w:b w:val="1"/>
          <w:bCs w:val="1"/>
          <w:color w:val="auto"/>
        </w:rPr>
        <w:t xml:space="preserve">Источник </w:t>
      </w:r>
      <w:r>
        <w:rPr>
          <w:rFonts w:ascii="Arial" w:cs="Arial" w:eastAsia="Arial" w:hAnsi="Arial"/>
          <w:sz w:val="27"/>
          <w:szCs w:val="27"/>
          <w:b w:val="1"/>
          <w:bCs w:val="1"/>
          <w:color w:val="auto"/>
        </w:rPr>
        <w:t>(</w:t>
      </w:r>
      <w:r>
        <w:rPr>
          <w:rFonts w:ascii="Arial" w:cs="Arial" w:eastAsia="Arial" w:hAnsi="Arial"/>
          <w:sz w:val="27"/>
          <w:szCs w:val="27"/>
          <w:b w:val="1"/>
          <w:bCs w:val="1"/>
          <w:color w:val="auto"/>
        </w:rPr>
        <w:t>официальный сайт разработчиков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публикация с валидацией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https://epworthsleepinessscale.com/about-the-ess/</w:t>
      </w:r>
    </w:p>
    <w:p>
      <w:pPr>
        <w:spacing w:after="0" w:line="179"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Тип </w:t>
      </w:r>
      <w:r>
        <w:rPr>
          <w:rFonts w:ascii="Arial" w:cs="Arial" w:eastAsia="Arial" w:hAnsi="Arial"/>
          <w:sz w:val="27"/>
          <w:szCs w:val="27"/>
          <w:b w:val="1"/>
          <w:bCs w:val="1"/>
          <w:color w:val="auto"/>
        </w:rPr>
        <w:t>(</w:t>
      </w:r>
      <w:r>
        <w:rPr>
          <w:rFonts w:ascii="Arial" w:cs="Arial" w:eastAsia="Arial" w:hAnsi="Arial"/>
          <w:sz w:val="27"/>
          <w:szCs w:val="27"/>
          <w:b w:val="1"/>
          <w:bCs w:val="1"/>
          <w:color w:val="auto"/>
        </w:rPr>
        <w:t>подчеркнуть</w:t>
      </w:r>
      <w:r>
        <w:rPr>
          <w:rFonts w:ascii="Arial" w:cs="Arial" w:eastAsia="Arial" w:hAnsi="Arial"/>
          <w:sz w:val="27"/>
          <w:szCs w:val="27"/>
          <w:b w:val="1"/>
          <w:bCs w:val="1"/>
          <w:color w:val="auto"/>
        </w:rPr>
        <w:t>):</w:t>
      </w:r>
    </w:p>
    <w:p>
      <w:pPr>
        <w:spacing w:after="0" w:line="350"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u w:val="single" w:color="auto"/>
          <w:color w:val="auto"/>
        </w:rPr>
        <w:t>шкала оценки</w:t>
      </w:r>
    </w:p>
    <w:p>
      <w:pPr>
        <w:sectPr>
          <w:pgSz w:w="11900" w:h="16840" w:orient="portrait"/>
          <w:cols w:equalWidth="0" w:num="1">
            <w:col w:w="9020"/>
          </w:cols>
          <w:pgMar w:left="1440" w:top="0" w:right="1440" w:bottom="0" w:gutter="0" w:footer="0" w:header="0"/>
        </w:sectPr>
      </w:pPr>
    </w:p>
    <w:bookmarkStart w:id="151" w:name="page152"/>
    <w:bookmarkEnd w:id="151"/>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индекс</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вопросник</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другое</w:t>
      </w:r>
      <w:r>
        <w:rPr>
          <w:rFonts w:ascii="Arial" w:cs="Arial" w:eastAsia="Arial" w:hAnsi="Arial"/>
          <w:sz w:val="27"/>
          <w:szCs w:val="27"/>
          <w:color w:val="auto"/>
        </w:rPr>
        <w:t xml:space="preserve"> (</w:t>
      </w:r>
      <w:r>
        <w:rPr>
          <w:rFonts w:ascii="Arial" w:cs="Arial" w:eastAsia="Arial" w:hAnsi="Arial"/>
          <w:sz w:val="27"/>
          <w:szCs w:val="27"/>
          <w:color w:val="auto"/>
        </w:rPr>
        <w:t>уточнить</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b w:val="1"/>
          <w:bCs w:val="1"/>
          <w:color w:val="auto"/>
        </w:rPr>
        <w:t>Назначение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серия вопросов</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которые используют для изучения</w:t>
      </w:r>
      <w:r>
        <w:rPr>
          <w:rFonts w:ascii="Arial" w:cs="Arial" w:eastAsia="Arial" w:hAnsi="Arial"/>
          <w:sz w:val="27"/>
          <w:szCs w:val="27"/>
          <w:b w:val="1"/>
          <w:bCs w:val="1"/>
          <w:color w:val="auto"/>
        </w:rPr>
        <w:t xml:space="preserve"> </w:t>
      </w:r>
      <w:r>
        <w:rPr>
          <w:rFonts w:ascii="Arial" w:cs="Arial" w:eastAsia="Arial" w:hAnsi="Arial"/>
          <w:sz w:val="27"/>
          <w:szCs w:val="27"/>
          <w:color w:val="auto"/>
        </w:rPr>
        <w:t>воздействия сна на дневной образ жизни</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Содержание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шаблон</w:t>
      </w:r>
      <w:r>
        <w:rPr>
          <w:rFonts w:ascii="Arial" w:cs="Arial" w:eastAsia="Arial" w:hAnsi="Arial"/>
          <w:sz w:val="27"/>
          <w:szCs w:val="27"/>
          <w:b w:val="1"/>
          <w:bCs w:val="1"/>
          <w:color w:val="auto"/>
        </w:rPr>
        <w:t>):</w:t>
      </w:r>
    </w:p>
    <w:p>
      <w:pPr>
        <w:spacing w:after="0" w:line="350" w:lineRule="exact"/>
        <w:rPr>
          <w:sz w:val="20"/>
          <w:szCs w:val="20"/>
          <w:color w:val="auto"/>
        </w:rPr>
      </w:pPr>
    </w:p>
    <w:p>
      <w:pPr>
        <w:jc w:val="both"/>
        <w:ind w:left="360" w:right="220"/>
        <w:spacing w:after="0" w:line="317" w:lineRule="auto"/>
        <w:rPr>
          <w:sz w:val="20"/>
          <w:szCs w:val="20"/>
          <w:color w:val="auto"/>
        </w:rPr>
      </w:pPr>
      <w:r>
        <w:rPr>
          <w:rFonts w:ascii="Arial" w:cs="Arial" w:eastAsia="Arial" w:hAnsi="Arial"/>
          <w:sz w:val="27"/>
          <w:szCs w:val="27"/>
          <w:color w:val="auto"/>
        </w:rPr>
        <w:t>Насколько вероятно то</w:t>
      </w:r>
      <w:r>
        <w:rPr>
          <w:rFonts w:ascii="Arial" w:cs="Arial" w:eastAsia="Arial" w:hAnsi="Arial"/>
          <w:sz w:val="27"/>
          <w:szCs w:val="27"/>
          <w:color w:val="auto"/>
        </w:rPr>
        <w:t>,</w:t>
      </w:r>
      <w:r>
        <w:rPr>
          <w:rFonts w:ascii="Arial" w:cs="Arial" w:eastAsia="Arial" w:hAnsi="Arial"/>
          <w:sz w:val="27"/>
          <w:szCs w:val="27"/>
          <w:color w:val="auto"/>
        </w:rPr>
        <w:t xml:space="preserve"> что вы можете задремать или уснуть в ситуациях</w:t>
      </w:r>
      <w:r>
        <w:rPr>
          <w:rFonts w:ascii="Arial" w:cs="Arial" w:eastAsia="Arial" w:hAnsi="Arial"/>
          <w:sz w:val="27"/>
          <w:szCs w:val="27"/>
          <w:color w:val="auto"/>
        </w:rPr>
        <w:t>,</w:t>
      </w:r>
      <w:r>
        <w:rPr>
          <w:rFonts w:ascii="Arial" w:cs="Arial" w:eastAsia="Arial" w:hAnsi="Arial"/>
          <w:sz w:val="27"/>
          <w:szCs w:val="27"/>
          <w:color w:val="auto"/>
        </w:rPr>
        <w:t xml:space="preserve"> описанных ниже</w:t>
      </w:r>
      <w:r>
        <w:rPr>
          <w:rFonts w:ascii="Arial" w:cs="Arial" w:eastAsia="Arial" w:hAnsi="Arial"/>
          <w:sz w:val="27"/>
          <w:szCs w:val="27"/>
          <w:color w:val="auto"/>
        </w:rPr>
        <w:t>,</w:t>
      </w:r>
      <w:r>
        <w:rPr>
          <w:rFonts w:ascii="Arial" w:cs="Arial" w:eastAsia="Arial" w:hAnsi="Arial"/>
          <w:sz w:val="27"/>
          <w:szCs w:val="27"/>
          <w:color w:val="auto"/>
        </w:rPr>
        <w:t xml:space="preserve"> по сравнению с ощущением обычной усталости</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71" w:lineRule="exact"/>
        <w:rPr>
          <w:sz w:val="20"/>
          <w:szCs w:val="20"/>
          <w:color w:val="auto"/>
        </w:rPr>
      </w:pPr>
    </w:p>
    <w:p>
      <w:pPr>
        <w:jc w:val="both"/>
        <w:ind w:left="360" w:right="220"/>
        <w:spacing w:after="0" w:line="309" w:lineRule="auto"/>
        <w:rPr>
          <w:sz w:val="20"/>
          <w:szCs w:val="20"/>
          <w:color w:val="auto"/>
        </w:rPr>
      </w:pPr>
      <w:r>
        <w:rPr>
          <w:rFonts w:ascii="Arial" w:cs="Arial" w:eastAsia="Arial" w:hAnsi="Arial"/>
          <w:sz w:val="27"/>
          <w:szCs w:val="27"/>
          <w:color w:val="auto"/>
        </w:rPr>
        <w:t>Речь идет об обычном вашем состоянии в последнее время</w:t>
      </w:r>
      <w:r>
        <w:rPr>
          <w:rFonts w:ascii="Arial" w:cs="Arial" w:eastAsia="Arial" w:hAnsi="Arial"/>
          <w:sz w:val="27"/>
          <w:szCs w:val="27"/>
          <w:color w:val="auto"/>
        </w:rPr>
        <w:t>.</w:t>
      </w:r>
      <w:r>
        <w:rPr>
          <w:rFonts w:ascii="Arial" w:cs="Arial" w:eastAsia="Arial" w:hAnsi="Arial"/>
          <w:sz w:val="27"/>
          <w:szCs w:val="27"/>
          <w:color w:val="auto"/>
        </w:rPr>
        <w:t xml:space="preserve"> Даже если вы не были в подобных ситуациях в последнее время</w:t>
      </w:r>
      <w:r>
        <w:rPr>
          <w:rFonts w:ascii="Arial" w:cs="Arial" w:eastAsia="Arial" w:hAnsi="Arial"/>
          <w:sz w:val="27"/>
          <w:szCs w:val="27"/>
          <w:color w:val="auto"/>
        </w:rPr>
        <w:t>,</w:t>
      </w:r>
      <w:r>
        <w:rPr>
          <w:rFonts w:ascii="Arial" w:cs="Arial" w:eastAsia="Arial" w:hAnsi="Arial"/>
          <w:sz w:val="27"/>
          <w:szCs w:val="27"/>
          <w:color w:val="auto"/>
        </w:rPr>
        <w:t xml:space="preserve"> то постарайтесь представить себе</w:t>
      </w:r>
      <w:r>
        <w:rPr>
          <w:rFonts w:ascii="Arial" w:cs="Arial" w:eastAsia="Arial" w:hAnsi="Arial"/>
          <w:sz w:val="27"/>
          <w:szCs w:val="27"/>
          <w:color w:val="auto"/>
        </w:rPr>
        <w:t>,</w:t>
      </w:r>
      <w:r>
        <w:rPr>
          <w:rFonts w:ascii="Arial" w:cs="Arial" w:eastAsia="Arial" w:hAnsi="Arial"/>
          <w:sz w:val="27"/>
          <w:szCs w:val="27"/>
          <w:color w:val="auto"/>
        </w:rPr>
        <w:t xml:space="preserve"> как бы эти ситуации повлияли на вас</w:t>
      </w:r>
      <w:r>
        <w:rPr>
          <w:rFonts w:ascii="Arial" w:cs="Arial" w:eastAsia="Arial" w:hAnsi="Arial"/>
          <w:sz w:val="27"/>
          <w:szCs w:val="27"/>
          <w:color w:val="auto"/>
        </w:rPr>
        <w:t>.</w:t>
      </w:r>
      <w:r>
        <w:rPr>
          <w:rFonts w:ascii="Arial" w:cs="Arial" w:eastAsia="Arial" w:hAnsi="Arial"/>
          <w:sz w:val="27"/>
          <w:szCs w:val="27"/>
          <w:color w:val="auto"/>
        </w:rPr>
        <w:t xml:space="preserve"> Используйте эту шкалу и выбирете наиболее подходящее число для каждой ситуации</w:t>
      </w:r>
      <w:r>
        <w:rPr>
          <w:rFonts w:ascii="Arial" w:cs="Arial" w:eastAsia="Arial" w:hAnsi="Arial"/>
          <w:sz w:val="27"/>
          <w:szCs w:val="27"/>
          <w:color w:val="auto"/>
        </w:rPr>
        <w:t>.</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83" w:lineRule="exact"/>
        <w:rPr>
          <w:sz w:val="20"/>
          <w:szCs w:val="20"/>
          <w:color w:val="auto"/>
        </w:rPr>
      </w:pPr>
    </w:p>
    <w:p>
      <w:pPr>
        <w:ind w:left="660" w:hanging="284"/>
        <w:spacing w:after="0"/>
        <w:tabs>
          <w:tab w:leader="none" w:pos="660" w:val="left"/>
        </w:tabs>
        <w:numPr>
          <w:ilvl w:val="0"/>
          <w:numId w:val="109"/>
        </w:numPr>
        <w:rPr>
          <w:rFonts w:ascii="Arial" w:cs="Arial" w:eastAsia="Arial" w:hAnsi="Arial"/>
          <w:sz w:val="27"/>
          <w:szCs w:val="27"/>
          <w:color w:val="auto"/>
        </w:rPr>
      </w:pPr>
      <w:r>
        <w:rPr>
          <w:rFonts w:ascii="Arial" w:cs="Arial" w:eastAsia="Arial" w:hAnsi="Arial"/>
          <w:sz w:val="27"/>
          <w:szCs w:val="27"/>
          <w:b w:val="1"/>
          <w:bCs w:val="1"/>
          <w:color w:val="auto"/>
        </w:rPr>
        <w:t xml:space="preserve">- </w:t>
      </w:r>
      <w:r>
        <w:rPr>
          <w:rFonts w:ascii="Arial" w:cs="Arial" w:eastAsia="Arial" w:hAnsi="Arial"/>
          <w:sz w:val="27"/>
          <w:szCs w:val="27"/>
          <w:color w:val="auto"/>
        </w:rPr>
        <w:t>никогда бы не заснул</w:t>
      </w:r>
      <w:r>
        <w:rPr>
          <w:rFonts w:ascii="Arial" w:cs="Arial" w:eastAsia="Arial" w:hAnsi="Arial"/>
          <w:sz w:val="27"/>
          <w:szCs w:val="27"/>
          <w:color w:val="auto"/>
        </w:rPr>
        <w:t>/</w:t>
      </w:r>
      <w:r>
        <w:rPr>
          <w:rFonts w:ascii="Arial" w:cs="Arial" w:eastAsia="Arial" w:hAnsi="Arial"/>
          <w:sz w:val="27"/>
          <w:szCs w:val="27"/>
          <w:color w:val="auto"/>
        </w:rPr>
        <w:t>не задремал</w:t>
      </w:r>
    </w:p>
    <w:p>
      <w:pPr>
        <w:spacing w:after="0" w:line="79" w:lineRule="exact"/>
        <w:rPr>
          <w:rFonts w:ascii="Arial" w:cs="Arial" w:eastAsia="Arial" w:hAnsi="Arial"/>
          <w:sz w:val="27"/>
          <w:szCs w:val="27"/>
          <w:color w:val="auto"/>
        </w:rPr>
      </w:pPr>
    </w:p>
    <w:p>
      <w:pPr>
        <w:ind w:left="660" w:hanging="284"/>
        <w:spacing w:after="0"/>
        <w:tabs>
          <w:tab w:leader="none" w:pos="660" w:val="left"/>
        </w:tabs>
        <w:numPr>
          <w:ilvl w:val="0"/>
          <w:numId w:val="109"/>
        </w:numPr>
        <w:rPr>
          <w:rFonts w:ascii="Arial" w:cs="Arial" w:eastAsia="Arial" w:hAnsi="Arial"/>
          <w:sz w:val="27"/>
          <w:szCs w:val="27"/>
          <w:color w:val="auto"/>
        </w:rPr>
      </w:pPr>
      <w:r>
        <w:rPr>
          <w:rFonts w:ascii="Arial" w:cs="Arial" w:eastAsia="Arial" w:hAnsi="Arial"/>
          <w:sz w:val="27"/>
          <w:szCs w:val="27"/>
          <w:b w:val="1"/>
          <w:bCs w:val="1"/>
          <w:color w:val="auto"/>
        </w:rPr>
        <w:t xml:space="preserve">- </w:t>
      </w:r>
      <w:r>
        <w:rPr>
          <w:rFonts w:ascii="Arial" w:cs="Arial" w:eastAsia="Arial" w:hAnsi="Arial"/>
          <w:sz w:val="27"/>
          <w:szCs w:val="27"/>
          <w:color w:val="auto"/>
        </w:rPr>
        <w:t>очень небольшая вероятность заснуть или задремать</w:t>
      </w:r>
    </w:p>
    <w:p>
      <w:pPr>
        <w:spacing w:after="0" w:line="79" w:lineRule="exact"/>
        <w:rPr>
          <w:rFonts w:ascii="Arial" w:cs="Arial" w:eastAsia="Arial" w:hAnsi="Arial"/>
          <w:sz w:val="27"/>
          <w:szCs w:val="27"/>
          <w:color w:val="auto"/>
        </w:rPr>
      </w:pPr>
    </w:p>
    <w:p>
      <w:pPr>
        <w:ind w:left="660" w:hanging="284"/>
        <w:spacing w:after="0"/>
        <w:tabs>
          <w:tab w:leader="none" w:pos="660" w:val="left"/>
        </w:tabs>
        <w:numPr>
          <w:ilvl w:val="0"/>
          <w:numId w:val="109"/>
        </w:numPr>
        <w:rPr>
          <w:rFonts w:ascii="Arial" w:cs="Arial" w:eastAsia="Arial" w:hAnsi="Arial"/>
          <w:sz w:val="27"/>
          <w:szCs w:val="27"/>
          <w:color w:val="auto"/>
        </w:rPr>
      </w:pPr>
      <w:r>
        <w:rPr>
          <w:rFonts w:ascii="Arial" w:cs="Arial" w:eastAsia="Arial" w:hAnsi="Arial"/>
          <w:sz w:val="27"/>
          <w:szCs w:val="27"/>
          <w:b w:val="1"/>
          <w:bCs w:val="1"/>
          <w:color w:val="auto"/>
        </w:rPr>
        <w:t xml:space="preserve">- </w:t>
      </w:r>
      <w:r>
        <w:rPr>
          <w:rFonts w:ascii="Arial" w:cs="Arial" w:eastAsia="Arial" w:hAnsi="Arial"/>
          <w:sz w:val="27"/>
          <w:szCs w:val="27"/>
          <w:color w:val="auto"/>
        </w:rPr>
        <w:t>вероятно</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засну или задремлю</w:t>
      </w:r>
    </w:p>
    <w:p>
      <w:pPr>
        <w:spacing w:after="0" w:line="79" w:lineRule="exact"/>
        <w:rPr>
          <w:rFonts w:ascii="Arial" w:cs="Arial" w:eastAsia="Arial" w:hAnsi="Arial"/>
          <w:sz w:val="27"/>
          <w:szCs w:val="27"/>
          <w:color w:val="auto"/>
        </w:rPr>
      </w:pPr>
    </w:p>
    <w:p>
      <w:pPr>
        <w:ind w:left="660" w:hanging="284"/>
        <w:spacing w:after="0"/>
        <w:tabs>
          <w:tab w:leader="none" w:pos="660" w:val="left"/>
        </w:tabs>
        <w:numPr>
          <w:ilvl w:val="0"/>
          <w:numId w:val="109"/>
        </w:numPr>
        <w:rPr>
          <w:rFonts w:ascii="Arial" w:cs="Arial" w:eastAsia="Arial" w:hAnsi="Arial"/>
          <w:sz w:val="27"/>
          <w:szCs w:val="27"/>
          <w:color w:val="auto"/>
        </w:rPr>
      </w:pPr>
      <w:r>
        <w:rPr>
          <w:rFonts w:ascii="Arial" w:cs="Arial" w:eastAsia="Arial" w:hAnsi="Arial"/>
          <w:sz w:val="27"/>
          <w:szCs w:val="27"/>
          <w:b w:val="1"/>
          <w:bCs w:val="1"/>
          <w:color w:val="auto"/>
        </w:rPr>
        <w:t xml:space="preserve">- </w:t>
      </w:r>
      <w:r>
        <w:rPr>
          <w:rFonts w:ascii="Arial" w:cs="Arial" w:eastAsia="Arial" w:hAnsi="Arial"/>
          <w:sz w:val="27"/>
          <w:szCs w:val="27"/>
          <w:color w:val="auto"/>
        </w:rPr>
        <w:t>большая вероятность заснуть или задремать</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71"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58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сижу и читаю</w:t>
            </w:r>
          </w:p>
        </w:tc>
        <w:tc>
          <w:tcPr>
            <w:tcW w:w="540" w:type="dxa"/>
            <w:vAlign w:val="bottom"/>
            <w:tcBorders>
              <w:top w:val="single" w:sz="8" w:color="auto"/>
            </w:tcBorders>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Borders>
              <w:top w:val="single" w:sz="8" w:color="auto"/>
            </w:tcBorders>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Borders>
              <w:top w:val="single" w:sz="8" w:color="auto"/>
            </w:tcBorders>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top w:val="single" w:sz="8" w:color="auto"/>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r>
        <w:trPr>
          <w:trHeight w:val="343"/>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смотрю телевизор</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r>
        <w:trPr>
          <w:trHeight w:val="295"/>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сижу и не произвожу никаких активных действий в</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220"/>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общественном месте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в театре</w:t>
            </w:r>
            <w:r>
              <w:rPr>
                <w:rFonts w:ascii="Verdana" w:cs="Verdana" w:eastAsia="Verdana" w:hAnsi="Verdana"/>
                <w:sz w:val="17"/>
                <w:szCs w:val="17"/>
                <w:color w:val="auto"/>
              </w:rPr>
              <w:t>,</w:t>
            </w:r>
            <w:r>
              <w:rPr>
                <w:rFonts w:ascii="Verdana" w:cs="Verdana" w:eastAsia="Verdana" w:hAnsi="Verdana"/>
                <w:sz w:val="17"/>
                <w:szCs w:val="17"/>
                <w:color w:val="auto"/>
              </w:rPr>
              <w:t xml:space="preserve"> на собрании</w:t>
            </w:r>
            <w:r>
              <w:rPr>
                <w:rFonts w:ascii="Verdana" w:cs="Verdana" w:eastAsia="Verdana" w:hAnsi="Verdana"/>
                <w:sz w:val="17"/>
                <w:szCs w:val="17"/>
                <w:color w:val="auto"/>
              </w:rPr>
              <w:t>):</w:t>
            </w:r>
          </w:p>
        </w:tc>
        <w:tc>
          <w:tcPr>
            <w:tcW w:w="54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620" w:type="dxa"/>
            <w:vAlign w:val="bottom"/>
          </w:tcPr>
          <w:p>
            <w:pPr>
              <w:spacing w:after="0"/>
              <w:rPr>
                <w:sz w:val="19"/>
                <w:szCs w:val="19"/>
                <w:color w:val="auto"/>
              </w:rPr>
            </w:pPr>
          </w:p>
        </w:tc>
        <w:tc>
          <w:tcPr>
            <w:tcW w:w="840" w:type="dxa"/>
            <w:vAlign w:val="bottom"/>
            <w:tcBorders>
              <w:right w:val="single" w:sz="8" w:color="auto"/>
            </w:tcBorders>
          </w:tcPr>
          <w:p>
            <w:pPr>
              <w:spacing w:after="0"/>
              <w:rPr>
                <w:sz w:val="19"/>
                <w:szCs w:val="19"/>
                <w:color w:val="auto"/>
              </w:rPr>
            </w:pPr>
          </w:p>
        </w:tc>
      </w:tr>
      <w:tr>
        <w:trPr>
          <w:trHeight w:val="110"/>
        </w:trPr>
        <w:tc>
          <w:tcPr>
            <w:tcW w:w="5800" w:type="dxa"/>
            <w:vAlign w:val="bottom"/>
            <w:tcBorders>
              <w:left w:val="single" w:sz="8" w:color="auto"/>
              <w:bottom w:val="single" w:sz="8" w:color="auto"/>
              <w:right w:val="single" w:sz="8" w:color="auto"/>
            </w:tcBorders>
          </w:tcPr>
          <w:p>
            <w:pPr>
              <w:spacing w:after="0"/>
              <w:rPr>
                <w:sz w:val="9"/>
                <w:szCs w:val="9"/>
                <w:color w:val="auto"/>
              </w:rPr>
            </w:pPr>
          </w:p>
        </w:tc>
        <w:tc>
          <w:tcPr>
            <w:tcW w:w="54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620" w:type="dxa"/>
            <w:vAlign w:val="bottom"/>
            <w:tcBorders>
              <w:bottom w:val="single" w:sz="8" w:color="auto"/>
            </w:tcBorders>
          </w:tcPr>
          <w:p>
            <w:pPr>
              <w:spacing w:after="0"/>
              <w:rPr>
                <w:sz w:val="9"/>
                <w:szCs w:val="9"/>
                <w:color w:val="auto"/>
              </w:rPr>
            </w:pPr>
          </w:p>
        </w:tc>
        <w:tc>
          <w:tcPr>
            <w:tcW w:w="840" w:type="dxa"/>
            <w:vAlign w:val="bottom"/>
            <w:tcBorders>
              <w:bottom w:val="single" w:sz="8" w:color="auto"/>
              <w:right w:val="single" w:sz="8" w:color="auto"/>
            </w:tcBorders>
          </w:tcPr>
          <w:p>
            <w:pPr>
              <w:spacing w:after="0"/>
              <w:rPr>
                <w:sz w:val="9"/>
                <w:szCs w:val="9"/>
                <w:color w:val="auto"/>
              </w:rPr>
            </w:pPr>
          </w:p>
        </w:tc>
      </w:tr>
      <w:tr>
        <w:trPr>
          <w:trHeight w:val="295"/>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еду в машине в качестве пассажира в течение часа без</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220"/>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остановки</w:t>
            </w:r>
          </w:p>
        </w:tc>
        <w:tc>
          <w:tcPr>
            <w:tcW w:w="54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620" w:type="dxa"/>
            <w:vAlign w:val="bottom"/>
          </w:tcPr>
          <w:p>
            <w:pPr>
              <w:spacing w:after="0"/>
              <w:rPr>
                <w:sz w:val="19"/>
                <w:szCs w:val="19"/>
                <w:color w:val="auto"/>
              </w:rPr>
            </w:pPr>
          </w:p>
        </w:tc>
        <w:tc>
          <w:tcPr>
            <w:tcW w:w="840" w:type="dxa"/>
            <w:vAlign w:val="bottom"/>
            <w:tcBorders>
              <w:right w:val="single" w:sz="8" w:color="auto"/>
            </w:tcBorders>
          </w:tcPr>
          <w:p>
            <w:pPr>
              <w:spacing w:after="0"/>
              <w:rPr>
                <w:sz w:val="19"/>
                <w:szCs w:val="19"/>
                <w:color w:val="auto"/>
              </w:rPr>
            </w:pPr>
          </w:p>
        </w:tc>
      </w:tr>
      <w:tr>
        <w:trPr>
          <w:trHeight w:val="110"/>
        </w:trPr>
        <w:tc>
          <w:tcPr>
            <w:tcW w:w="5800" w:type="dxa"/>
            <w:vAlign w:val="bottom"/>
            <w:tcBorders>
              <w:left w:val="single" w:sz="8" w:color="auto"/>
              <w:bottom w:val="single" w:sz="8" w:color="auto"/>
              <w:right w:val="single" w:sz="8" w:color="auto"/>
            </w:tcBorders>
          </w:tcPr>
          <w:p>
            <w:pPr>
              <w:spacing w:after="0"/>
              <w:rPr>
                <w:sz w:val="9"/>
                <w:szCs w:val="9"/>
                <w:color w:val="auto"/>
              </w:rPr>
            </w:pPr>
          </w:p>
        </w:tc>
        <w:tc>
          <w:tcPr>
            <w:tcW w:w="54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620" w:type="dxa"/>
            <w:vAlign w:val="bottom"/>
            <w:tcBorders>
              <w:bottom w:val="single" w:sz="8" w:color="auto"/>
            </w:tcBorders>
          </w:tcPr>
          <w:p>
            <w:pPr>
              <w:spacing w:after="0"/>
              <w:rPr>
                <w:sz w:val="9"/>
                <w:szCs w:val="9"/>
                <w:color w:val="auto"/>
              </w:rPr>
            </w:pPr>
          </w:p>
        </w:tc>
        <w:tc>
          <w:tcPr>
            <w:tcW w:w="840" w:type="dxa"/>
            <w:vAlign w:val="bottom"/>
            <w:tcBorders>
              <w:bottom w:val="single" w:sz="8" w:color="auto"/>
              <w:right w:val="single" w:sz="8" w:color="auto"/>
            </w:tcBorders>
          </w:tcPr>
          <w:p>
            <w:pPr>
              <w:spacing w:after="0"/>
              <w:rPr>
                <w:sz w:val="9"/>
                <w:szCs w:val="9"/>
                <w:color w:val="auto"/>
              </w:rPr>
            </w:pPr>
          </w:p>
        </w:tc>
      </w:tr>
      <w:tr>
        <w:trPr>
          <w:trHeight w:val="343"/>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лежу днем и отдыхаю</w:t>
            </w:r>
            <w:r>
              <w:rPr>
                <w:rFonts w:ascii="Verdana" w:cs="Verdana" w:eastAsia="Verdana" w:hAnsi="Verdana"/>
                <w:sz w:val="17"/>
                <w:szCs w:val="17"/>
                <w:color w:val="auto"/>
              </w:rPr>
              <w:t>,</w:t>
            </w:r>
            <w:r>
              <w:rPr>
                <w:rFonts w:ascii="Verdana" w:cs="Verdana" w:eastAsia="Verdana" w:hAnsi="Verdana"/>
                <w:sz w:val="17"/>
                <w:szCs w:val="17"/>
                <w:color w:val="auto"/>
              </w:rPr>
              <w:t xml:space="preserve"> если позволяют обстоятельства</w:t>
            </w:r>
            <w:r>
              <w:rPr>
                <w:rFonts w:ascii="Verdana" w:cs="Verdana" w:eastAsia="Verdana" w:hAnsi="Verdana"/>
                <w:sz w:val="17"/>
                <w:szCs w:val="17"/>
                <w:color w:val="auto"/>
              </w:rPr>
              <w:t>:</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r>
        <w:trPr>
          <w:trHeight w:val="343"/>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Когда сижу и с кем</w:t>
            </w:r>
            <w:r>
              <w:rPr>
                <w:rFonts w:ascii="Verdana" w:cs="Verdana" w:eastAsia="Verdana" w:hAnsi="Verdana"/>
                <w:sz w:val="17"/>
                <w:szCs w:val="17"/>
                <w:color w:val="auto"/>
              </w:rPr>
              <w:t>-</w:t>
            </w:r>
            <w:r>
              <w:rPr>
                <w:rFonts w:ascii="Verdana" w:cs="Verdana" w:eastAsia="Verdana" w:hAnsi="Verdana"/>
                <w:sz w:val="17"/>
                <w:szCs w:val="17"/>
                <w:color w:val="auto"/>
              </w:rPr>
              <w:t>то разговариваю</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r>
        <w:trPr>
          <w:trHeight w:val="343"/>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Когда спокойно сижу после обеда </w:t>
            </w:r>
            <w:r>
              <w:rPr>
                <w:rFonts w:ascii="Verdana" w:cs="Verdana" w:eastAsia="Verdana" w:hAnsi="Verdana"/>
                <w:sz w:val="17"/>
                <w:szCs w:val="17"/>
                <w:color w:val="auto"/>
              </w:rPr>
              <w:t>(</w:t>
            </w:r>
            <w:r>
              <w:rPr>
                <w:rFonts w:ascii="Verdana" w:cs="Verdana" w:eastAsia="Verdana" w:hAnsi="Verdana"/>
                <w:sz w:val="17"/>
                <w:szCs w:val="17"/>
                <w:color w:val="auto"/>
              </w:rPr>
              <w:t>без алкоголя</w:t>
            </w:r>
            <w:r>
              <w:rPr>
                <w:rFonts w:ascii="Verdana" w:cs="Verdana" w:eastAsia="Verdana" w:hAnsi="Verdana"/>
                <w:sz w:val="17"/>
                <w:szCs w:val="17"/>
                <w:color w:val="auto"/>
              </w:rPr>
              <w:t>):</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r>
        <w:trPr>
          <w:trHeight w:val="343"/>
        </w:trPr>
        <w:tc>
          <w:tcPr>
            <w:tcW w:w="5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В машине</w:t>
            </w:r>
            <w:r>
              <w:rPr>
                <w:rFonts w:ascii="Verdana" w:cs="Verdana" w:eastAsia="Verdana" w:hAnsi="Verdana"/>
                <w:sz w:val="17"/>
                <w:szCs w:val="17"/>
                <w:color w:val="auto"/>
              </w:rPr>
              <w:t>,</w:t>
            </w:r>
            <w:r>
              <w:rPr>
                <w:rFonts w:ascii="Verdana" w:cs="Verdana" w:eastAsia="Verdana" w:hAnsi="Verdana"/>
                <w:sz w:val="17"/>
                <w:szCs w:val="17"/>
                <w:color w:val="auto"/>
              </w:rPr>
              <w:t xml:space="preserve"> если она на несколько минут остановилась</w:t>
            </w:r>
          </w:p>
        </w:tc>
        <w:tc>
          <w:tcPr>
            <w:tcW w:w="540" w:type="dxa"/>
            <w:vAlign w:val="bottom"/>
          </w:tcPr>
          <w:p>
            <w:pPr>
              <w:jc w:val="right"/>
              <w:ind w:right="217"/>
              <w:spacing w:after="0"/>
              <w:rPr>
                <w:sz w:val="20"/>
                <w:szCs w:val="20"/>
                <w:color w:val="auto"/>
              </w:rPr>
            </w:pPr>
            <w:r>
              <w:rPr>
                <w:rFonts w:ascii="Verdana" w:cs="Verdana" w:eastAsia="Verdana" w:hAnsi="Verdana"/>
                <w:sz w:val="17"/>
                <w:szCs w:val="17"/>
                <w:color w:val="auto"/>
              </w:rPr>
              <w:t>0</w:t>
            </w:r>
          </w:p>
        </w:tc>
        <w:tc>
          <w:tcPr>
            <w:tcW w:w="660" w:type="dxa"/>
            <w:vAlign w:val="bottom"/>
          </w:tcPr>
          <w:p>
            <w:pPr>
              <w:jc w:val="right"/>
              <w:ind w:right="177"/>
              <w:spacing w:after="0"/>
              <w:rPr>
                <w:sz w:val="20"/>
                <w:szCs w:val="20"/>
                <w:color w:val="auto"/>
              </w:rPr>
            </w:pPr>
            <w:r>
              <w:rPr>
                <w:rFonts w:ascii="Verdana" w:cs="Verdana" w:eastAsia="Verdana" w:hAnsi="Verdana"/>
                <w:sz w:val="17"/>
                <w:szCs w:val="17"/>
                <w:color w:val="auto"/>
              </w:rPr>
              <w:t>1</w:t>
            </w:r>
          </w:p>
        </w:tc>
        <w:tc>
          <w:tcPr>
            <w:tcW w:w="620" w:type="dxa"/>
            <w:vAlign w:val="bottom"/>
          </w:tcPr>
          <w:p>
            <w:pPr>
              <w:jc w:val="right"/>
              <w:ind w:right="177"/>
              <w:spacing w:after="0"/>
              <w:rPr>
                <w:sz w:val="20"/>
                <w:szCs w:val="20"/>
                <w:color w:val="auto"/>
              </w:rPr>
            </w:pPr>
            <w:r>
              <w:rPr>
                <w:rFonts w:ascii="Verdana" w:cs="Verdana" w:eastAsia="Verdana" w:hAnsi="Verdana"/>
                <w:sz w:val="17"/>
                <w:szCs w:val="17"/>
                <w:color w:val="auto"/>
              </w:rPr>
              <w:t>2</w:t>
            </w:r>
          </w:p>
        </w:tc>
        <w:tc>
          <w:tcPr>
            <w:tcW w:w="840" w:type="dxa"/>
            <w:vAlign w:val="bottom"/>
            <w:tcBorders>
              <w:right w:val="single" w:sz="8" w:color="auto"/>
            </w:tcBorders>
          </w:tcPr>
          <w:p>
            <w:pPr>
              <w:jc w:val="right"/>
              <w:ind w:right="377"/>
              <w:spacing w:after="0"/>
              <w:rPr>
                <w:sz w:val="20"/>
                <w:szCs w:val="20"/>
                <w:color w:val="auto"/>
              </w:rPr>
            </w:pPr>
            <w:r>
              <w:rPr>
                <w:rFonts w:ascii="Verdana" w:cs="Verdana" w:eastAsia="Verdana" w:hAnsi="Verdana"/>
                <w:sz w:val="17"/>
                <w:szCs w:val="17"/>
                <w:color w:val="auto"/>
              </w:rPr>
              <w:t>3</w:t>
            </w:r>
          </w:p>
        </w:tc>
      </w:tr>
      <w:tr>
        <w:trPr>
          <w:trHeight w:val="117"/>
        </w:trPr>
        <w:tc>
          <w:tcPr>
            <w:tcW w:w="5800" w:type="dxa"/>
            <w:vAlign w:val="bottom"/>
            <w:tcBorders>
              <w:left w:val="single" w:sz="8" w:color="auto"/>
              <w:bottom w:val="single" w:sz="8" w:color="auto"/>
              <w:right w:val="single" w:sz="8" w:color="auto"/>
            </w:tcBorders>
          </w:tcPr>
          <w:p>
            <w:pPr>
              <w:spacing w:after="0"/>
              <w:rPr>
                <w:sz w:val="10"/>
                <w:szCs w:val="10"/>
                <w:color w:val="auto"/>
              </w:rPr>
            </w:pPr>
          </w:p>
        </w:tc>
        <w:tc>
          <w:tcPr>
            <w:tcW w:w="540" w:type="dxa"/>
            <w:vAlign w:val="bottom"/>
            <w:tcBorders>
              <w:bottom w:val="single" w:sz="8" w:color="auto"/>
            </w:tcBorders>
          </w:tcPr>
          <w:p>
            <w:pPr>
              <w:spacing w:after="0"/>
              <w:rPr>
                <w:sz w:val="10"/>
                <w:szCs w:val="10"/>
                <w:color w:val="auto"/>
              </w:rPr>
            </w:pPr>
          </w:p>
        </w:tc>
        <w:tc>
          <w:tcPr>
            <w:tcW w:w="660" w:type="dxa"/>
            <w:vAlign w:val="bottom"/>
            <w:tcBorders>
              <w:bottom w:val="single" w:sz="8" w:color="auto"/>
            </w:tcBorders>
          </w:tcPr>
          <w:p>
            <w:pPr>
              <w:spacing w:after="0"/>
              <w:rPr>
                <w:sz w:val="10"/>
                <w:szCs w:val="10"/>
                <w:color w:val="auto"/>
              </w:rPr>
            </w:pPr>
          </w:p>
        </w:tc>
        <w:tc>
          <w:tcPr>
            <w:tcW w:w="620" w:type="dxa"/>
            <w:vAlign w:val="bottom"/>
            <w:tcBorders>
              <w:bottom w:val="single" w:sz="8" w:color="auto"/>
            </w:tcBorders>
          </w:tcPr>
          <w:p>
            <w:pPr>
              <w:spacing w:after="0"/>
              <w:rPr>
                <w:sz w:val="10"/>
                <w:szCs w:val="10"/>
                <w:color w:val="auto"/>
              </w:rPr>
            </w:pPr>
          </w:p>
        </w:tc>
        <w:tc>
          <w:tcPr>
            <w:tcW w:w="840" w:type="dxa"/>
            <w:vAlign w:val="bottom"/>
            <w:tcBorders>
              <w:bottom w:val="single" w:sz="8" w:color="auto"/>
              <w:right w:val="single" w:sz="8" w:color="auto"/>
            </w:tcBorders>
          </w:tcPr>
          <w:p>
            <w:pPr>
              <w:spacing w:after="0"/>
              <w:rPr>
                <w:sz w:val="10"/>
                <w:szCs w:val="10"/>
                <w:color w:val="auto"/>
              </w:rPr>
            </w:pPr>
          </w:p>
        </w:tc>
      </w:tr>
    </w:tbl>
    <w:p>
      <w:pPr>
        <w:spacing w:after="0" w:line="200" w:lineRule="exact"/>
        <w:rPr>
          <w:sz w:val="20"/>
          <w:szCs w:val="20"/>
          <w:color w:val="auto"/>
        </w:rPr>
      </w:pPr>
    </w:p>
    <w:p>
      <w:pPr>
        <w:sectPr>
          <w:pgSz w:w="11900" w:h="16840" w:orient="portrait"/>
          <w:cols w:equalWidth="0" w:num="1">
            <w:col w:w="9020"/>
          </w:cols>
          <w:pgMar w:left="1440" w:top="19" w:right="1440" w:bottom="0" w:gutter="0" w:footer="0" w:header="0"/>
        </w:sectPr>
      </w:pPr>
    </w:p>
    <w:p>
      <w:pPr>
        <w:spacing w:after="0" w:line="200" w:lineRule="exact"/>
        <w:rPr>
          <w:sz w:val="20"/>
          <w:szCs w:val="20"/>
          <w:color w:val="auto"/>
        </w:rPr>
      </w:pPr>
    </w:p>
    <w:p>
      <w:pPr>
        <w:spacing w:after="0" w:line="280"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Ключ </w:t>
      </w:r>
      <w:r>
        <w:rPr>
          <w:rFonts w:ascii="Arial" w:cs="Arial" w:eastAsia="Arial" w:hAnsi="Arial"/>
          <w:sz w:val="27"/>
          <w:szCs w:val="27"/>
          <w:b w:val="1"/>
          <w:bCs w:val="1"/>
          <w:color w:val="auto"/>
        </w:rPr>
        <w:t>(</w:t>
      </w:r>
      <w:r>
        <w:rPr>
          <w:rFonts w:ascii="Arial" w:cs="Arial" w:eastAsia="Arial" w:hAnsi="Arial"/>
          <w:sz w:val="27"/>
          <w:szCs w:val="27"/>
          <w:b w:val="1"/>
          <w:bCs w:val="1"/>
          <w:color w:val="auto"/>
        </w:rPr>
        <w:t>интерпретация</w:t>
      </w:r>
      <w:r>
        <w:rPr>
          <w:rFonts w:ascii="Arial" w:cs="Arial" w:eastAsia="Arial" w:hAnsi="Arial"/>
          <w:sz w:val="27"/>
          <w:szCs w:val="27"/>
          <w:b w:val="1"/>
          <w:bCs w:val="1"/>
          <w:color w:val="auto"/>
        </w:rPr>
        <w:t>):</w:t>
      </w:r>
    </w:p>
    <w:p>
      <w:pPr>
        <w:sectPr>
          <w:pgSz w:w="11900" w:h="16840" w:orient="portrait"/>
          <w:cols w:equalWidth="0" w:num="1">
            <w:col w:w="9020"/>
          </w:cols>
          <w:pgMar w:left="1440" w:top="19" w:right="1440" w:bottom="0" w:gutter="0" w:footer="0" w:header="0"/>
          <w:type w:val="continuous"/>
        </w:sectPr>
      </w:pPr>
    </w:p>
    <w:bookmarkStart w:id="152" w:name="page153"/>
    <w:bookmarkEnd w:id="152"/>
    <w:p>
      <w:pPr>
        <w:ind w:left="360"/>
        <w:spacing w:after="0"/>
        <w:tabs>
          <w:tab w:leader="none" w:pos="2800" w:val="left"/>
        </w:tabs>
        <w:rPr>
          <w:sz w:val="20"/>
          <w:szCs w:val="20"/>
          <w:color w:val="auto"/>
        </w:rPr>
      </w:pPr>
      <w:r>
        <w:rPr>
          <w:rFonts w:ascii="Arial" w:cs="Arial" w:eastAsia="Arial" w:hAnsi="Arial"/>
          <w:sz w:val="27"/>
          <w:szCs w:val="27"/>
          <w:color w:val="auto"/>
        </w:rPr>
        <w:t xml:space="preserve">1 — 6 </w:t>
      </w:r>
      <w:r>
        <w:rPr>
          <w:rFonts w:ascii="Arial" w:cs="Arial" w:eastAsia="Arial" w:hAnsi="Arial"/>
          <w:sz w:val="27"/>
          <w:szCs w:val="27"/>
          <w:color w:val="auto"/>
        </w:rPr>
        <w:t>баллов</w:t>
      </w:r>
      <w:r>
        <w:rPr>
          <w:rFonts w:ascii="Arial" w:cs="Arial" w:eastAsia="Arial" w:hAnsi="Arial"/>
          <w:sz w:val="27"/>
          <w:szCs w:val="27"/>
          <w:color w:val="auto"/>
        </w:rPr>
        <w:t>:</w:t>
      </w:r>
      <w:r>
        <w:rPr>
          <w:sz w:val="20"/>
          <w:szCs w:val="20"/>
          <w:color w:val="auto"/>
        </w:rPr>
        <w:tab/>
      </w:r>
      <w:r>
        <w:rPr>
          <w:rFonts w:ascii="Arial" w:cs="Arial" w:eastAsia="Arial" w:hAnsi="Arial"/>
          <w:sz w:val="27"/>
          <w:szCs w:val="27"/>
          <w:color w:val="auto"/>
        </w:rPr>
        <w:t>Нормальный сон</w:t>
      </w:r>
    </w:p>
    <w:p>
      <w:pPr>
        <w:spacing w:after="0" w:line="350" w:lineRule="exact"/>
        <w:rPr>
          <w:sz w:val="20"/>
          <w:szCs w:val="20"/>
          <w:color w:val="auto"/>
        </w:rPr>
      </w:pPr>
    </w:p>
    <w:p>
      <w:pPr>
        <w:ind w:left="360"/>
        <w:spacing w:after="0"/>
        <w:tabs>
          <w:tab w:leader="none" w:pos="2800" w:val="left"/>
        </w:tabs>
        <w:rPr>
          <w:sz w:val="20"/>
          <w:szCs w:val="20"/>
          <w:color w:val="auto"/>
        </w:rPr>
      </w:pPr>
      <w:r>
        <w:rPr>
          <w:rFonts w:ascii="Arial" w:cs="Arial" w:eastAsia="Arial" w:hAnsi="Arial"/>
          <w:sz w:val="27"/>
          <w:szCs w:val="27"/>
          <w:color w:val="auto"/>
        </w:rPr>
        <w:t xml:space="preserve">7 — 8 </w:t>
      </w:r>
      <w:r>
        <w:rPr>
          <w:rFonts w:ascii="Arial" w:cs="Arial" w:eastAsia="Arial" w:hAnsi="Arial"/>
          <w:sz w:val="27"/>
          <w:szCs w:val="27"/>
          <w:color w:val="auto"/>
        </w:rPr>
        <w:t>баллов</w:t>
      </w:r>
      <w:r>
        <w:rPr>
          <w:rFonts w:ascii="Arial" w:cs="Arial" w:eastAsia="Arial" w:hAnsi="Arial"/>
          <w:sz w:val="27"/>
          <w:szCs w:val="27"/>
          <w:color w:val="auto"/>
        </w:rPr>
        <w:t>:</w:t>
      </w:r>
      <w:r>
        <w:rPr>
          <w:sz w:val="20"/>
          <w:szCs w:val="20"/>
          <w:color w:val="auto"/>
        </w:rPr>
        <w:tab/>
      </w:r>
      <w:r>
        <w:rPr>
          <w:rFonts w:ascii="Arial" w:cs="Arial" w:eastAsia="Arial" w:hAnsi="Arial"/>
          <w:sz w:val="26"/>
          <w:szCs w:val="26"/>
          <w:color w:val="auto"/>
        </w:rPr>
        <w:t>Умеренная сонливость</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9 — 24 </w:t>
      </w:r>
      <w:r>
        <w:rPr>
          <w:rFonts w:ascii="Arial" w:cs="Arial" w:eastAsia="Arial" w:hAnsi="Arial"/>
          <w:sz w:val="27"/>
          <w:szCs w:val="27"/>
          <w:color w:val="auto"/>
        </w:rPr>
        <w:t>баллов</w:t>
      </w:r>
      <w:r>
        <w:rPr>
          <w:rFonts w:ascii="Arial" w:cs="Arial" w:eastAsia="Arial" w:hAnsi="Arial"/>
          <w:sz w:val="27"/>
          <w:szCs w:val="27"/>
          <w:color w:val="auto"/>
        </w:rPr>
        <w:t xml:space="preserve">: </w:t>
      </w:r>
      <w:r>
        <w:rPr>
          <w:rFonts w:ascii="Arial" w:cs="Arial" w:eastAsia="Arial" w:hAnsi="Arial"/>
          <w:sz w:val="27"/>
          <w:szCs w:val="27"/>
          <w:color w:val="auto"/>
        </w:rPr>
        <w:t>Аномальная</w:t>
      </w:r>
      <w:r>
        <w:rPr>
          <w:rFonts w:ascii="Arial" w:cs="Arial" w:eastAsia="Arial" w:hAnsi="Arial"/>
          <w:sz w:val="27"/>
          <w:szCs w:val="27"/>
          <w:color w:val="auto"/>
        </w:rPr>
        <w:t xml:space="preserve"> (</w:t>
      </w:r>
      <w:r>
        <w:rPr>
          <w:rFonts w:ascii="Arial" w:cs="Arial" w:eastAsia="Arial" w:hAnsi="Arial"/>
          <w:sz w:val="27"/>
          <w:szCs w:val="27"/>
          <w:color w:val="auto"/>
        </w:rPr>
        <w:t>возможно</w:t>
      </w:r>
      <w:r>
        <w:rPr>
          <w:rFonts w:ascii="Arial" w:cs="Arial" w:eastAsia="Arial" w:hAnsi="Arial"/>
          <w:sz w:val="27"/>
          <w:szCs w:val="27"/>
          <w:color w:val="auto"/>
        </w:rPr>
        <w:t xml:space="preserve">, </w:t>
      </w:r>
      <w:r>
        <w:rPr>
          <w:rFonts w:ascii="Arial" w:cs="Arial" w:eastAsia="Arial" w:hAnsi="Arial"/>
          <w:sz w:val="27"/>
          <w:szCs w:val="27"/>
          <w:color w:val="auto"/>
        </w:rPr>
        <w:t>патологическая</w:t>
      </w:r>
      <w:r>
        <w:rPr>
          <w:rFonts w:ascii="Arial" w:cs="Arial" w:eastAsia="Arial" w:hAnsi="Arial"/>
          <w:sz w:val="27"/>
          <w:szCs w:val="27"/>
          <w:color w:val="auto"/>
        </w:rPr>
        <w:t xml:space="preserve">) </w:t>
      </w:r>
      <w:r>
        <w:rPr>
          <w:rFonts w:ascii="Arial" w:cs="Arial" w:eastAsia="Arial" w:hAnsi="Arial"/>
          <w:sz w:val="27"/>
          <w:szCs w:val="27"/>
          <w:color w:val="auto"/>
        </w:rPr>
        <w:t>сонливость</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Пояснения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нет</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0" w:lineRule="exact"/>
        <w:rPr>
          <w:sz w:val="20"/>
          <w:szCs w:val="20"/>
          <w:color w:val="auto"/>
        </w:rPr>
      </w:pPr>
    </w:p>
    <w:p>
      <w:pPr>
        <w:jc w:val="both"/>
        <w:ind w:left="360" w:right="2300"/>
        <w:spacing w:after="0" w:line="510"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6/</w:t>
      </w:r>
      <w:r>
        <w:rPr>
          <w:rFonts w:ascii="Arial" w:cs="Arial" w:eastAsia="Arial" w:hAnsi="Arial"/>
          <w:sz w:val="27"/>
          <w:szCs w:val="27"/>
          <w:b w:val="1"/>
          <w:bCs w:val="1"/>
          <w:color w:val="auto"/>
        </w:rPr>
        <w:t>Г</w:t>
      </w:r>
      <w:r>
        <w:rPr>
          <w:rFonts w:ascii="Arial" w:cs="Arial" w:eastAsia="Arial" w:hAnsi="Arial"/>
          <w:sz w:val="27"/>
          <w:szCs w:val="27"/>
          <w:b w:val="1"/>
          <w:bCs w:val="1"/>
          <w:color w:val="auto"/>
        </w:rPr>
        <w:t>3.</w:t>
      </w:r>
      <w:r>
        <w:rPr>
          <w:rFonts w:ascii="Arial" w:cs="Arial" w:eastAsia="Arial" w:hAnsi="Arial"/>
          <w:sz w:val="27"/>
          <w:szCs w:val="27"/>
          <w:b w:val="1"/>
          <w:bCs w:val="1"/>
          <w:color w:val="auto"/>
        </w:rPr>
        <w:t xml:space="preserve"> Опросник </w:t>
      </w:r>
      <w:r>
        <w:rPr>
          <w:rFonts w:ascii="Arial" w:cs="Arial" w:eastAsia="Arial" w:hAnsi="Arial"/>
          <w:sz w:val="27"/>
          <w:szCs w:val="27"/>
          <w:b w:val="1"/>
          <w:bCs w:val="1"/>
          <w:color w:val="auto"/>
        </w:rPr>
        <w:t>«</w:t>
      </w:r>
      <w:r>
        <w:rPr>
          <w:rFonts w:ascii="Arial" w:cs="Arial" w:eastAsia="Arial" w:hAnsi="Arial"/>
          <w:sz w:val="27"/>
          <w:szCs w:val="27"/>
          <w:b w:val="1"/>
          <w:bCs w:val="1"/>
          <w:color w:val="auto"/>
        </w:rPr>
        <w:t>Возраст не помеха</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Название на русском языке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Возраст не помеха</w:t>
      </w:r>
      <w:r>
        <w:rPr>
          <w:rFonts w:ascii="Arial" w:cs="Arial" w:eastAsia="Arial" w:hAnsi="Arial"/>
          <w:sz w:val="27"/>
          <w:szCs w:val="27"/>
          <w:b w:val="1"/>
          <w:bCs w:val="1"/>
          <w:color w:val="auto"/>
        </w:rPr>
        <w:t xml:space="preserve"> Оригинальное название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если есть</w:t>
      </w:r>
      <w:r>
        <w:rPr>
          <w:rFonts w:ascii="Arial" w:cs="Arial" w:eastAsia="Arial" w:hAnsi="Arial"/>
          <w:sz w:val="27"/>
          <w:szCs w:val="27"/>
          <w:b w:val="1"/>
          <w:bCs w:val="1"/>
          <w:color w:val="auto"/>
        </w:rPr>
        <w:t>):</w:t>
      </w:r>
    </w:p>
    <w:p>
      <w:pPr>
        <w:spacing w:after="0" w:line="2" w:lineRule="exact"/>
        <w:rPr>
          <w:sz w:val="20"/>
          <w:szCs w:val="20"/>
          <w:color w:val="auto"/>
        </w:rPr>
      </w:pPr>
    </w:p>
    <w:p>
      <w:pPr>
        <w:jc w:val="both"/>
        <w:ind w:left="360" w:right="220"/>
        <w:spacing w:after="0" w:line="312" w:lineRule="auto"/>
        <w:rPr>
          <w:sz w:val="20"/>
          <w:szCs w:val="20"/>
          <w:color w:val="auto"/>
        </w:rPr>
      </w:pPr>
      <w:r>
        <w:rPr>
          <w:rFonts w:ascii="Arial" w:cs="Arial" w:eastAsia="Arial" w:hAnsi="Arial"/>
          <w:sz w:val="27"/>
          <w:szCs w:val="27"/>
          <w:b w:val="1"/>
          <w:bCs w:val="1"/>
          <w:color w:val="auto"/>
        </w:rPr>
        <w:t xml:space="preserve">Источник </w:t>
      </w:r>
      <w:r>
        <w:rPr>
          <w:rFonts w:ascii="Arial" w:cs="Arial" w:eastAsia="Arial" w:hAnsi="Arial"/>
          <w:sz w:val="27"/>
          <w:szCs w:val="27"/>
          <w:b w:val="1"/>
          <w:bCs w:val="1"/>
          <w:color w:val="auto"/>
        </w:rPr>
        <w:t>(</w:t>
      </w:r>
      <w:r>
        <w:rPr>
          <w:rFonts w:ascii="Arial" w:cs="Arial" w:eastAsia="Arial" w:hAnsi="Arial"/>
          <w:sz w:val="27"/>
          <w:szCs w:val="27"/>
          <w:b w:val="1"/>
          <w:bCs w:val="1"/>
          <w:color w:val="auto"/>
        </w:rPr>
        <w:t>официальный сайт разработчиков</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публикация с валидацией</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Общероссийская общественная организация</w:t>
      </w:r>
      <w:r>
        <w:rPr>
          <w:rFonts w:ascii="Arial" w:cs="Arial" w:eastAsia="Arial" w:hAnsi="Arial"/>
          <w:sz w:val="27"/>
          <w:szCs w:val="27"/>
          <w:b w:val="1"/>
          <w:bCs w:val="1"/>
          <w:color w:val="auto"/>
        </w:rPr>
        <w:t xml:space="preserve"> </w:t>
      </w:r>
      <w:r>
        <w:rPr>
          <w:rFonts w:ascii="Arial" w:cs="Arial" w:eastAsia="Arial" w:hAnsi="Arial"/>
          <w:sz w:val="27"/>
          <w:szCs w:val="27"/>
          <w:color w:val="auto"/>
        </w:rPr>
        <w:t>«</w:t>
      </w:r>
      <w:r>
        <w:rPr>
          <w:rFonts w:ascii="Arial" w:cs="Arial" w:eastAsia="Arial" w:hAnsi="Arial"/>
          <w:sz w:val="27"/>
          <w:szCs w:val="27"/>
          <w:color w:val="auto"/>
        </w:rPr>
        <w:t>Российская ассоциация геронтологов и гериатров</w:t>
      </w:r>
      <w:r>
        <w:rPr>
          <w:rFonts w:ascii="Arial" w:cs="Arial" w:eastAsia="Arial" w:hAnsi="Arial"/>
          <w:sz w:val="27"/>
          <w:szCs w:val="27"/>
          <w:color w:val="auto"/>
        </w:rPr>
        <w:t xml:space="preserve"> «</w:t>
      </w:r>
      <w:r>
        <w:rPr>
          <w:rFonts w:ascii="Arial" w:cs="Arial" w:eastAsia="Arial" w:hAnsi="Arial"/>
          <w:sz w:val="27"/>
          <w:szCs w:val="27"/>
          <w:color w:val="auto"/>
        </w:rPr>
        <w:t>Клинические</w:t>
      </w:r>
      <w:r>
        <w:rPr>
          <w:rFonts w:ascii="Arial" w:cs="Arial" w:eastAsia="Arial" w:hAnsi="Arial"/>
          <w:sz w:val="27"/>
          <w:szCs w:val="27"/>
          <w:color w:val="auto"/>
        </w:rPr>
        <w:t xml:space="preserve"> </w:t>
      </w:r>
      <w:r>
        <w:rPr>
          <w:rFonts w:ascii="Arial" w:cs="Arial" w:eastAsia="Arial" w:hAnsi="Arial"/>
          <w:sz w:val="27"/>
          <w:szCs w:val="27"/>
          <w:color w:val="auto"/>
        </w:rPr>
        <w:t xml:space="preserve">рекомендации </w:t>
      </w:r>
      <w:r>
        <w:rPr>
          <w:rFonts w:ascii="Arial" w:cs="Arial" w:eastAsia="Arial" w:hAnsi="Arial"/>
          <w:sz w:val="27"/>
          <w:szCs w:val="27"/>
          <w:color w:val="auto"/>
        </w:rPr>
        <w:t>«</w:t>
      </w:r>
      <w:r>
        <w:rPr>
          <w:rFonts w:ascii="Arial" w:cs="Arial" w:eastAsia="Arial" w:hAnsi="Arial"/>
          <w:sz w:val="27"/>
          <w:szCs w:val="27"/>
          <w:color w:val="auto"/>
        </w:rPr>
        <w:t>Старческая астения</w:t>
      </w:r>
      <w:r>
        <w:rPr>
          <w:rFonts w:ascii="Arial" w:cs="Arial" w:eastAsia="Arial" w:hAnsi="Arial"/>
          <w:sz w:val="27"/>
          <w:szCs w:val="27"/>
          <w:color w:val="auto"/>
        </w:rPr>
        <w:t>» 2018</w:t>
      </w:r>
      <w:r>
        <w:rPr>
          <w:rFonts w:ascii="Arial" w:cs="Arial" w:eastAsia="Arial" w:hAnsi="Arial"/>
          <w:sz w:val="27"/>
          <w:szCs w:val="27"/>
          <w:color w:val="auto"/>
        </w:rPr>
        <w:t xml:space="preserve"> г</w:t>
      </w:r>
      <w:r>
        <w:rPr>
          <w:rFonts w:ascii="Arial" w:cs="Arial" w:eastAsia="Arial" w:hAnsi="Arial"/>
          <w:sz w:val="27"/>
          <w:szCs w:val="27"/>
          <w:color w:val="auto"/>
        </w:rPr>
        <w:t>.</w:t>
      </w:r>
    </w:p>
    <w:p>
      <w:pPr>
        <w:spacing w:after="0" w:line="21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Тип </w:t>
      </w:r>
      <w:r>
        <w:rPr>
          <w:rFonts w:ascii="Arial" w:cs="Arial" w:eastAsia="Arial" w:hAnsi="Arial"/>
          <w:sz w:val="27"/>
          <w:szCs w:val="27"/>
          <w:b w:val="1"/>
          <w:bCs w:val="1"/>
          <w:color w:val="auto"/>
        </w:rPr>
        <w:t>(</w:t>
      </w:r>
      <w:r>
        <w:rPr>
          <w:rFonts w:ascii="Arial" w:cs="Arial" w:eastAsia="Arial" w:hAnsi="Arial"/>
          <w:sz w:val="27"/>
          <w:szCs w:val="27"/>
          <w:b w:val="1"/>
          <w:bCs w:val="1"/>
          <w:color w:val="auto"/>
        </w:rPr>
        <w:t>подчеркнуть</w:t>
      </w:r>
      <w:r>
        <w:rPr>
          <w:rFonts w:ascii="Arial" w:cs="Arial" w:eastAsia="Arial" w:hAnsi="Arial"/>
          <w:sz w:val="27"/>
          <w:szCs w:val="27"/>
          <w:b w:val="1"/>
          <w:bCs w:val="1"/>
          <w:color w:val="auto"/>
        </w:rPr>
        <w:t>):</w:t>
      </w:r>
    </w:p>
    <w:p>
      <w:pPr>
        <w:spacing w:after="0" w:line="350"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u w:val="single" w:color="auto"/>
          <w:color w:val="auto"/>
        </w:rPr>
        <w:t>шкала оценки</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индекс</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вопросник</w:t>
      </w:r>
    </w:p>
    <w:p>
      <w:pPr>
        <w:spacing w:after="0" w:line="349" w:lineRule="exact"/>
        <w:rPr>
          <w:sz w:val="20"/>
          <w:szCs w:val="20"/>
          <w:color w:val="auto"/>
        </w:rPr>
      </w:pPr>
    </w:p>
    <w:p>
      <w:pPr>
        <w:ind w:left="620"/>
        <w:spacing w:after="0"/>
        <w:rPr>
          <w:sz w:val="20"/>
          <w:szCs w:val="20"/>
          <w:color w:val="auto"/>
        </w:rPr>
      </w:pPr>
      <w:r>
        <w:rPr>
          <w:rFonts w:ascii="Arial" w:cs="Arial" w:eastAsia="Arial" w:hAnsi="Arial"/>
          <w:sz w:val="27"/>
          <w:szCs w:val="27"/>
          <w:color w:val="auto"/>
        </w:rPr>
        <w:t xml:space="preserve">— </w:t>
      </w:r>
      <w:r>
        <w:rPr>
          <w:rFonts w:ascii="Arial" w:cs="Arial" w:eastAsia="Arial" w:hAnsi="Arial"/>
          <w:sz w:val="27"/>
          <w:szCs w:val="27"/>
          <w:color w:val="auto"/>
        </w:rPr>
        <w:t>другое</w:t>
      </w:r>
      <w:r>
        <w:rPr>
          <w:rFonts w:ascii="Arial" w:cs="Arial" w:eastAsia="Arial" w:hAnsi="Arial"/>
          <w:sz w:val="27"/>
          <w:szCs w:val="27"/>
          <w:color w:val="auto"/>
        </w:rPr>
        <w:t xml:space="preserve"> (</w:t>
      </w:r>
      <w:r>
        <w:rPr>
          <w:rFonts w:ascii="Arial" w:cs="Arial" w:eastAsia="Arial" w:hAnsi="Arial"/>
          <w:sz w:val="27"/>
          <w:szCs w:val="27"/>
          <w:color w:val="auto"/>
        </w:rPr>
        <w:t>уточнить</w:t>
      </w:r>
      <w:r>
        <w:rPr>
          <w:rFonts w:ascii="Arial" w:cs="Arial" w:eastAsia="Arial" w:hAnsi="Arial"/>
          <w:sz w:val="27"/>
          <w:szCs w:val="27"/>
          <w:color w:val="auto"/>
        </w:rPr>
        <w:t>):</w:t>
      </w:r>
    </w:p>
    <w:p>
      <w:pPr>
        <w:spacing w:after="0" w:line="350" w:lineRule="exact"/>
        <w:rPr>
          <w:sz w:val="20"/>
          <w:szCs w:val="20"/>
          <w:color w:val="auto"/>
        </w:rPr>
      </w:pPr>
    </w:p>
    <w:p>
      <w:pPr>
        <w:ind w:left="360" w:right="220"/>
        <w:spacing w:after="0" w:line="334" w:lineRule="auto"/>
        <w:rPr>
          <w:sz w:val="20"/>
          <w:szCs w:val="20"/>
          <w:color w:val="auto"/>
        </w:rPr>
      </w:pPr>
      <w:r>
        <w:rPr>
          <w:rFonts w:ascii="Arial" w:cs="Arial" w:eastAsia="Arial" w:hAnsi="Arial"/>
          <w:sz w:val="27"/>
          <w:szCs w:val="27"/>
          <w:b w:val="1"/>
          <w:bCs w:val="1"/>
          <w:color w:val="auto"/>
        </w:rPr>
        <w:t>Назначение</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серия вопросов</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которые используют для изучения</w:t>
      </w:r>
      <w:r>
        <w:rPr>
          <w:rFonts w:ascii="Arial" w:cs="Arial" w:eastAsia="Arial" w:hAnsi="Arial"/>
          <w:sz w:val="27"/>
          <w:szCs w:val="27"/>
          <w:b w:val="1"/>
          <w:bCs w:val="1"/>
          <w:color w:val="auto"/>
        </w:rPr>
        <w:t xml:space="preserve"> </w:t>
      </w:r>
      <w:r>
        <w:rPr>
          <w:rFonts w:ascii="Arial" w:cs="Arial" w:eastAsia="Arial" w:hAnsi="Arial"/>
          <w:sz w:val="27"/>
          <w:szCs w:val="27"/>
          <w:color w:val="auto"/>
        </w:rPr>
        <w:t>воздействия сна на дневной образ жизни</w:t>
      </w:r>
      <w:r>
        <w:rPr>
          <w:rFonts w:ascii="Arial" w:cs="Arial" w:eastAsia="Arial" w:hAnsi="Arial"/>
          <w:sz w:val="27"/>
          <w:szCs w:val="27"/>
          <w:color w:val="auto"/>
        </w:rPr>
        <w:t>.</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Содержание </w:t>
      </w:r>
      <w:r>
        <w:rPr>
          <w:rFonts w:ascii="Arial" w:cs="Arial" w:eastAsia="Arial" w:hAnsi="Arial"/>
          <w:sz w:val="27"/>
          <w:szCs w:val="27"/>
          <w:b w:val="1"/>
          <w:bCs w:val="1"/>
          <w:color w:val="auto"/>
        </w:rPr>
        <w:t>(</w:t>
      </w:r>
      <w:r>
        <w:rPr>
          <w:rFonts w:ascii="Arial" w:cs="Arial" w:eastAsia="Arial" w:hAnsi="Arial"/>
          <w:sz w:val="27"/>
          <w:szCs w:val="27"/>
          <w:b w:val="1"/>
          <w:bCs w:val="1"/>
          <w:color w:val="auto"/>
        </w:rPr>
        <w:t>шаблон</w:t>
      </w:r>
      <w:r>
        <w:rPr>
          <w:rFonts w:ascii="Arial" w:cs="Arial" w:eastAsia="Arial" w:hAnsi="Arial"/>
          <w:sz w:val="27"/>
          <w:szCs w:val="27"/>
          <w:b w:val="1"/>
          <w:bCs w:val="1"/>
          <w:color w:val="auto"/>
        </w:rPr>
        <w:t>):</w:t>
      </w:r>
    </w:p>
    <w:p>
      <w:pPr>
        <w:spacing w:after="0" w:line="310"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164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w:t>
            </w:r>
          </w:p>
        </w:tc>
        <w:tc>
          <w:tcPr>
            <w:tcW w:w="468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Вопрос</w:t>
            </w:r>
          </w:p>
        </w:tc>
        <w:tc>
          <w:tcPr>
            <w:tcW w:w="214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Ответ</w:t>
            </w:r>
          </w:p>
        </w:tc>
      </w:tr>
      <w:tr>
        <w:trPr>
          <w:trHeight w:val="117"/>
        </w:trPr>
        <w:tc>
          <w:tcPr>
            <w:tcW w:w="1640" w:type="dxa"/>
            <w:vAlign w:val="bottom"/>
            <w:tcBorders>
              <w:left w:val="single" w:sz="8" w:color="auto"/>
              <w:bottom w:val="single" w:sz="8" w:color="auto"/>
              <w:right w:val="single" w:sz="8" w:color="auto"/>
            </w:tcBorders>
          </w:tcPr>
          <w:p>
            <w:pPr>
              <w:spacing w:after="0"/>
              <w:rPr>
                <w:sz w:val="10"/>
                <w:szCs w:val="10"/>
                <w:color w:val="auto"/>
              </w:rPr>
            </w:pPr>
          </w:p>
        </w:tc>
        <w:tc>
          <w:tcPr>
            <w:tcW w:w="4680" w:type="dxa"/>
            <w:vAlign w:val="bottom"/>
            <w:tcBorders>
              <w:bottom w:val="single" w:sz="8" w:color="auto"/>
              <w:right w:val="single" w:sz="8" w:color="auto"/>
            </w:tcBorders>
          </w:tcPr>
          <w:p>
            <w:pPr>
              <w:spacing w:after="0"/>
              <w:rPr>
                <w:sz w:val="10"/>
                <w:szCs w:val="10"/>
                <w:color w:val="auto"/>
              </w:rPr>
            </w:pPr>
          </w:p>
        </w:tc>
        <w:tc>
          <w:tcPr>
            <w:tcW w:w="2140" w:type="dxa"/>
            <w:vAlign w:val="bottom"/>
            <w:tcBorders>
              <w:bottom w:val="single" w:sz="8" w:color="auto"/>
              <w:right w:val="single" w:sz="8" w:color="auto"/>
            </w:tcBorders>
          </w:tcPr>
          <w:p>
            <w:pPr>
              <w:spacing w:after="0"/>
              <w:rPr>
                <w:sz w:val="10"/>
                <w:szCs w:val="10"/>
                <w:color w:val="auto"/>
              </w:rPr>
            </w:pPr>
          </w:p>
        </w:tc>
      </w:tr>
      <w:tr>
        <w:trPr>
          <w:trHeight w:val="295"/>
        </w:trPr>
        <w:tc>
          <w:tcPr>
            <w:tcW w:w="16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1</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 xml:space="preserve">Похудели ли Вы на </w:t>
            </w:r>
            <w:r>
              <w:rPr>
                <w:rFonts w:ascii="Verdana" w:cs="Verdana" w:eastAsia="Verdana" w:hAnsi="Verdana"/>
                <w:sz w:val="17"/>
                <w:szCs w:val="17"/>
                <w:color w:val="auto"/>
              </w:rPr>
              <w:t>5</w:t>
            </w:r>
            <w:r>
              <w:rPr>
                <w:rFonts w:ascii="Verdana" w:cs="Verdana" w:eastAsia="Verdana" w:hAnsi="Verdana"/>
                <w:sz w:val="17"/>
                <w:szCs w:val="17"/>
                <w:color w:val="auto"/>
              </w:rPr>
              <w:t xml:space="preserve"> кг и более за последние </w:t>
            </w:r>
            <w:r>
              <w:rPr>
                <w:rFonts w:ascii="Verdana" w:cs="Verdana" w:eastAsia="Verdana" w:hAnsi="Verdana"/>
                <w:sz w:val="17"/>
                <w:szCs w:val="17"/>
                <w:color w:val="auto"/>
              </w:rPr>
              <w:t>6</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месяцев</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r>
        <w:trPr>
          <w:trHeight w:val="295"/>
        </w:trPr>
        <w:tc>
          <w:tcPr>
            <w:tcW w:w="16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2</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Испытываете ли Вы какие</w:t>
            </w:r>
            <w:r>
              <w:rPr>
                <w:rFonts w:ascii="Verdana" w:cs="Verdana" w:eastAsia="Verdana" w:hAnsi="Verdana"/>
                <w:sz w:val="17"/>
                <w:szCs w:val="17"/>
                <w:color w:val="auto"/>
              </w:rPr>
              <w:t>-</w:t>
            </w:r>
            <w:r>
              <w:rPr>
                <w:rFonts w:ascii="Verdana" w:cs="Verdana" w:eastAsia="Verdana" w:hAnsi="Verdana"/>
                <w:sz w:val="17"/>
                <w:szCs w:val="17"/>
                <w:color w:val="auto"/>
              </w:rPr>
              <w:t>либо ограничения в</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165"/>
        </w:trPr>
        <w:tc>
          <w:tcPr>
            <w:tcW w:w="1640" w:type="dxa"/>
            <w:vAlign w:val="bottom"/>
            <w:tcBorders>
              <w:left w:val="single" w:sz="8" w:color="auto"/>
              <w:right w:val="single" w:sz="8" w:color="auto"/>
            </w:tcBorders>
          </w:tcPr>
          <w:p>
            <w:pPr>
              <w:spacing w:after="0"/>
              <w:rPr>
                <w:sz w:val="14"/>
                <w:szCs w:val="14"/>
                <w:color w:val="auto"/>
              </w:rPr>
            </w:pPr>
          </w:p>
        </w:tc>
        <w:tc>
          <w:tcPr>
            <w:tcW w:w="46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повседневной жизни из</w:t>
            </w:r>
            <w:r>
              <w:rPr>
                <w:rFonts w:ascii="Verdana" w:cs="Verdana" w:eastAsia="Verdana" w:hAnsi="Verdana"/>
                <w:sz w:val="17"/>
                <w:szCs w:val="17"/>
                <w:color w:val="auto"/>
              </w:rPr>
              <w:t>-</w:t>
            </w:r>
            <w:r>
              <w:rPr>
                <w:rFonts w:ascii="Verdana" w:cs="Verdana" w:eastAsia="Verdana" w:hAnsi="Verdana"/>
                <w:sz w:val="17"/>
                <w:szCs w:val="17"/>
                <w:color w:val="auto"/>
              </w:rPr>
              <w:t>за снижения зрения или</w:t>
            </w:r>
          </w:p>
        </w:tc>
        <w:tc>
          <w:tcPr>
            <w:tcW w:w="2140" w:type="dxa"/>
            <w:vAlign w:val="bottom"/>
            <w:tcBorders>
              <w:right w:val="single" w:sz="8" w:color="auto"/>
            </w:tcBorders>
          </w:tcPr>
          <w:p>
            <w:pPr>
              <w:spacing w:after="0"/>
              <w:rPr>
                <w:sz w:val="14"/>
                <w:szCs w:val="14"/>
                <w:color w:val="auto"/>
              </w:rPr>
            </w:pP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слуха</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r>
        <w:trPr>
          <w:trHeight w:val="295"/>
        </w:trPr>
        <w:tc>
          <w:tcPr>
            <w:tcW w:w="16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3</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Были ли у Вас в течение последнего года травмы</w:t>
            </w:r>
            <w:r>
              <w:rPr>
                <w:rFonts w:ascii="Verdana" w:cs="Verdana" w:eastAsia="Verdana" w:hAnsi="Verdana"/>
                <w:sz w:val="17"/>
                <w:szCs w:val="17"/>
                <w:color w:val="auto"/>
              </w:rPr>
              <w:t>,</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связанные с падением</w:t>
            </w:r>
            <w:r>
              <w:rPr>
                <w:rFonts w:ascii="Verdana" w:cs="Verdana" w:eastAsia="Verdana" w:hAnsi="Verdana"/>
                <w:sz w:val="17"/>
                <w:szCs w:val="17"/>
                <w:color w:val="auto"/>
              </w:rPr>
              <w:t>,</w:t>
            </w:r>
            <w:r>
              <w:rPr>
                <w:rFonts w:ascii="Verdana" w:cs="Verdana" w:eastAsia="Verdana" w:hAnsi="Verdana"/>
                <w:sz w:val="17"/>
                <w:szCs w:val="17"/>
                <w:color w:val="auto"/>
              </w:rPr>
              <w:t xml:space="preserve"> или падения без травм</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r>
        <w:trPr>
          <w:trHeight w:val="295"/>
        </w:trPr>
        <w:tc>
          <w:tcPr>
            <w:tcW w:w="16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4</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Чувствуете ли Вы себя подавленным</w:t>
            </w:r>
            <w:r>
              <w:rPr>
                <w:rFonts w:ascii="Verdana" w:cs="Verdana" w:eastAsia="Verdana" w:hAnsi="Verdana"/>
                <w:sz w:val="17"/>
                <w:szCs w:val="17"/>
                <w:color w:val="auto"/>
              </w:rPr>
              <w:t>,</w:t>
            </w:r>
            <w:r>
              <w:rPr>
                <w:rFonts w:ascii="Verdana" w:cs="Verdana" w:eastAsia="Verdana" w:hAnsi="Verdana"/>
                <w:sz w:val="17"/>
                <w:szCs w:val="17"/>
                <w:color w:val="auto"/>
              </w:rPr>
              <w:t xml:space="preserve"> грустным</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165"/>
        </w:trPr>
        <w:tc>
          <w:tcPr>
            <w:tcW w:w="1640" w:type="dxa"/>
            <w:vAlign w:val="bottom"/>
            <w:tcBorders>
              <w:left w:val="single" w:sz="8" w:color="auto"/>
              <w:right w:val="single" w:sz="8" w:color="auto"/>
            </w:tcBorders>
          </w:tcPr>
          <w:p>
            <w:pPr>
              <w:spacing w:after="0"/>
              <w:rPr>
                <w:sz w:val="14"/>
                <w:szCs w:val="14"/>
                <w:color w:val="auto"/>
              </w:rPr>
            </w:pPr>
          </w:p>
        </w:tc>
        <w:tc>
          <w:tcPr>
            <w:tcW w:w="46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или  встревоженным  на  протяжении  последних</w:t>
            </w:r>
          </w:p>
        </w:tc>
        <w:tc>
          <w:tcPr>
            <w:tcW w:w="2140" w:type="dxa"/>
            <w:vAlign w:val="bottom"/>
            <w:tcBorders>
              <w:right w:val="single" w:sz="8" w:color="auto"/>
            </w:tcBorders>
          </w:tcPr>
          <w:p>
            <w:pPr>
              <w:spacing w:after="0"/>
              <w:rPr>
                <w:sz w:val="14"/>
                <w:szCs w:val="14"/>
                <w:color w:val="auto"/>
              </w:rPr>
            </w:pP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недель</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r>
        <w:trPr>
          <w:trHeight w:val="295"/>
        </w:trPr>
        <w:tc>
          <w:tcPr>
            <w:tcW w:w="16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5</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Есть ли у Вас проблемы с памятью</w:t>
            </w:r>
            <w:r>
              <w:rPr>
                <w:rFonts w:ascii="Verdana" w:cs="Verdana" w:eastAsia="Verdana" w:hAnsi="Verdana"/>
                <w:sz w:val="17"/>
                <w:szCs w:val="17"/>
                <w:color w:val="auto"/>
              </w:rPr>
              <w:t>,</w:t>
            </w:r>
            <w:r>
              <w:rPr>
                <w:rFonts w:ascii="Verdana" w:cs="Verdana" w:eastAsia="Verdana" w:hAnsi="Verdana"/>
                <w:sz w:val="17"/>
                <w:szCs w:val="17"/>
                <w:color w:val="auto"/>
              </w:rPr>
              <w:t xml:space="preserve"> пониманием</w:t>
            </w:r>
            <w:r>
              <w:rPr>
                <w:rFonts w:ascii="Verdana" w:cs="Verdana" w:eastAsia="Verdana" w:hAnsi="Verdana"/>
                <w:sz w:val="17"/>
                <w:szCs w:val="17"/>
                <w:color w:val="auto"/>
              </w:rPr>
              <w:t>,</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ориентацией или способностью планировать</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bl>
    <w:p>
      <w:pPr>
        <w:spacing w:after="0" w:line="20" w:lineRule="exact"/>
        <w:rPr>
          <w:sz w:val="20"/>
          <w:szCs w:val="20"/>
          <w:color w:val="auto"/>
        </w:rPr>
      </w:pPr>
    </w:p>
    <w:p>
      <w:pPr>
        <w:sectPr>
          <w:pgSz w:w="11900" w:h="16840" w:orient="portrait"/>
          <w:cols w:equalWidth="0" w:num="1">
            <w:col w:w="9020"/>
          </w:cols>
          <w:pgMar w:left="1440" w:top="19" w:right="1440" w:bottom="0" w:gutter="0" w:footer="0" w:header="0"/>
        </w:sectPr>
      </w:pPr>
    </w:p>
    <w:bookmarkStart w:id="153" w:name="page154"/>
    <w:bookmarkEnd w:id="153"/>
    <w:p>
      <w:pPr>
        <w:spacing w:after="0" w:line="197" w:lineRule="exact"/>
        <w:rPr>
          <w:sz w:val="20"/>
          <w:szCs w:val="20"/>
          <w:color w:val="auto"/>
        </w:rPr>
      </w:pPr>
    </w:p>
    <w:tbl>
      <w:tblPr>
        <w:tblLayout w:type="fixed"/>
        <w:tblInd w:w="370" w:type="dxa"/>
        <w:tblCellMar>
          <w:top w:w="0" w:type="dxa"/>
          <w:left w:w="0" w:type="dxa"/>
          <w:bottom w:w="0" w:type="dxa"/>
          <w:right w:w="0" w:type="dxa"/>
        </w:tblCellMar>
      </w:tblPr>
      <w:tr>
        <w:trPr>
          <w:trHeight w:val="343"/>
        </w:trPr>
        <w:tc>
          <w:tcPr>
            <w:tcW w:w="1640" w:type="dxa"/>
            <w:vAlign w:val="bottom"/>
            <w:tcBorders>
              <w:top w:val="single" w:sz="8" w:color="auto"/>
              <w:left w:val="single" w:sz="8" w:color="auto"/>
              <w:right w:val="single" w:sz="8" w:color="auto"/>
            </w:tcBorders>
          </w:tcPr>
          <w:p>
            <w:pPr>
              <w:jc w:val="right"/>
              <w:ind w:right="1277"/>
              <w:spacing w:after="0"/>
              <w:rPr>
                <w:sz w:val="20"/>
                <w:szCs w:val="20"/>
                <w:color w:val="auto"/>
              </w:rPr>
            </w:pPr>
            <w:r>
              <w:rPr>
                <w:rFonts w:ascii="Verdana" w:cs="Verdana" w:eastAsia="Verdana" w:hAnsi="Verdana"/>
                <w:sz w:val="17"/>
                <w:szCs w:val="17"/>
                <w:b w:val="1"/>
                <w:bCs w:val="1"/>
                <w:color w:val="auto"/>
              </w:rPr>
              <w:t>6</w:t>
            </w:r>
          </w:p>
        </w:tc>
        <w:tc>
          <w:tcPr>
            <w:tcW w:w="468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Страдаете ли Вы недержанием мочи</w:t>
            </w:r>
            <w:r>
              <w:rPr>
                <w:rFonts w:ascii="Verdana" w:cs="Verdana" w:eastAsia="Verdana" w:hAnsi="Verdana"/>
                <w:sz w:val="17"/>
                <w:szCs w:val="17"/>
                <w:color w:val="auto"/>
              </w:rPr>
              <w:t>?</w:t>
            </w:r>
          </w:p>
        </w:tc>
        <w:tc>
          <w:tcPr>
            <w:tcW w:w="214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117"/>
        </w:trPr>
        <w:tc>
          <w:tcPr>
            <w:tcW w:w="1640" w:type="dxa"/>
            <w:vAlign w:val="bottom"/>
            <w:tcBorders>
              <w:left w:val="single" w:sz="8" w:color="auto"/>
              <w:bottom w:val="single" w:sz="8" w:color="auto"/>
              <w:right w:val="single" w:sz="8" w:color="auto"/>
            </w:tcBorders>
          </w:tcPr>
          <w:p>
            <w:pPr>
              <w:spacing w:after="0"/>
              <w:rPr>
                <w:sz w:val="10"/>
                <w:szCs w:val="10"/>
                <w:color w:val="auto"/>
              </w:rPr>
            </w:pPr>
          </w:p>
        </w:tc>
        <w:tc>
          <w:tcPr>
            <w:tcW w:w="4680" w:type="dxa"/>
            <w:vAlign w:val="bottom"/>
            <w:tcBorders>
              <w:bottom w:val="single" w:sz="8" w:color="auto"/>
              <w:right w:val="single" w:sz="8" w:color="auto"/>
            </w:tcBorders>
          </w:tcPr>
          <w:p>
            <w:pPr>
              <w:spacing w:after="0"/>
              <w:rPr>
                <w:sz w:val="10"/>
                <w:szCs w:val="10"/>
                <w:color w:val="auto"/>
              </w:rPr>
            </w:pPr>
          </w:p>
        </w:tc>
        <w:tc>
          <w:tcPr>
            <w:tcW w:w="2140" w:type="dxa"/>
            <w:vAlign w:val="bottom"/>
            <w:tcBorders>
              <w:bottom w:val="single" w:sz="8" w:color="auto"/>
              <w:right w:val="single" w:sz="8" w:color="auto"/>
            </w:tcBorders>
          </w:tcPr>
          <w:p>
            <w:pPr>
              <w:spacing w:after="0"/>
              <w:rPr>
                <w:sz w:val="10"/>
                <w:szCs w:val="10"/>
                <w:color w:val="auto"/>
              </w:rPr>
            </w:pPr>
          </w:p>
        </w:tc>
      </w:tr>
      <w:tr>
        <w:trPr>
          <w:trHeight w:val="295"/>
        </w:trPr>
        <w:tc>
          <w:tcPr>
            <w:tcW w:w="1640" w:type="dxa"/>
            <w:vAlign w:val="bottom"/>
            <w:tcBorders>
              <w:left w:val="single" w:sz="8" w:color="auto"/>
              <w:right w:val="single" w:sz="8" w:color="auto"/>
            </w:tcBorders>
          </w:tcPr>
          <w:p>
            <w:pPr>
              <w:jc w:val="right"/>
              <w:ind w:right="1277"/>
              <w:spacing w:after="0"/>
              <w:rPr>
                <w:sz w:val="20"/>
                <w:szCs w:val="20"/>
                <w:color w:val="auto"/>
              </w:rPr>
            </w:pPr>
            <w:r>
              <w:rPr>
                <w:rFonts w:ascii="Verdana" w:cs="Verdana" w:eastAsia="Verdana" w:hAnsi="Verdana"/>
                <w:sz w:val="17"/>
                <w:szCs w:val="17"/>
                <w:b w:val="1"/>
                <w:bCs w:val="1"/>
                <w:color w:val="auto"/>
              </w:rPr>
              <w:t>7</w:t>
            </w: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Испытываете ли Вы трудности в перемещении по</w:t>
            </w:r>
          </w:p>
        </w:tc>
        <w:tc>
          <w:tcPr>
            <w:tcW w:w="21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да</w:t>
            </w:r>
            <w:r>
              <w:rPr>
                <w:rFonts w:ascii="Verdana" w:cs="Verdana" w:eastAsia="Verdana" w:hAnsi="Verdana"/>
                <w:sz w:val="17"/>
                <w:szCs w:val="17"/>
                <w:color w:val="auto"/>
              </w:rPr>
              <w:t>/</w:t>
            </w:r>
            <w:r>
              <w:rPr>
                <w:rFonts w:ascii="Verdana" w:cs="Verdana" w:eastAsia="Verdana" w:hAnsi="Verdana"/>
                <w:sz w:val="17"/>
                <w:szCs w:val="17"/>
                <w:color w:val="auto"/>
              </w:rPr>
              <w:t>нет</w:t>
            </w:r>
          </w:p>
        </w:tc>
      </w:tr>
      <w:tr>
        <w:trPr>
          <w:trHeight w:val="165"/>
        </w:trPr>
        <w:tc>
          <w:tcPr>
            <w:tcW w:w="1640" w:type="dxa"/>
            <w:vAlign w:val="bottom"/>
            <w:tcBorders>
              <w:left w:val="single" w:sz="8" w:color="auto"/>
              <w:right w:val="single" w:sz="8" w:color="auto"/>
            </w:tcBorders>
          </w:tcPr>
          <w:p>
            <w:pPr>
              <w:spacing w:after="0"/>
              <w:rPr>
                <w:sz w:val="14"/>
                <w:szCs w:val="14"/>
                <w:color w:val="auto"/>
              </w:rPr>
            </w:pPr>
          </w:p>
        </w:tc>
        <w:tc>
          <w:tcPr>
            <w:tcW w:w="46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дому или на улице</w:t>
            </w:r>
            <w:r>
              <w:rPr>
                <w:rFonts w:ascii="Verdana" w:cs="Verdana" w:eastAsia="Verdana" w:hAnsi="Verdana"/>
                <w:sz w:val="17"/>
                <w:szCs w:val="17"/>
                <w:color w:val="auto"/>
              </w:rPr>
              <w:t>? (</w:t>
            </w:r>
            <w:r>
              <w:rPr>
                <w:rFonts w:ascii="Verdana" w:cs="Verdana" w:eastAsia="Verdana" w:hAnsi="Verdana"/>
                <w:sz w:val="17"/>
                <w:szCs w:val="17"/>
                <w:color w:val="auto"/>
              </w:rPr>
              <w:t xml:space="preserve">Ходьба до </w:t>
            </w:r>
            <w:r>
              <w:rPr>
                <w:rFonts w:ascii="Verdana" w:cs="Verdana" w:eastAsia="Verdana" w:hAnsi="Verdana"/>
                <w:sz w:val="17"/>
                <w:szCs w:val="17"/>
                <w:color w:val="auto"/>
              </w:rPr>
              <w:t>100</w:t>
            </w:r>
            <w:r>
              <w:rPr>
                <w:rFonts w:ascii="Verdana" w:cs="Verdana" w:eastAsia="Verdana" w:hAnsi="Verdana"/>
                <w:sz w:val="17"/>
                <w:szCs w:val="17"/>
                <w:color w:val="auto"/>
              </w:rPr>
              <w:t xml:space="preserve"> метров или</w:t>
            </w:r>
          </w:p>
        </w:tc>
        <w:tc>
          <w:tcPr>
            <w:tcW w:w="2140" w:type="dxa"/>
            <w:vAlign w:val="bottom"/>
            <w:tcBorders>
              <w:right w:val="single" w:sz="8" w:color="auto"/>
            </w:tcBorders>
          </w:tcPr>
          <w:p>
            <w:pPr>
              <w:spacing w:after="0"/>
              <w:rPr>
                <w:sz w:val="14"/>
                <w:szCs w:val="14"/>
                <w:color w:val="auto"/>
              </w:rPr>
            </w:pPr>
          </w:p>
        </w:tc>
      </w:tr>
      <w:tr>
        <w:trPr>
          <w:trHeight w:val="220"/>
        </w:trPr>
        <w:tc>
          <w:tcPr>
            <w:tcW w:w="1640" w:type="dxa"/>
            <w:vAlign w:val="bottom"/>
            <w:tcBorders>
              <w:left w:val="single" w:sz="8" w:color="auto"/>
              <w:right w:val="single" w:sz="8" w:color="auto"/>
            </w:tcBorders>
          </w:tcPr>
          <w:p>
            <w:pPr>
              <w:spacing w:after="0"/>
              <w:rPr>
                <w:sz w:val="19"/>
                <w:szCs w:val="19"/>
                <w:color w:val="auto"/>
              </w:rPr>
            </w:pPr>
          </w:p>
        </w:tc>
        <w:tc>
          <w:tcPr>
            <w:tcW w:w="4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 xml:space="preserve">подъем на </w:t>
            </w:r>
            <w:r>
              <w:rPr>
                <w:rFonts w:ascii="Verdana" w:cs="Verdana" w:eastAsia="Verdana" w:hAnsi="Verdana"/>
                <w:sz w:val="17"/>
                <w:szCs w:val="17"/>
                <w:color w:val="auto"/>
              </w:rPr>
              <w:t>1</w:t>
            </w:r>
            <w:r>
              <w:rPr>
                <w:rFonts w:ascii="Verdana" w:cs="Verdana" w:eastAsia="Verdana" w:hAnsi="Verdana"/>
                <w:sz w:val="17"/>
                <w:szCs w:val="17"/>
                <w:color w:val="auto"/>
              </w:rPr>
              <w:t xml:space="preserve"> лестничный пролет</w:t>
            </w:r>
            <w:r>
              <w:rPr>
                <w:rFonts w:ascii="Verdana" w:cs="Verdana" w:eastAsia="Verdana" w:hAnsi="Verdana"/>
                <w:sz w:val="17"/>
                <w:szCs w:val="17"/>
                <w:color w:val="auto"/>
              </w:rPr>
              <w:t>)</w:t>
            </w:r>
          </w:p>
        </w:tc>
        <w:tc>
          <w:tcPr>
            <w:tcW w:w="2140" w:type="dxa"/>
            <w:vAlign w:val="bottom"/>
            <w:tcBorders>
              <w:right w:val="single" w:sz="8" w:color="auto"/>
            </w:tcBorders>
          </w:tcPr>
          <w:p>
            <w:pPr>
              <w:spacing w:after="0"/>
              <w:rPr>
                <w:sz w:val="19"/>
                <w:szCs w:val="19"/>
                <w:color w:val="auto"/>
              </w:rPr>
            </w:pPr>
          </w:p>
        </w:tc>
      </w:tr>
      <w:tr>
        <w:trPr>
          <w:trHeight w:val="110"/>
        </w:trPr>
        <w:tc>
          <w:tcPr>
            <w:tcW w:w="1640" w:type="dxa"/>
            <w:vAlign w:val="bottom"/>
            <w:tcBorders>
              <w:left w:val="single" w:sz="8" w:color="auto"/>
              <w:bottom w:val="single" w:sz="8" w:color="auto"/>
              <w:right w:val="single" w:sz="8" w:color="auto"/>
            </w:tcBorders>
          </w:tcPr>
          <w:p>
            <w:pPr>
              <w:spacing w:after="0"/>
              <w:rPr>
                <w:sz w:val="9"/>
                <w:szCs w:val="9"/>
                <w:color w:val="auto"/>
              </w:rPr>
            </w:pPr>
          </w:p>
        </w:tc>
        <w:tc>
          <w:tcPr>
            <w:tcW w:w="4680" w:type="dxa"/>
            <w:vAlign w:val="bottom"/>
            <w:tcBorders>
              <w:bottom w:val="single" w:sz="8" w:color="auto"/>
              <w:right w:val="single" w:sz="8" w:color="auto"/>
            </w:tcBorders>
          </w:tcPr>
          <w:p>
            <w:pPr>
              <w:spacing w:after="0"/>
              <w:rPr>
                <w:sz w:val="9"/>
                <w:szCs w:val="9"/>
                <w:color w:val="auto"/>
              </w:rPr>
            </w:pPr>
          </w:p>
        </w:tc>
        <w:tc>
          <w:tcPr>
            <w:tcW w:w="2140" w:type="dxa"/>
            <w:vAlign w:val="bottom"/>
            <w:tcBorders>
              <w:bottom w:val="single" w:sz="8" w:color="auto"/>
              <w:right w:val="single" w:sz="8" w:color="auto"/>
            </w:tcBorders>
          </w:tcPr>
          <w:p>
            <w:pPr>
              <w:spacing w:after="0"/>
              <w:rPr>
                <w:sz w:val="9"/>
                <w:szCs w:val="9"/>
                <w:color w:val="auto"/>
              </w:rPr>
            </w:pPr>
          </w:p>
        </w:tc>
      </w:tr>
    </w:tbl>
    <w:p>
      <w:pPr>
        <w:spacing w:after="0" w:line="19" w:lineRule="exact"/>
        <w:rPr>
          <w:sz w:val="20"/>
          <w:szCs w:val="20"/>
          <w:color w:val="auto"/>
        </w:rPr>
      </w:pPr>
    </w:p>
    <w:p>
      <w:pPr>
        <w:ind w:left="360"/>
        <w:spacing w:after="0"/>
        <w:rPr>
          <w:sz w:val="20"/>
          <w:szCs w:val="20"/>
          <w:color w:val="auto"/>
        </w:rPr>
      </w:pPr>
      <w:r>
        <w:rPr>
          <w:rFonts w:ascii="Arial" w:cs="Arial" w:eastAsia="Arial" w:hAnsi="Arial"/>
          <w:sz w:val="27"/>
          <w:szCs w:val="27"/>
          <w:b w:val="1"/>
          <w:bCs w:val="1"/>
          <w:color w:val="auto"/>
        </w:rPr>
        <w:t xml:space="preserve">Ключ </w:t>
      </w:r>
      <w:r>
        <w:rPr>
          <w:rFonts w:ascii="Arial" w:cs="Arial" w:eastAsia="Arial" w:hAnsi="Arial"/>
          <w:sz w:val="27"/>
          <w:szCs w:val="27"/>
          <w:b w:val="1"/>
          <w:bCs w:val="1"/>
          <w:color w:val="auto"/>
        </w:rPr>
        <w:t>(</w:t>
      </w:r>
      <w:r>
        <w:rPr>
          <w:rFonts w:ascii="Arial" w:cs="Arial" w:eastAsia="Arial" w:hAnsi="Arial"/>
          <w:sz w:val="27"/>
          <w:szCs w:val="27"/>
          <w:b w:val="1"/>
          <w:bCs w:val="1"/>
          <w:color w:val="auto"/>
        </w:rPr>
        <w:t>интерпретация</w:t>
      </w:r>
      <w:r>
        <w:rPr>
          <w:rFonts w:ascii="Arial" w:cs="Arial" w:eastAsia="Arial" w:hAnsi="Arial"/>
          <w:sz w:val="27"/>
          <w:szCs w:val="27"/>
          <w:b w:val="1"/>
          <w:bCs w:val="1"/>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за каждый положительный ответ начисляется </w:t>
      </w:r>
      <w:r>
        <w:rPr>
          <w:rFonts w:ascii="Arial" w:cs="Arial" w:eastAsia="Arial" w:hAnsi="Arial"/>
          <w:sz w:val="27"/>
          <w:szCs w:val="27"/>
          <w:color w:val="auto"/>
        </w:rPr>
        <w:t>1</w:t>
      </w:r>
      <w:r>
        <w:rPr>
          <w:rFonts w:ascii="Arial" w:cs="Arial" w:eastAsia="Arial" w:hAnsi="Arial"/>
          <w:sz w:val="27"/>
          <w:szCs w:val="27"/>
          <w:color w:val="auto"/>
        </w:rPr>
        <w:t xml:space="preserve"> балл</w:t>
      </w:r>
      <w:r>
        <w:rPr>
          <w:rFonts w:ascii="Arial" w:cs="Arial" w:eastAsia="Arial" w:hAnsi="Arial"/>
          <w:sz w:val="27"/>
          <w:szCs w:val="27"/>
          <w:color w:val="auto"/>
        </w:rPr>
        <w:t>.</w:t>
      </w:r>
    </w:p>
    <w:p>
      <w:pPr>
        <w:spacing w:after="0" w:line="350"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3 </w:t>
      </w:r>
      <w:r>
        <w:rPr>
          <w:rFonts w:ascii="Arial" w:cs="Arial" w:eastAsia="Arial" w:hAnsi="Arial"/>
          <w:sz w:val="27"/>
          <w:szCs w:val="27"/>
          <w:color w:val="auto"/>
        </w:rPr>
        <w:t>балла и более</w:t>
      </w:r>
      <w:r>
        <w:rPr>
          <w:rFonts w:ascii="Arial" w:cs="Arial" w:eastAsia="Arial" w:hAnsi="Arial"/>
          <w:sz w:val="27"/>
          <w:szCs w:val="27"/>
          <w:color w:val="auto"/>
        </w:rPr>
        <w:t xml:space="preserve"> — </w:t>
      </w:r>
      <w:r>
        <w:rPr>
          <w:rFonts w:ascii="Arial" w:cs="Arial" w:eastAsia="Arial" w:hAnsi="Arial"/>
          <w:sz w:val="27"/>
          <w:szCs w:val="27"/>
          <w:color w:val="auto"/>
        </w:rPr>
        <w:t>высокая вероятность синдрома старческой</w:t>
      </w:r>
      <w:r>
        <w:rPr>
          <w:rFonts w:ascii="Arial" w:cs="Arial" w:eastAsia="Arial" w:hAnsi="Arial"/>
          <w:sz w:val="27"/>
          <w:szCs w:val="27"/>
          <w:color w:val="auto"/>
        </w:rPr>
        <w:t xml:space="preserve"> </w:t>
      </w:r>
      <w:r>
        <w:rPr>
          <w:rFonts w:ascii="Arial" w:cs="Arial" w:eastAsia="Arial" w:hAnsi="Arial"/>
          <w:sz w:val="27"/>
          <w:szCs w:val="27"/>
          <w:color w:val="auto"/>
        </w:rPr>
        <w:t>астении</w:t>
      </w:r>
      <w:r>
        <w:rPr>
          <w:rFonts w:ascii="Arial" w:cs="Arial" w:eastAsia="Arial" w:hAnsi="Arial"/>
          <w:sz w:val="27"/>
          <w:szCs w:val="27"/>
          <w:color w:val="auto"/>
        </w:rPr>
        <w:t>,</w:t>
      </w:r>
      <w:r>
        <w:rPr>
          <w:rFonts w:ascii="Arial" w:cs="Arial" w:eastAsia="Arial" w:hAnsi="Arial"/>
          <w:sz w:val="27"/>
          <w:szCs w:val="27"/>
          <w:color w:val="auto"/>
        </w:rPr>
        <w:t xml:space="preserve"> необходима консультация гериатра</w:t>
      </w:r>
    </w:p>
    <w:p>
      <w:pPr>
        <w:spacing w:after="0" w:line="186"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1–2 </w:t>
      </w:r>
      <w:r>
        <w:rPr>
          <w:rFonts w:ascii="Arial" w:cs="Arial" w:eastAsia="Arial" w:hAnsi="Arial"/>
          <w:sz w:val="27"/>
          <w:szCs w:val="27"/>
          <w:color w:val="auto"/>
        </w:rPr>
        <w:t>балла</w:t>
      </w:r>
      <w:r>
        <w:rPr>
          <w:rFonts w:ascii="Arial" w:cs="Arial" w:eastAsia="Arial" w:hAnsi="Arial"/>
          <w:sz w:val="27"/>
          <w:szCs w:val="27"/>
          <w:color w:val="auto"/>
        </w:rPr>
        <w:t xml:space="preserve"> — </w:t>
      </w:r>
      <w:r>
        <w:rPr>
          <w:rFonts w:ascii="Arial" w:cs="Arial" w:eastAsia="Arial" w:hAnsi="Arial"/>
          <w:sz w:val="27"/>
          <w:szCs w:val="27"/>
          <w:color w:val="auto"/>
        </w:rPr>
        <w:t>вероятен синдром старческой астении</w:t>
      </w:r>
      <w:r>
        <w:rPr>
          <w:rFonts w:ascii="Arial" w:cs="Arial" w:eastAsia="Arial" w:hAnsi="Arial"/>
          <w:sz w:val="27"/>
          <w:szCs w:val="27"/>
          <w:color w:val="auto"/>
        </w:rPr>
        <w:t xml:space="preserve"> (</w:t>
      </w:r>
      <w:r>
        <w:rPr>
          <w:rFonts w:ascii="Arial" w:cs="Arial" w:eastAsia="Arial" w:hAnsi="Arial"/>
          <w:sz w:val="27"/>
          <w:szCs w:val="27"/>
          <w:color w:val="auto"/>
        </w:rPr>
        <w:t>преастения</w:t>
      </w:r>
      <w:r>
        <w:rPr>
          <w:rFonts w:ascii="Arial" w:cs="Arial" w:eastAsia="Arial" w:hAnsi="Arial"/>
          <w:sz w:val="27"/>
          <w:szCs w:val="27"/>
          <w:color w:val="auto"/>
        </w:rPr>
        <w:t>)</w:t>
      </w:r>
    </w:p>
    <w:p>
      <w:pPr>
        <w:spacing w:after="0" w:line="350" w:lineRule="exact"/>
        <w:rPr>
          <w:sz w:val="20"/>
          <w:szCs w:val="20"/>
          <w:color w:val="auto"/>
        </w:rPr>
      </w:pPr>
    </w:p>
    <w:p>
      <w:pPr>
        <w:ind w:left="360"/>
        <w:spacing w:after="0"/>
        <w:rPr>
          <w:sz w:val="20"/>
          <w:szCs w:val="20"/>
          <w:color w:val="auto"/>
        </w:rPr>
      </w:pPr>
      <w:r>
        <w:rPr>
          <w:rFonts w:ascii="Arial" w:cs="Arial" w:eastAsia="Arial" w:hAnsi="Arial"/>
          <w:sz w:val="27"/>
          <w:szCs w:val="27"/>
          <w:color w:val="auto"/>
        </w:rPr>
        <w:t xml:space="preserve">0 </w:t>
      </w:r>
      <w:r>
        <w:rPr>
          <w:rFonts w:ascii="Arial" w:cs="Arial" w:eastAsia="Arial" w:hAnsi="Arial"/>
          <w:sz w:val="27"/>
          <w:szCs w:val="27"/>
          <w:color w:val="auto"/>
        </w:rPr>
        <w:t>баллов</w:t>
      </w:r>
      <w:r>
        <w:rPr>
          <w:rFonts w:ascii="Arial" w:cs="Arial" w:eastAsia="Arial" w:hAnsi="Arial"/>
          <w:sz w:val="27"/>
          <w:szCs w:val="27"/>
          <w:color w:val="auto"/>
        </w:rPr>
        <w:t xml:space="preserve"> — </w:t>
      </w:r>
      <w:r>
        <w:rPr>
          <w:rFonts w:ascii="Arial" w:cs="Arial" w:eastAsia="Arial" w:hAnsi="Arial"/>
          <w:sz w:val="27"/>
          <w:szCs w:val="27"/>
          <w:color w:val="auto"/>
        </w:rPr>
        <w:t>нет ССА</w:t>
      </w:r>
    </w:p>
    <w:p>
      <w:pPr>
        <w:spacing w:after="0" w:line="350" w:lineRule="exact"/>
        <w:rPr>
          <w:sz w:val="20"/>
          <w:szCs w:val="20"/>
          <w:color w:val="auto"/>
        </w:rPr>
      </w:pPr>
    </w:p>
    <w:p>
      <w:pPr>
        <w:jc w:val="both"/>
        <w:ind w:left="360" w:right="220" w:firstLine="73"/>
        <w:spacing w:after="0" w:line="312" w:lineRule="auto"/>
        <w:rPr>
          <w:sz w:val="20"/>
          <w:szCs w:val="20"/>
          <w:color w:val="auto"/>
        </w:rPr>
      </w:pPr>
      <w:r>
        <w:rPr>
          <w:rFonts w:ascii="Arial" w:cs="Arial" w:eastAsia="Arial" w:hAnsi="Arial"/>
          <w:sz w:val="27"/>
          <w:szCs w:val="27"/>
          <w:b w:val="1"/>
          <w:bCs w:val="1"/>
          <w:color w:val="auto"/>
        </w:rPr>
        <w:t>Пояснения</w:t>
      </w:r>
      <w:r>
        <w:rPr>
          <w:rFonts w:ascii="Arial" w:cs="Arial" w:eastAsia="Arial" w:hAnsi="Arial"/>
          <w:sz w:val="27"/>
          <w:szCs w:val="27"/>
          <w:b w:val="1"/>
          <w:bCs w:val="1"/>
          <w:color w:val="auto"/>
        </w:rPr>
        <w:t>: *</w:t>
      </w:r>
      <w:r>
        <w:rPr>
          <w:rFonts w:ascii="Arial" w:cs="Arial" w:eastAsia="Arial" w:hAnsi="Arial"/>
          <w:sz w:val="27"/>
          <w:szCs w:val="27"/>
          <w:b w:val="1"/>
          <w:bCs w:val="1"/>
          <w:color w:val="auto"/>
        </w:rPr>
        <w:t xml:space="preserve"> </w:t>
      </w:r>
      <w:r>
        <w:rPr>
          <w:rFonts w:ascii="Arial" w:cs="Arial" w:eastAsia="Arial" w:hAnsi="Arial"/>
          <w:sz w:val="27"/>
          <w:szCs w:val="27"/>
          <w:color w:val="auto"/>
        </w:rPr>
        <w:t>имеется в виду непреднамеренное снижение веса</w:t>
      </w:r>
      <w:r>
        <w:rPr>
          <w:rFonts w:ascii="Arial" w:cs="Arial" w:eastAsia="Arial" w:hAnsi="Arial"/>
          <w:sz w:val="27"/>
          <w:szCs w:val="27"/>
          <w:color w:val="auto"/>
        </w:rPr>
        <w:t>.</w:t>
      </w:r>
      <w:r>
        <w:rPr>
          <w:rFonts w:ascii="Arial" w:cs="Arial" w:eastAsia="Arial" w:hAnsi="Arial"/>
          <w:sz w:val="27"/>
          <w:szCs w:val="27"/>
          <w:b w:val="1"/>
          <w:bCs w:val="1"/>
          <w:color w:val="auto"/>
        </w:rPr>
        <w:t xml:space="preserve"> </w:t>
      </w:r>
      <w:r>
        <w:rPr>
          <w:rFonts w:ascii="Arial" w:cs="Arial" w:eastAsia="Arial" w:hAnsi="Arial"/>
          <w:sz w:val="27"/>
          <w:szCs w:val="27"/>
          <w:color w:val="auto"/>
        </w:rPr>
        <w:t xml:space="preserve">Если пациент похудел намеренно </w:t>
      </w:r>
      <w:r>
        <w:rPr>
          <w:rFonts w:ascii="Arial" w:cs="Arial" w:eastAsia="Arial" w:hAnsi="Arial"/>
          <w:sz w:val="27"/>
          <w:szCs w:val="27"/>
          <w:color w:val="auto"/>
        </w:rPr>
        <w:t>—</w:t>
      </w:r>
      <w:r>
        <w:rPr>
          <w:rFonts w:ascii="Arial" w:cs="Arial" w:eastAsia="Arial" w:hAnsi="Arial"/>
          <w:sz w:val="27"/>
          <w:szCs w:val="27"/>
          <w:color w:val="auto"/>
        </w:rPr>
        <w:t xml:space="preserve"> за счет соблюдения специальной диеты или регулярной физической активности</w:t>
      </w:r>
      <w:r>
        <w:rPr>
          <w:rFonts w:ascii="Arial" w:cs="Arial" w:eastAsia="Arial" w:hAnsi="Arial"/>
          <w:sz w:val="27"/>
          <w:szCs w:val="27"/>
          <w:color w:val="auto"/>
        </w:rPr>
        <w:t>,</w:t>
      </w:r>
      <w:r>
        <w:rPr>
          <w:rFonts w:ascii="Arial" w:cs="Arial" w:eastAsia="Arial" w:hAnsi="Arial"/>
          <w:sz w:val="27"/>
          <w:szCs w:val="27"/>
          <w:color w:val="auto"/>
        </w:rPr>
        <w:t xml:space="preserve"> балл не засчитывается</w:t>
      </w:r>
      <w:r>
        <w:rPr>
          <w:rFonts w:ascii="Arial" w:cs="Arial" w:eastAsia="Arial" w:hAnsi="Arial"/>
          <w:sz w:val="27"/>
          <w:szCs w:val="27"/>
          <w:color w:val="auto"/>
        </w:rPr>
        <w:t>.</w:t>
      </w:r>
    </w:p>
    <w:p>
      <w:pPr>
        <w:spacing w:after="0" w:line="216"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4.</w:t>
      </w:r>
      <w:r>
        <w:rPr>
          <w:rFonts w:ascii="Arial" w:cs="Arial" w:eastAsia="Arial" w:hAnsi="Arial"/>
          <w:sz w:val="27"/>
          <w:szCs w:val="27"/>
          <w:color w:val="auto"/>
        </w:rPr>
        <w:t xml:space="preserve"> принципы антигипертензивной терапии и диспансерное наблюдение больных с АГ</w:t>
      </w:r>
    </w:p>
    <w:p>
      <w:pPr>
        <w:spacing w:after="0" w:line="186" w:lineRule="exact"/>
        <w:rPr>
          <w:sz w:val="20"/>
          <w:szCs w:val="20"/>
          <w:color w:val="auto"/>
        </w:rPr>
      </w:pPr>
    </w:p>
    <w:p>
      <w:pPr>
        <w:jc w:val="both"/>
        <w:ind w:left="360" w:right="220"/>
        <w:spacing w:after="0" w:line="313"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w:t>
      </w:r>
      <w:r>
        <w:rPr>
          <w:rFonts w:ascii="Arial" w:cs="Arial" w:eastAsia="Arial" w:hAnsi="Arial"/>
          <w:sz w:val="27"/>
          <w:szCs w:val="27"/>
          <w:b w:val="1"/>
          <w:bCs w:val="1"/>
          <w:color w:val="auto"/>
        </w:rPr>
        <w:t>Г</w:t>
      </w:r>
      <w:r>
        <w:rPr>
          <w:rFonts w:ascii="Arial" w:cs="Arial" w:eastAsia="Arial" w:hAnsi="Arial"/>
          <w:sz w:val="27"/>
          <w:szCs w:val="27"/>
          <w:b w:val="1"/>
          <w:bCs w:val="1"/>
          <w:color w:val="auto"/>
        </w:rPr>
        <w:t>4.</w:t>
      </w:r>
      <w:r>
        <w:rPr>
          <w:rFonts w:ascii="Arial" w:cs="Arial" w:eastAsia="Arial" w:hAnsi="Arial"/>
          <w:sz w:val="27"/>
          <w:szCs w:val="27"/>
          <w:b w:val="1"/>
          <w:bCs w:val="1"/>
          <w:color w:val="auto"/>
        </w:rPr>
        <w:t xml:space="preserve"> Начало антигипертензивной терапии </w:t>
      </w:r>
      <w:r>
        <w:rPr>
          <w:rFonts w:ascii="Arial" w:cs="Arial" w:eastAsia="Arial" w:hAnsi="Arial"/>
          <w:sz w:val="27"/>
          <w:szCs w:val="27"/>
          <w:b w:val="1"/>
          <w:bCs w:val="1"/>
          <w:color w:val="auto"/>
        </w:rPr>
        <w:t>(</w:t>
      </w:r>
      <w:r>
        <w:rPr>
          <w:rFonts w:ascii="Arial" w:cs="Arial" w:eastAsia="Arial" w:hAnsi="Arial"/>
          <w:sz w:val="27"/>
          <w:szCs w:val="27"/>
          <w:b w:val="1"/>
          <w:bCs w:val="1"/>
          <w:color w:val="auto"/>
        </w:rPr>
        <w:t>изменение образа жизни и лекарственные препараты</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при</w:t>
      </w:r>
      <w:r>
        <w:rPr>
          <w:rFonts w:ascii="Arial" w:cs="Arial" w:eastAsia="Arial" w:hAnsi="Arial"/>
          <w:sz w:val="27"/>
          <w:szCs w:val="27"/>
          <w:b w:val="1"/>
          <w:bCs w:val="1"/>
          <w:color w:val="auto"/>
        </w:rPr>
        <w:t xml:space="preserve"> </w:t>
      </w:r>
      <w:r>
        <w:rPr>
          <w:rFonts w:ascii="Arial" w:cs="Arial" w:eastAsia="Arial" w:hAnsi="Arial"/>
          <w:sz w:val="27"/>
          <w:szCs w:val="27"/>
          <w:b w:val="1"/>
          <w:bCs w:val="1"/>
          <w:color w:val="auto"/>
        </w:rPr>
        <w:t>различных значениях АД</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измеренного в медицинском учреждении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121920</wp:posOffset>
            </wp:positionV>
            <wp:extent cx="4573905" cy="2744470"/>
            <wp:wrapNone/>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408">
                      <a:extLst>
                        <a:ext uri="{28A0092B-C50C-407E-A947-70E740481C1C}"/>
                      </a:extLst>
                    </a:blip>
                    <a:srcRect/>
                    <a:stretch>
                      <a:fillRect/>
                    </a:stretch>
                  </pic:blipFill>
                  <pic:spPr bwMode="auto">
                    <a:xfrm>
                      <a:off x="0" y="0"/>
                      <a:ext cx="4573905" cy="274447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83"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2/</w:t>
      </w:r>
      <w:r>
        <w:rPr>
          <w:rFonts w:ascii="Arial" w:cs="Arial" w:eastAsia="Arial" w:hAnsi="Arial"/>
          <w:sz w:val="27"/>
          <w:szCs w:val="27"/>
          <w:b w:val="1"/>
          <w:bCs w:val="1"/>
          <w:color w:val="auto"/>
        </w:rPr>
        <w:t>Г</w:t>
      </w:r>
      <w:r>
        <w:rPr>
          <w:rFonts w:ascii="Arial" w:cs="Arial" w:eastAsia="Arial" w:hAnsi="Arial"/>
          <w:sz w:val="27"/>
          <w:szCs w:val="27"/>
          <w:b w:val="1"/>
          <w:bCs w:val="1"/>
          <w:color w:val="auto"/>
        </w:rPr>
        <w:t>4.</w:t>
      </w:r>
      <w:r>
        <w:rPr>
          <w:rFonts w:ascii="Arial" w:cs="Arial" w:eastAsia="Arial" w:hAnsi="Arial"/>
          <w:sz w:val="27"/>
          <w:szCs w:val="27"/>
          <w:b w:val="1"/>
          <w:bCs w:val="1"/>
          <w:color w:val="auto"/>
        </w:rPr>
        <w:t xml:space="preserve"> Показания к началу антигипертензивной терапии в зависимости от возраста и сопутствующих заболеваний</w:t>
      </w:r>
    </w:p>
    <w:p>
      <w:pPr>
        <w:sectPr>
          <w:pgSz w:w="11900" w:h="17037" w:orient="portrait"/>
          <w:cols w:equalWidth="0" w:num="1">
            <w:col w:w="9020"/>
          </w:cols>
          <w:pgMar w:left="1440" w:top="0" w:right="1440" w:bottom="0" w:gutter="0" w:footer="0" w:header="0"/>
        </w:sectPr>
      </w:pPr>
    </w:p>
    <w:p>
      <w:pPr>
        <w:spacing w:after="0" w:line="163"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156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Возраст</w:t>
            </w:r>
          </w:p>
        </w:tc>
        <w:tc>
          <w:tcPr>
            <w:tcW w:w="522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Пороговое значение САД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tc>
        <w:tc>
          <w:tcPr>
            <w:tcW w:w="1680" w:type="dxa"/>
            <w:vAlign w:val="bottom"/>
            <w:tcBorders>
              <w:top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Пороговое</w:t>
            </w:r>
          </w:p>
        </w:tc>
      </w:tr>
      <w:tr>
        <w:trPr>
          <w:trHeight w:val="165"/>
        </w:trPr>
        <w:tc>
          <w:tcPr>
            <w:tcW w:w="1560" w:type="dxa"/>
            <w:vAlign w:val="bottom"/>
            <w:tcBorders>
              <w:left w:val="single" w:sz="8" w:color="auto"/>
              <w:right w:val="single" w:sz="8" w:color="auto"/>
            </w:tcBorders>
          </w:tcPr>
          <w:p>
            <w:pPr>
              <w:spacing w:after="0"/>
              <w:rPr>
                <w:sz w:val="14"/>
                <w:szCs w:val="14"/>
                <w:color w:val="auto"/>
              </w:rPr>
            </w:pPr>
          </w:p>
        </w:tc>
        <w:tc>
          <w:tcPr>
            <w:tcW w:w="5220" w:type="dxa"/>
            <w:vAlign w:val="bottom"/>
            <w:tcBorders>
              <w:bottom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ind w:left="160"/>
              <w:spacing w:after="0" w:line="145" w:lineRule="exact"/>
              <w:rPr>
                <w:sz w:val="20"/>
                <w:szCs w:val="20"/>
                <w:color w:val="auto"/>
              </w:rPr>
            </w:pPr>
            <w:r>
              <w:rPr>
                <w:rFonts w:ascii="Verdana" w:cs="Verdana" w:eastAsia="Verdana" w:hAnsi="Verdana"/>
                <w:sz w:val="15"/>
                <w:szCs w:val="15"/>
                <w:color w:val="auto"/>
              </w:rPr>
              <w:t>значение  ДАД</w:t>
            </w:r>
            <w:r>
              <w:rPr>
                <w:rFonts w:ascii="Verdana" w:cs="Verdana" w:eastAsia="Verdana" w:hAnsi="Verdana"/>
                <w:sz w:val="15"/>
                <w:szCs w:val="15"/>
                <w:color w:val="auto"/>
              </w:rPr>
              <w:t>,</w:t>
            </w:r>
          </w:p>
        </w:tc>
      </w:tr>
      <w:tr>
        <w:trPr>
          <w:trHeight w:val="200"/>
        </w:trPr>
        <w:tc>
          <w:tcPr>
            <w:tcW w:w="1560" w:type="dxa"/>
            <w:vAlign w:val="bottom"/>
            <w:tcBorders>
              <w:left w:val="single" w:sz="8" w:color="auto"/>
              <w:right w:val="single" w:sz="8" w:color="auto"/>
            </w:tcBorders>
          </w:tcPr>
          <w:p>
            <w:pPr>
              <w:spacing w:after="0"/>
              <w:rPr>
                <w:sz w:val="17"/>
                <w:szCs w:val="17"/>
                <w:color w:val="auto"/>
              </w:rPr>
            </w:pPr>
          </w:p>
        </w:tc>
        <w:tc>
          <w:tcPr>
            <w:tcW w:w="5220" w:type="dxa"/>
            <w:vAlign w:val="bottom"/>
            <w:tcBorders>
              <w:right w:val="single" w:sz="8" w:color="auto"/>
            </w:tcBorders>
          </w:tcPr>
          <w:p>
            <w:pPr>
              <w:spacing w:after="0"/>
              <w:rPr>
                <w:sz w:val="17"/>
                <w:szCs w:val="17"/>
                <w:color w:val="auto"/>
              </w:rPr>
            </w:pPr>
          </w:p>
        </w:tc>
        <w:tc>
          <w:tcPr>
            <w:tcW w:w="1680" w:type="dxa"/>
            <w:vAlign w:val="bottom"/>
            <w:tcBorders>
              <w:right w:val="single" w:sz="8" w:color="auto"/>
            </w:tcBorders>
          </w:tcPr>
          <w:p>
            <w:pPr>
              <w:ind w:left="160"/>
              <w:spacing w:after="0" w:line="200" w:lineRule="exact"/>
              <w:rPr>
                <w:sz w:val="20"/>
                <w:szCs w:val="20"/>
                <w:color w:val="auto"/>
              </w:rPr>
            </w:pPr>
            <w:r>
              <w:rPr>
                <w:rFonts w:ascii="Verdana" w:cs="Verdana" w:eastAsia="Verdana" w:hAnsi="Verdana"/>
                <w:sz w:val="17"/>
                <w:szCs w:val="17"/>
                <w:color w:val="auto"/>
              </w:rPr>
              <w:t>измеренного  в</w:t>
            </w:r>
          </w:p>
        </w:tc>
      </w:tr>
      <w:tr>
        <w:trPr>
          <w:trHeight w:val="395"/>
        </w:trPr>
        <w:tc>
          <w:tcPr>
            <w:tcW w:w="1560" w:type="dxa"/>
            <w:vAlign w:val="bottom"/>
            <w:tcBorders>
              <w:left w:val="single" w:sz="8" w:color="auto"/>
              <w:right w:val="single" w:sz="8" w:color="auto"/>
            </w:tcBorders>
          </w:tcPr>
          <w:p>
            <w:pPr>
              <w:spacing w:after="0"/>
              <w:rPr>
                <w:sz w:val="24"/>
                <w:szCs w:val="24"/>
                <w:color w:val="auto"/>
              </w:rPr>
            </w:pPr>
          </w:p>
        </w:tc>
        <w:tc>
          <w:tcPr>
            <w:tcW w:w="5220" w:type="dxa"/>
            <w:vAlign w:val="bottom"/>
            <w:tcBorders>
              <w:right w:val="single" w:sz="8" w:color="auto"/>
            </w:tcBorders>
          </w:tcPr>
          <w:p>
            <w:pPr>
              <w:spacing w:after="0"/>
              <w:rPr>
                <w:sz w:val="24"/>
                <w:szCs w:val="24"/>
                <w:color w:val="auto"/>
              </w:rPr>
            </w:pPr>
          </w:p>
        </w:tc>
        <w:tc>
          <w:tcPr>
            <w:tcW w:w="1680" w:type="dxa"/>
            <w:vAlign w:val="bottom"/>
            <w:tcBorders>
              <w:right w:val="single" w:sz="8" w:color="auto"/>
            </w:tcBorders>
          </w:tcPr>
          <w:p>
            <w:pPr>
              <w:spacing w:after="0"/>
              <w:rPr>
                <w:sz w:val="24"/>
                <w:szCs w:val="24"/>
                <w:color w:val="auto"/>
              </w:rPr>
            </w:pPr>
          </w:p>
        </w:tc>
      </w:tr>
    </w:tbl>
    <w:p>
      <w:pPr>
        <w:spacing w:after="0" w:line="20" w:lineRule="exact"/>
        <w:rPr>
          <w:sz w:val="20"/>
          <w:szCs w:val="20"/>
          <w:color w:val="auto"/>
        </w:rPr>
      </w:pPr>
    </w:p>
    <w:p>
      <w:pPr>
        <w:sectPr>
          <w:pgSz w:w="11900" w:h="17037" w:orient="portrait"/>
          <w:cols w:equalWidth="0" w:num="1">
            <w:col w:w="9020"/>
          </w:cols>
          <w:pgMar w:left="1440" w:top="0" w:right="1440" w:bottom="0" w:gutter="0" w:footer="0" w:header="0"/>
          <w:type w:val="continuous"/>
        </w:sectPr>
      </w:pPr>
    </w:p>
    <w:bookmarkStart w:id="154" w:name="page155"/>
    <w:bookmarkEnd w:id="154"/>
    <w:tbl>
      <w:tblPr>
        <w:tblLayout w:type="fixed"/>
        <w:tblInd w:w="370" w:type="dxa"/>
        <w:tblCellMar>
          <w:top w:w="0" w:type="dxa"/>
          <w:left w:w="0" w:type="dxa"/>
          <w:bottom w:w="0" w:type="dxa"/>
          <w:right w:w="0" w:type="dxa"/>
        </w:tblCellMar>
      </w:tblPr>
      <w:tr>
        <w:trPr>
          <w:trHeight w:val="130"/>
        </w:trPr>
        <w:tc>
          <w:tcPr>
            <w:tcW w:w="1560" w:type="dxa"/>
            <w:vAlign w:val="bottom"/>
            <w:tcBorders>
              <w:left w:val="single" w:sz="8" w:color="auto"/>
              <w:right w:val="single" w:sz="8" w:color="auto"/>
            </w:tcBorders>
          </w:tcPr>
          <w:p>
            <w:pPr>
              <w:spacing w:after="0"/>
              <w:rPr>
                <w:sz w:val="11"/>
                <w:szCs w:val="11"/>
                <w:color w:val="auto"/>
              </w:rPr>
            </w:pPr>
          </w:p>
        </w:tc>
        <w:tc>
          <w:tcPr>
            <w:tcW w:w="960" w:type="dxa"/>
            <w:vAlign w:val="bottom"/>
            <w:tcBorders>
              <w:top w:val="single" w:sz="8" w:color="auto"/>
              <w:right w:val="single" w:sz="8" w:color="auto"/>
            </w:tcBorders>
            <w:vMerge w:val="restart"/>
          </w:tcPr>
          <w:p>
            <w:pPr>
              <w:ind w:left="160"/>
              <w:spacing w:after="0"/>
              <w:rPr>
                <w:sz w:val="20"/>
                <w:szCs w:val="20"/>
                <w:color w:val="auto"/>
              </w:rPr>
            </w:pPr>
            <w:r>
              <w:rPr>
                <w:rFonts w:ascii="Verdana" w:cs="Verdana" w:eastAsia="Verdana" w:hAnsi="Verdana"/>
                <w:sz w:val="17"/>
                <w:szCs w:val="17"/>
                <w:color w:val="auto"/>
              </w:rPr>
              <w:t>АГ</w:t>
            </w:r>
          </w:p>
        </w:tc>
        <w:tc>
          <w:tcPr>
            <w:tcW w:w="1080" w:type="dxa"/>
            <w:vAlign w:val="bottom"/>
            <w:tcBorders>
              <w:top w:val="single" w:sz="8" w:color="auto"/>
              <w:right w:val="single" w:sz="8" w:color="auto"/>
            </w:tcBorders>
            <w:vMerge w:val="restart"/>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СД</w:t>
            </w:r>
          </w:p>
        </w:tc>
        <w:tc>
          <w:tcPr>
            <w:tcW w:w="1100" w:type="dxa"/>
            <w:vAlign w:val="bottom"/>
            <w:tcBorders>
              <w:top w:val="single" w:sz="8" w:color="auto"/>
              <w:right w:val="single" w:sz="8" w:color="auto"/>
            </w:tcBorders>
            <w:vMerge w:val="restart"/>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ХБП</w:t>
            </w:r>
          </w:p>
        </w:tc>
        <w:tc>
          <w:tcPr>
            <w:tcW w:w="860" w:type="dxa"/>
            <w:vAlign w:val="bottom"/>
            <w:tcBorders>
              <w:top w:val="single" w:sz="8" w:color="auto"/>
              <w:right w:val="single" w:sz="8" w:color="auto"/>
            </w:tcBorders>
            <w:vMerge w:val="restart"/>
          </w:tcPr>
          <w:p>
            <w:pPr>
              <w:ind w:left="14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ИБС</w:t>
            </w:r>
          </w:p>
        </w:tc>
        <w:tc>
          <w:tcPr>
            <w:tcW w:w="1220" w:type="dxa"/>
            <w:vAlign w:val="bottom"/>
            <w:tcBorders>
              <w:top w:val="single" w:sz="8" w:color="auto"/>
              <w:right w:val="single" w:sz="8" w:color="auto"/>
            </w:tcBorders>
            <w:vMerge w:val="restart"/>
          </w:tcPr>
          <w:p>
            <w:pPr>
              <w:ind w:left="14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Инсульт</w:t>
            </w:r>
            <w:r>
              <w:rPr>
                <w:rFonts w:ascii="Verdana" w:cs="Verdana" w:eastAsia="Verdana" w:hAnsi="Verdana"/>
                <w:sz w:val="17"/>
                <w:szCs w:val="17"/>
                <w:color w:val="auto"/>
              </w:rPr>
              <w:t>/</w:t>
            </w:r>
          </w:p>
        </w:tc>
        <w:tc>
          <w:tcPr>
            <w:tcW w:w="1680" w:type="dxa"/>
            <w:vAlign w:val="bottom"/>
            <w:tcBorders>
              <w:right w:val="single" w:sz="8" w:color="auto"/>
            </w:tcBorders>
          </w:tcPr>
          <w:p>
            <w:pPr>
              <w:ind w:left="160"/>
              <w:spacing w:after="0" w:line="130" w:lineRule="exact"/>
              <w:rPr>
                <w:sz w:val="20"/>
                <w:szCs w:val="20"/>
                <w:color w:val="auto"/>
              </w:rPr>
            </w:pPr>
            <w:r>
              <w:rPr>
                <w:rFonts w:ascii="Verdana" w:cs="Verdana" w:eastAsia="Verdana" w:hAnsi="Verdana"/>
                <w:sz w:val="14"/>
                <w:szCs w:val="14"/>
                <w:color w:val="auto"/>
              </w:rPr>
              <w:t>медицинском</w:t>
            </w: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spacing w:after="0"/>
              <w:rPr>
                <w:sz w:val="14"/>
                <w:szCs w:val="14"/>
                <w:color w:val="auto"/>
              </w:rPr>
            </w:pPr>
          </w:p>
        </w:tc>
        <w:tc>
          <w:tcPr>
            <w:tcW w:w="960" w:type="dxa"/>
            <w:vAlign w:val="bottom"/>
            <w:tcBorders>
              <w:right w:val="single" w:sz="8" w:color="auto"/>
            </w:tcBorders>
            <w:vMerge w:val="continue"/>
          </w:tcPr>
          <w:p>
            <w:pPr>
              <w:spacing w:after="0"/>
              <w:rPr>
                <w:sz w:val="14"/>
                <w:szCs w:val="14"/>
                <w:color w:val="auto"/>
              </w:rPr>
            </w:pPr>
          </w:p>
        </w:tc>
        <w:tc>
          <w:tcPr>
            <w:tcW w:w="1080" w:type="dxa"/>
            <w:vAlign w:val="bottom"/>
            <w:tcBorders>
              <w:right w:val="single" w:sz="8" w:color="auto"/>
            </w:tcBorders>
            <w:vMerge w:val="continue"/>
          </w:tcPr>
          <w:p>
            <w:pPr>
              <w:spacing w:after="0"/>
              <w:rPr>
                <w:sz w:val="14"/>
                <w:szCs w:val="14"/>
                <w:color w:val="auto"/>
              </w:rPr>
            </w:pPr>
          </w:p>
        </w:tc>
        <w:tc>
          <w:tcPr>
            <w:tcW w:w="1100" w:type="dxa"/>
            <w:vAlign w:val="bottom"/>
            <w:tcBorders>
              <w:right w:val="single" w:sz="8" w:color="auto"/>
            </w:tcBorders>
            <w:vMerge w:val="continue"/>
          </w:tcPr>
          <w:p>
            <w:pPr>
              <w:spacing w:after="0"/>
              <w:rPr>
                <w:sz w:val="14"/>
                <w:szCs w:val="14"/>
                <w:color w:val="auto"/>
              </w:rPr>
            </w:pPr>
          </w:p>
        </w:tc>
        <w:tc>
          <w:tcPr>
            <w:tcW w:w="860" w:type="dxa"/>
            <w:vAlign w:val="bottom"/>
            <w:tcBorders>
              <w:right w:val="single" w:sz="8" w:color="auto"/>
            </w:tcBorders>
            <w:vMerge w:val="continue"/>
          </w:tcPr>
          <w:p>
            <w:pPr>
              <w:spacing w:after="0"/>
              <w:rPr>
                <w:sz w:val="14"/>
                <w:szCs w:val="14"/>
                <w:color w:val="auto"/>
              </w:rPr>
            </w:pPr>
          </w:p>
        </w:tc>
        <w:tc>
          <w:tcPr>
            <w:tcW w:w="1220" w:type="dxa"/>
            <w:vAlign w:val="bottom"/>
            <w:tcBorders>
              <w:right w:val="single" w:sz="8" w:color="auto"/>
            </w:tcBorders>
            <w:vMerge w:val="continue"/>
          </w:tcPr>
          <w:p>
            <w:pPr>
              <w:spacing w:after="0"/>
              <w:rPr>
                <w:sz w:val="14"/>
                <w:szCs w:val="14"/>
                <w:color w:val="auto"/>
              </w:rPr>
            </w:pPr>
          </w:p>
        </w:tc>
        <w:tc>
          <w:tcPr>
            <w:tcW w:w="1680" w:type="dxa"/>
            <w:vAlign w:val="bottom"/>
            <w:tcBorders>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учреждении</w:t>
            </w:r>
          </w:p>
        </w:tc>
        <w:tc>
          <w:tcPr>
            <w:tcW w:w="0" w:type="dxa"/>
            <w:vAlign w:val="bottom"/>
          </w:tcPr>
          <w:p>
            <w:pPr>
              <w:spacing w:after="0"/>
              <w:rPr>
                <w:sz w:val="1"/>
                <w:szCs w:val="1"/>
                <w:color w:val="auto"/>
              </w:rPr>
            </w:pPr>
          </w:p>
        </w:tc>
      </w:tr>
      <w:tr>
        <w:trPr>
          <w:trHeight w:val="220"/>
        </w:trPr>
        <w:tc>
          <w:tcPr>
            <w:tcW w:w="1560" w:type="dxa"/>
            <w:vAlign w:val="bottom"/>
            <w:tcBorders>
              <w:left w:val="single" w:sz="8" w:color="auto"/>
              <w:right w:val="single" w:sz="8" w:color="auto"/>
            </w:tcBorders>
          </w:tcPr>
          <w:p>
            <w:pPr>
              <w:spacing w:after="0"/>
              <w:rPr>
                <w:sz w:val="19"/>
                <w:szCs w:val="19"/>
                <w:color w:val="auto"/>
              </w:rPr>
            </w:pPr>
          </w:p>
        </w:tc>
        <w:tc>
          <w:tcPr>
            <w:tcW w:w="960" w:type="dxa"/>
            <w:vAlign w:val="bottom"/>
            <w:tcBorders>
              <w:right w:val="single" w:sz="8" w:color="auto"/>
            </w:tcBorders>
          </w:tcPr>
          <w:p>
            <w:pPr>
              <w:spacing w:after="0"/>
              <w:rPr>
                <w:sz w:val="19"/>
                <w:szCs w:val="19"/>
                <w:color w:val="auto"/>
              </w:rPr>
            </w:pPr>
          </w:p>
        </w:tc>
        <w:tc>
          <w:tcPr>
            <w:tcW w:w="1080" w:type="dxa"/>
            <w:vAlign w:val="bottom"/>
            <w:tcBorders>
              <w:right w:val="single" w:sz="8" w:color="auto"/>
            </w:tcBorders>
          </w:tcPr>
          <w:p>
            <w:pPr>
              <w:spacing w:after="0"/>
              <w:rPr>
                <w:sz w:val="19"/>
                <w:szCs w:val="19"/>
                <w:color w:val="auto"/>
              </w:rPr>
            </w:pPr>
          </w:p>
        </w:tc>
        <w:tc>
          <w:tcPr>
            <w:tcW w:w="1100" w:type="dxa"/>
            <w:vAlign w:val="bottom"/>
            <w:tcBorders>
              <w:right w:val="single" w:sz="8" w:color="auto"/>
            </w:tcBorders>
          </w:tcPr>
          <w:p>
            <w:pPr>
              <w:spacing w:after="0"/>
              <w:rPr>
                <w:sz w:val="19"/>
                <w:szCs w:val="19"/>
                <w:color w:val="auto"/>
              </w:rPr>
            </w:pPr>
          </w:p>
        </w:tc>
        <w:tc>
          <w:tcPr>
            <w:tcW w:w="860" w:type="dxa"/>
            <w:vAlign w:val="bottom"/>
            <w:tcBorders>
              <w:right w:val="single" w:sz="8" w:color="auto"/>
            </w:tcBorders>
          </w:tcPr>
          <w:p>
            <w:pPr>
              <w:spacing w:after="0"/>
              <w:rPr>
                <w:sz w:val="19"/>
                <w:szCs w:val="19"/>
                <w:color w:val="auto"/>
              </w:rPr>
            </w:pPr>
          </w:p>
        </w:tc>
        <w:tc>
          <w:tcPr>
            <w:tcW w:w="12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ТИА</w:t>
            </w:r>
          </w:p>
        </w:tc>
        <w:tc>
          <w:tcPr>
            <w:tcW w:w="16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 xml:space="preserve">. </w:t>
            </w:r>
            <w:r>
              <w:rPr>
                <w:rFonts w:ascii="Verdana" w:cs="Verdana" w:eastAsia="Verdana" w:hAnsi="Verdana"/>
                <w:sz w:val="17"/>
                <w:szCs w:val="17"/>
                <w:color w:val="auto"/>
              </w:rPr>
              <w:t>ст</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10"/>
        </w:trPr>
        <w:tc>
          <w:tcPr>
            <w:tcW w:w="1560" w:type="dxa"/>
            <w:vAlign w:val="bottom"/>
            <w:tcBorders>
              <w:left w:val="single" w:sz="8" w:color="auto"/>
              <w:bottom w:val="single" w:sz="8" w:color="auto"/>
              <w:right w:val="single" w:sz="8" w:color="auto"/>
            </w:tcBorders>
          </w:tcPr>
          <w:p>
            <w:pPr>
              <w:spacing w:after="0"/>
              <w:rPr>
                <w:sz w:val="9"/>
                <w:szCs w:val="9"/>
                <w:color w:val="auto"/>
              </w:rPr>
            </w:pPr>
          </w:p>
        </w:tc>
        <w:tc>
          <w:tcPr>
            <w:tcW w:w="960" w:type="dxa"/>
            <w:vAlign w:val="bottom"/>
            <w:tcBorders>
              <w:bottom w:val="single" w:sz="8" w:color="auto"/>
              <w:right w:val="single" w:sz="8" w:color="auto"/>
            </w:tcBorders>
          </w:tcPr>
          <w:p>
            <w:pPr>
              <w:spacing w:after="0"/>
              <w:rPr>
                <w:sz w:val="9"/>
                <w:szCs w:val="9"/>
                <w:color w:val="auto"/>
              </w:rPr>
            </w:pPr>
          </w:p>
        </w:tc>
        <w:tc>
          <w:tcPr>
            <w:tcW w:w="1080" w:type="dxa"/>
            <w:vAlign w:val="bottom"/>
            <w:tcBorders>
              <w:bottom w:val="single" w:sz="8" w:color="auto"/>
              <w:right w:val="single" w:sz="8" w:color="auto"/>
            </w:tcBorders>
          </w:tcPr>
          <w:p>
            <w:pPr>
              <w:spacing w:after="0"/>
              <w:rPr>
                <w:sz w:val="9"/>
                <w:szCs w:val="9"/>
                <w:color w:val="auto"/>
              </w:rPr>
            </w:pPr>
          </w:p>
        </w:tc>
        <w:tc>
          <w:tcPr>
            <w:tcW w:w="1100" w:type="dxa"/>
            <w:vAlign w:val="bottom"/>
            <w:tcBorders>
              <w:bottom w:val="single" w:sz="8" w:color="auto"/>
              <w:right w:val="single" w:sz="8" w:color="auto"/>
            </w:tcBorders>
          </w:tcPr>
          <w:p>
            <w:pPr>
              <w:spacing w:after="0"/>
              <w:rPr>
                <w:sz w:val="9"/>
                <w:szCs w:val="9"/>
                <w:color w:val="auto"/>
              </w:rPr>
            </w:pPr>
          </w:p>
        </w:tc>
        <w:tc>
          <w:tcPr>
            <w:tcW w:w="86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343"/>
        </w:trPr>
        <w:tc>
          <w:tcPr>
            <w:tcW w:w="15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18–64 </w:t>
            </w:r>
            <w:r>
              <w:rPr>
                <w:rFonts w:ascii="Verdana" w:cs="Verdana" w:eastAsia="Verdana" w:hAnsi="Verdana"/>
                <w:sz w:val="17"/>
                <w:szCs w:val="17"/>
                <w:color w:val="auto"/>
              </w:rPr>
              <w:t>лет</w:t>
            </w:r>
          </w:p>
        </w:tc>
        <w:tc>
          <w:tcPr>
            <w:tcW w:w="9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10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11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8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≥140</w:t>
            </w:r>
          </w:p>
        </w:tc>
        <w:tc>
          <w:tcPr>
            <w:tcW w:w="12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≥140</w:t>
            </w:r>
          </w:p>
        </w:tc>
        <w:tc>
          <w:tcPr>
            <w:tcW w:w="16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0" w:type="dxa"/>
            <w:vAlign w:val="bottom"/>
          </w:tcPr>
          <w:p>
            <w:pPr>
              <w:spacing w:after="0"/>
              <w:rPr>
                <w:sz w:val="1"/>
                <w:szCs w:val="1"/>
                <w:color w:val="auto"/>
              </w:rPr>
            </w:pPr>
          </w:p>
        </w:tc>
      </w:tr>
      <w:tr>
        <w:trPr>
          <w:trHeight w:val="117"/>
        </w:trPr>
        <w:tc>
          <w:tcPr>
            <w:tcW w:w="1560" w:type="dxa"/>
            <w:vAlign w:val="bottom"/>
            <w:tcBorders>
              <w:left w:val="single" w:sz="8" w:color="auto"/>
              <w:bottom w:val="single" w:sz="8" w:color="auto"/>
              <w:right w:val="single" w:sz="8" w:color="auto"/>
            </w:tcBorders>
          </w:tcPr>
          <w:p>
            <w:pPr>
              <w:spacing w:after="0"/>
              <w:rPr>
                <w:sz w:val="10"/>
                <w:szCs w:val="10"/>
                <w:color w:val="auto"/>
              </w:rPr>
            </w:pPr>
          </w:p>
        </w:tc>
        <w:tc>
          <w:tcPr>
            <w:tcW w:w="960" w:type="dxa"/>
            <w:vAlign w:val="bottom"/>
            <w:tcBorders>
              <w:bottom w:val="single" w:sz="8" w:color="auto"/>
              <w:right w:val="single" w:sz="8" w:color="auto"/>
            </w:tcBorders>
          </w:tcPr>
          <w:p>
            <w:pPr>
              <w:spacing w:after="0"/>
              <w:rPr>
                <w:sz w:val="10"/>
                <w:szCs w:val="10"/>
                <w:color w:val="auto"/>
              </w:rPr>
            </w:pPr>
          </w:p>
        </w:tc>
        <w:tc>
          <w:tcPr>
            <w:tcW w:w="1080" w:type="dxa"/>
            <w:vAlign w:val="bottom"/>
            <w:tcBorders>
              <w:bottom w:val="single" w:sz="8" w:color="auto"/>
              <w:right w:val="single" w:sz="8" w:color="auto"/>
            </w:tcBorders>
          </w:tcPr>
          <w:p>
            <w:pPr>
              <w:spacing w:after="0"/>
              <w:rPr>
                <w:sz w:val="10"/>
                <w:szCs w:val="10"/>
                <w:color w:val="auto"/>
              </w:rPr>
            </w:pPr>
          </w:p>
        </w:tc>
        <w:tc>
          <w:tcPr>
            <w:tcW w:w="1100" w:type="dxa"/>
            <w:vAlign w:val="bottom"/>
            <w:tcBorders>
              <w:bottom w:val="single" w:sz="8" w:color="auto"/>
              <w:right w:val="single" w:sz="8" w:color="auto"/>
            </w:tcBorders>
          </w:tcPr>
          <w:p>
            <w:pPr>
              <w:spacing w:after="0"/>
              <w:rPr>
                <w:sz w:val="10"/>
                <w:szCs w:val="10"/>
                <w:color w:val="auto"/>
              </w:rPr>
            </w:pPr>
          </w:p>
        </w:tc>
        <w:tc>
          <w:tcPr>
            <w:tcW w:w="860" w:type="dxa"/>
            <w:vAlign w:val="bottom"/>
            <w:tcBorders>
              <w:bottom w:val="single" w:sz="8" w:color="auto"/>
              <w:right w:val="single" w:sz="8" w:color="auto"/>
            </w:tcBorders>
          </w:tcPr>
          <w:p>
            <w:pPr>
              <w:spacing w:after="0"/>
              <w:rPr>
                <w:sz w:val="10"/>
                <w:szCs w:val="10"/>
                <w:color w:val="auto"/>
              </w:rPr>
            </w:pPr>
          </w:p>
        </w:tc>
        <w:tc>
          <w:tcPr>
            <w:tcW w:w="1220" w:type="dxa"/>
            <w:vAlign w:val="bottom"/>
            <w:tcBorders>
              <w:bottom w:val="single" w:sz="8" w:color="auto"/>
              <w:right w:val="single" w:sz="8" w:color="auto"/>
            </w:tcBorders>
          </w:tcPr>
          <w:p>
            <w:pPr>
              <w:spacing w:after="0"/>
              <w:rPr>
                <w:sz w:val="10"/>
                <w:szCs w:val="10"/>
                <w:color w:val="auto"/>
              </w:rPr>
            </w:pPr>
          </w:p>
        </w:tc>
        <w:tc>
          <w:tcPr>
            <w:tcW w:w="1680" w:type="dxa"/>
            <w:vAlign w:val="bottom"/>
            <w:tcBorders>
              <w:bottom w:val="single" w:sz="8" w:color="auto"/>
              <w:right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343"/>
        </w:trPr>
        <w:tc>
          <w:tcPr>
            <w:tcW w:w="15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65–79 </w:t>
            </w:r>
            <w:r>
              <w:rPr>
                <w:rFonts w:ascii="Verdana" w:cs="Verdana" w:eastAsia="Verdana" w:hAnsi="Verdana"/>
                <w:sz w:val="17"/>
                <w:szCs w:val="17"/>
                <w:color w:val="auto"/>
              </w:rPr>
              <w:t>лет</w:t>
            </w:r>
          </w:p>
        </w:tc>
        <w:tc>
          <w:tcPr>
            <w:tcW w:w="9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10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11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≥140</w:t>
            </w:r>
          </w:p>
        </w:tc>
        <w:tc>
          <w:tcPr>
            <w:tcW w:w="8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≥140</w:t>
            </w:r>
          </w:p>
        </w:tc>
        <w:tc>
          <w:tcPr>
            <w:tcW w:w="12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≥140</w:t>
            </w:r>
          </w:p>
        </w:tc>
        <w:tc>
          <w:tcPr>
            <w:tcW w:w="16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0" w:type="dxa"/>
            <w:vAlign w:val="bottom"/>
          </w:tcPr>
          <w:p>
            <w:pPr>
              <w:spacing w:after="0"/>
              <w:rPr>
                <w:sz w:val="1"/>
                <w:szCs w:val="1"/>
                <w:color w:val="auto"/>
              </w:rPr>
            </w:pPr>
          </w:p>
        </w:tc>
      </w:tr>
      <w:tr>
        <w:trPr>
          <w:trHeight w:val="117"/>
        </w:trPr>
        <w:tc>
          <w:tcPr>
            <w:tcW w:w="1560" w:type="dxa"/>
            <w:vAlign w:val="bottom"/>
            <w:tcBorders>
              <w:left w:val="single" w:sz="8" w:color="auto"/>
              <w:bottom w:val="single" w:sz="8" w:color="auto"/>
              <w:right w:val="single" w:sz="8" w:color="auto"/>
            </w:tcBorders>
          </w:tcPr>
          <w:p>
            <w:pPr>
              <w:spacing w:after="0"/>
              <w:rPr>
                <w:sz w:val="10"/>
                <w:szCs w:val="10"/>
                <w:color w:val="auto"/>
              </w:rPr>
            </w:pPr>
          </w:p>
        </w:tc>
        <w:tc>
          <w:tcPr>
            <w:tcW w:w="960" w:type="dxa"/>
            <w:vAlign w:val="bottom"/>
            <w:tcBorders>
              <w:bottom w:val="single" w:sz="8" w:color="auto"/>
              <w:right w:val="single" w:sz="8" w:color="auto"/>
            </w:tcBorders>
          </w:tcPr>
          <w:p>
            <w:pPr>
              <w:spacing w:after="0"/>
              <w:rPr>
                <w:sz w:val="10"/>
                <w:szCs w:val="10"/>
                <w:color w:val="auto"/>
              </w:rPr>
            </w:pPr>
          </w:p>
        </w:tc>
        <w:tc>
          <w:tcPr>
            <w:tcW w:w="1080" w:type="dxa"/>
            <w:vAlign w:val="bottom"/>
            <w:tcBorders>
              <w:bottom w:val="single" w:sz="8" w:color="auto"/>
              <w:right w:val="single" w:sz="8" w:color="auto"/>
            </w:tcBorders>
          </w:tcPr>
          <w:p>
            <w:pPr>
              <w:spacing w:after="0"/>
              <w:rPr>
                <w:sz w:val="10"/>
                <w:szCs w:val="10"/>
                <w:color w:val="auto"/>
              </w:rPr>
            </w:pPr>
          </w:p>
        </w:tc>
        <w:tc>
          <w:tcPr>
            <w:tcW w:w="1100" w:type="dxa"/>
            <w:vAlign w:val="bottom"/>
            <w:tcBorders>
              <w:bottom w:val="single" w:sz="8" w:color="auto"/>
              <w:right w:val="single" w:sz="8" w:color="auto"/>
            </w:tcBorders>
          </w:tcPr>
          <w:p>
            <w:pPr>
              <w:spacing w:after="0"/>
              <w:rPr>
                <w:sz w:val="10"/>
                <w:szCs w:val="10"/>
                <w:color w:val="auto"/>
              </w:rPr>
            </w:pPr>
          </w:p>
        </w:tc>
        <w:tc>
          <w:tcPr>
            <w:tcW w:w="860" w:type="dxa"/>
            <w:vAlign w:val="bottom"/>
            <w:tcBorders>
              <w:bottom w:val="single" w:sz="8" w:color="auto"/>
              <w:right w:val="single" w:sz="8" w:color="auto"/>
            </w:tcBorders>
          </w:tcPr>
          <w:p>
            <w:pPr>
              <w:spacing w:after="0"/>
              <w:rPr>
                <w:sz w:val="10"/>
                <w:szCs w:val="10"/>
                <w:color w:val="auto"/>
              </w:rPr>
            </w:pPr>
          </w:p>
        </w:tc>
        <w:tc>
          <w:tcPr>
            <w:tcW w:w="1220" w:type="dxa"/>
            <w:vAlign w:val="bottom"/>
            <w:tcBorders>
              <w:bottom w:val="single" w:sz="8" w:color="auto"/>
              <w:right w:val="single" w:sz="8" w:color="auto"/>
            </w:tcBorders>
          </w:tcPr>
          <w:p>
            <w:pPr>
              <w:spacing w:after="0"/>
              <w:rPr>
                <w:sz w:val="10"/>
                <w:szCs w:val="10"/>
                <w:color w:val="auto"/>
              </w:rPr>
            </w:pPr>
          </w:p>
        </w:tc>
        <w:tc>
          <w:tcPr>
            <w:tcW w:w="1680" w:type="dxa"/>
            <w:vAlign w:val="bottom"/>
            <w:tcBorders>
              <w:bottom w:val="single" w:sz="8" w:color="auto"/>
              <w:right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343"/>
        </w:trPr>
        <w:tc>
          <w:tcPr>
            <w:tcW w:w="15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≥80 </w:t>
            </w:r>
            <w:r>
              <w:rPr>
                <w:rFonts w:ascii="Verdana" w:cs="Verdana" w:eastAsia="Verdana" w:hAnsi="Verdana"/>
                <w:sz w:val="17"/>
                <w:szCs w:val="17"/>
                <w:color w:val="auto"/>
              </w:rPr>
              <w:t>лет</w:t>
            </w:r>
          </w:p>
        </w:tc>
        <w:tc>
          <w:tcPr>
            <w:tcW w:w="9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≥160</w:t>
            </w:r>
          </w:p>
        </w:tc>
        <w:tc>
          <w:tcPr>
            <w:tcW w:w="10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≥160</w:t>
            </w:r>
          </w:p>
        </w:tc>
        <w:tc>
          <w:tcPr>
            <w:tcW w:w="11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≥160</w:t>
            </w:r>
          </w:p>
        </w:tc>
        <w:tc>
          <w:tcPr>
            <w:tcW w:w="8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≥160</w:t>
            </w:r>
          </w:p>
        </w:tc>
        <w:tc>
          <w:tcPr>
            <w:tcW w:w="12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≥160</w:t>
            </w:r>
          </w:p>
        </w:tc>
        <w:tc>
          <w:tcPr>
            <w:tcW w:w="16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0" w:type="dxa"/>
            <w:vAlign w:val="bottom"/>
          </w:tcPr>
          <w:p>
            <w:pPr>
              <w:spacing w:after="0"/>
              <w:rPr>
                <w:sz w:val="1"/>
                <w:szCs w:val="1"/>
                <w:color w:val="auto"/>
              </w:rPr>
            </w:pPr>
          </w:p>
        </w:tc>
      </w:tr>
      <w:tr>
        <w:trPr>
          <w:trHeight w:val="117"/>
        </w:trPr>
        <w:tc>
          <w:tcPr>
            <w:tcW w:w="1560" w:type="dxa"/>
            <w:vAlign w:val="bottom"/>
            <w:tcBorders>
              <w:left w:val="single" w:sz="8" w:color="auto"/>
              <w:bottom w:val="single" w:sz="8" w:color="auto"/>
              <w:right w:val="single" w:sz="8" w:color="auto"/>
            </w:tcBorders>
          </w:tcPr>
          <w:p>
            <w:pPr>
              <w:spacing w:after="0"/>
              <w:rPr>
                <w:sz w:val="10"/>
                <w:szCs w:val="10"/>
                <w:color w:val="auto"/>
              </w:rPr>
            </w:pPr>
          </w:p>
        </w:tc>
        <w:tc>
          <w:tcPr>
            <w:tcW w:w="960" w:type="dxa"/>
            <w:vAlign w:val="bottom"/>
            <w:tcBorders>
              <w:bottom w:val="single" w:sz="8" w:color="auto"/>
              <w:right w:val="single" w:sz="8" w:color="auto"/>
            </w:tcBorders>
          </w:tcPr>
          <w:p>
            <w:pPr>
              <w:spacing w:after="0"/>
              <w:rPr>
                <w:sz w:val="10"/>
                <w:szCs w:val="10"/>
                <w:color w:val="auto"/>
              </w:rPr>
            </w:pPr>
          </w:p>
        </w:tc>
        <w:tc>
          <w:tcPr>
            <w:tcW w:w="1080" w:type="dxa"/>
            <w:vAlign w:val="bottom"/>
            <w:tcBorders>
              <w:bottom w:val="single" w:sz="8" w:color="auto"/>
              <w:right w:val="single" w:sz="8" w:color="auto"/>
            </w:tcBorders>
          </w:tcPr>
          <w:p>
            <w:pPr>
              <w:spacing w:after="0"/>
              <w:rPr>
                <w:sz w:val="10"/>
                <w:szCs w:val="10"/>
                <w:color w:val="auto"/>
              </w:rPr>
            </w:pPr>
          </w:p>
        </w:tc>
        <w:tc>
          <w:tcPr>
            <w:tcW w:w="1100" w:type="dxa"/>
            <w:vAlign w:val="bottom"/>
            <w:tcBorders>
              <w:bottom w:val="single" w:sz="8" w:color="auto"/>
              <w:right w:val="single" w:sz="8" w:color="auto"/>
            </w:tcBorders>
          </w:tcPr>
          <w:p>
            <w:pPr>
              <w:spacing w:after="0"/>
              <w:rPr>
                <w:sz w:val="10"/>
                <w:szCs w:val="10"/>
                <w:color w:val="auto"/>
              </w:rPr>
            </w:pPr>
          </w:p>
        </w:tc>
        <w:tc>
          <w:tcPr>
            <w:tcW w:w="860" w:type="dxa"/>
            <w:vAlign w:val="bottom"/>
            <w:tcBorders>
              <w:bottom w:val="single" w:sz="8" w:color="auto"/>
              <w:right w:val="single" w:sz="8" w:color="auto"/>
            </w:tcBorders>
          </w:tcPr>
          <w:p>
            <w:pPr>
              <w:spacing w:after="0"/>
              <w:rPr>
                <w:sz w:val="10"/>
                <w:szCs w:val="10"/>
                <w:color w:val="auto"/>
              </w:rPr>
            </w:pPr>
          </w:p>
        </w:tc>
        <w:tc>
          <w:tcPr>
            <w:tcW w:w="1220" w:type="dxa"/>
            <w:vAlign w:val="bottom"/>
            <w:tcBorders>
              <w:bottom w:val="single" w:sz="8" w:color="auto"/>
              <w:right w:val="single" w:sz="8" w:color="auto"/>
            </w:tcBorders>
          </w:tcPr>
          <w:p>
            <w:pPr>
              <w:spacing w:after="0"/>
              <w:rPr>
                <w:sz w:val="10"/>
                <w:szCs w:val="10"/>
                <w:color w:val="auto"/>
              </w:rPr>
            </w:pPr>
          </w:p>
        </w:tc>
        <w:tc>
          <w:tcPr>
            <w:tcW w:w="1680" w:type="dxa"/>
            <w:vAlign w:val="bottom"/>
            <w:tcBorders>
              <w:bottom w:val="single" w:sz="8" w:color="auto"/>
              <w:right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15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Пороговое</w:t>
            </w:r>
          </w:p>
        </w:tc>
        <w:tc>
          <w:tcPr>
            <w:tcW w:w="96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108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1100" w:type="dxa"/>
            <w:vAlign w:val="bottom"/>
            <w:tcBorders>
              <w:right w:val="single" w:sz="8" w:color="auto"/>
            </w:tcBorders>
          </w:tcPr>
          <w:p>
            <w:pPr>
              <w:ind w:left="160"/>
              <w:spacing w:after="0"/>
              <w:rPr>
                <w:sz w:val="20"/>
                <w:szCs w:val="20"/>
                <w:color w:val="auto"/>
              </w:rPr>
            </w:pPr>
            <w:r>
              <w:rPr>
                <w:rFonts w:ascii="Verdana" w:cs="Verdana" w:eastAsia="Verdana" w:hAnsi="Verdana"/>
                <w:sz w:val="17"/>
                <w:szCs w:val="17"/>
                <w:color w:val="auto"/>
              </w:rPr>
              <w:t>≥90</w:t>
            </w:r>
          </w:p>
        </w:tc>
        <w:tc>
          <w:tcPr>
            <w:tcW w:w="86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≥90</w:t>
            </w:r>
          </w:p>
        </w:tc>
        <w:tc>
          <w:tcPr>
            <w:tcW w:w="122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≥90</w:t>
            </w:r>
          </w:p>
        </w:tc>
        <w:tc>
          <w:tcPr>
            <w:tcW w:w="1680" w:type="dxa"/>
            <w:vAlign w:val="bottom"/>
            <w:tcBorders>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значение</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ДАД</w:t>
            </w:r>
            <w:r>
              <w:rPr>
                <w:rFonts w:ascii="Verdana" w:cs="Verdana" w:eastAsia="Verdana" w:hAnsi="Verdana"/>
                <w:sz w:val="17"/>
                <w:szCs w:val="17"/>
                <w:color w:val="auto"/>
              </w:rPr>
              <w:t>,</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измеренного</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в</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медицинском</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56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учреждении</w:t>
            </w:r>
          </w:p>
        </w:tc>
        <w:tc>
          <w:tcPr>
            <w:tcW w:w="960" w:type="dxa"/>
            <w:vAlign w:val="bottom"/>
            <w:tcBorders>
              <w:right w:val="single" w:sz="8" w:color="auto"/>
            </w:tcBorders>
          </w:tcPr>
          <w:p>
            <w:pPr>
              <w:spacing w:after="0"/>
              <w:rPr>
                <w:sz w:val="14"/>
                <w:szCs w:val="14"/>
                <w:color w:val="auto"/>
              </w:rPr>
            </w:pPr>
          </w:p>
        </w:tc>
        <w:tc>
          <w:tcPr>
            <w:tcW w:w="1080" w:type="dxa"/>
            <w:vAlign w:val="bottom"/>
            <w:tcBorders>
              <w:right w:val="single" w:sz="8" w:color="auto"/>
            </w:tcBorders>
          </w:tcPr>
          <w:p>
            <w:pPr>
              <w:spacing w:after="0"/>
              <w:rPr>
                <w:sz w:val="14"/>
                <w:szCs w:val="14"/>
                <w:color w:val="auto"/>
              </w:rPr>
            </w:pPr>
          </w:p>
        </w:tc>
        <w:tc>
          <w:tcPr>
            <w:tcW w:w="1100" w:type="dxa"/>
            <w:vAlign w:val="bottom"/>
            <w:tcBorders>
              <w:right w:val="single" w:sz="8" w:color="auto"/>
            </w:tcBorders>
          </w:tcPr>
          <w:p>
            <w:pPr>
              <w:spacing w:after="0"/>
              <w:rPr>
                <w:sz w:val="14"/>
                <w:szCs w:val="14"/>
                <w:color w:val="auto"/>
              </w:rPr>
            </w:pPr>
          </w:p>
        </w:tc>
        <w:tc>
          <w:tcPr>
            <w:tcW w:w="860" w:type="dxa"/>
            <w:vAlign w:val="bottom"/>
            <w:tcBorders>
              <w:righ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56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 xml:space="preserve">. </w:t>
            </w:r>
            <w:r>
              <w:rPr>
                <w:rFonts w:ascii="Verdana" w:cs="Verdana" w:eastAsia="Verdana" w:hAnsi="Verdana"/>
                <w:sz w:val="17"/>
                <w:szCs w:val="17"/>
                <w:color w:val="auto"/>
              </w:rPr>
              <w:t>ст</w:t>
            </w:r>
            <w:r>
              <w:rPr>
                <w:rFonts w:ascii="Verdana" w:cs="Verdana" w:eastAsia="Verdana" w:hAnsi="Verdana"/>
                <w:sz w:val="17"/>
                <w:szCs w:val="17"/>
                <w:color w:val="auto"/>
              </w:rPr>
              <w:t>.)</w:t>
            </w:r>
          </w:p>
        </w:tc>
        <w:tc>
          <w:tcPr>
            <w:tcW w:w="960" w:type="dxa"/>
            <w:vAlign w:val="bottom"/>
            <w:tcBorders>
              <w:right w:val="single" w:sz="8" w:color="auto"/>
            </w:tcBorders>
          </w:tcPr>
          <w:p>
            <w:pPr>
              <w:spacing w:after="0"/>
              <w:rPr>
                <w:sz w:val="19"/>
                <w:szCs w:val="19"/>
                <w:color w:val="auto"/>
              </w:rPr>
            </w:pPr>
          </w:p>
        </w:tc>
        <w:tc>
          <w:tcPr>
            <w:tcW w:w="1080" w:type="dxa"/>
            <w:vAlign w:val="bottom"/>
            <w:tcBorders>
              <w:right w:val="single" w:sz="8" w:color="auto"/>
            </w:tcBorders>
          </w:tcPr>
          <w:p>
            <w:pPr>
              <w:spacing w:after="0"/>
              <w:rPr>
                <w:sz w:val="19"/>
                <w:szCs w:val="19"/>
                <w:color w:val="auto"/>
              </w:rPr>
            </w:pPr>
          </w:p>
        </w:tc>
        <w:tc>
          <w:tcPr>
            <w:tcW w:w="1100" w:type="dxa"/>
            <w:vAlign w:val="bottom"/>
            <w:tcBorders>
              <w:right w:val="single" w:sz="8" w:color="auto"/>
            </w:tcBorders>
          </w:tcPr>
          <w:p>
            <w:pPr>
              <w:spacing w:after="0"/>
              <w:rPr>
                <w:sz w:val="19"/>
                <w:szCs w:val="19"/>
                <w:color w:val="auto"/>
              </w:rPr>
            </w:pPr>
          </w:p>
        </w:tc>
        <w:tc>
          <w:tcPr>
            <w:tcW w:w="860" w:type="dxa"/>
            <w:vAlign w:val="bottom"/>
            <w:tcBorders>
              <w:righ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560" w:type="dxa"/>
            <w:vAlign w:val="bottom"/>
            <w:tcBorders>
              <w:left w:val="single" w:sz="8" w:color="auto"/>
              <w:bottom w:val="single" w:sz="8" w:color="auto"/>
              <w:right w:val="single" w:sz="8" w:color="auto"/>
            </w:tcBorders>
          </w:tcPr>
          <w:p>
            <w:pPr>
              <w:spacing w:after="0"/>
              <w:rPr>
                <w:sz w:val="9"/>
                <w:szCs w:val="9"/>
                <w:color w:val="auto"/>
              </w:rPr>
            </w:pPr>
          </w:p>
        </w:tc>
        <w:tc>
          <w:tcPr>
            <w:tcW w:w="960" w:type="dxa"/>
            <w:vAlign w:val="bottom"/>
            <w:tcBorders>
              <w:bottom w:val="single" w:sz="8" w:color="auto"/>
              <w:right w:val="single" w:sz="8" w:color="auto"/>
            </w:tcBorders>
          </w:tcPr>
          <w:p>
            <w:pPr>
              <w:spacing w:after="0"/>
              <w:rPr>
                <w:sz w:val="9"/>
                <w:szCs w:val="9"/>
                <w:color w:val="auto"/>
              </w:rPr>
            </w:pPr>
          </w:p>
        </w:tc>
        <w:tc>
          <w:tcPr>
            <w:tcW w:w="1080" w:type="dxa"/>
            <w:vAlign w:val="bottom"/>
            <w:tcBorders>
              <w:bottom w:val="single" w:sz="8" w:color="auto"/>
              <w:right w:val="single" w:sz="8" w:color="auto"/>
            </w:tcBorders>
          </w:tcPr>
          <w:p>
            <w:pPr>
              <w:spacing w:after="0"/>
              <w:rPr>
                <w:sz w:val="9"/>
                <w:szCs w:val="9"/>
                <w:color w:val="auto"/>
              </w:rPr>
            </w:pPr>
          </w:p>
        </w:tc>
        <w:tc>
          <w:tcPr>
            <w:tcW w:w="1100" w:type="dxa"/>
            <w:vAlign w:val="bottom"/>
            <w:tcBorders>
              <w:bottom w:val="single" w:sz="8" w:color="auto"/>
              <w:right w:val="single" w:sz="8" w:color="auto"/>
            </w:tcBorders>
          </w:tcPr>
          <w:p>
            <w:pPr>
              <w:spacing w:after="0"/>
              <w:rPr>
                <w:sz w:val="9"/>
                <w:szCs w:val="9"/>
                <w:color w:val="auto"/>
              </w:rPr>
            </w:pPr>
          </w:p>
        </w:tc>
        <w:tc>
          <w:tcPr>
            <w:tcW w:w="860" w:type="dxa"/>
            <w:vAlign w:val="bottom"/>
            <w:tcBorders>
              <w:bottom w:val="single" w:sz="8" w:color="auto"/>
              <w:right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19"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3/</w:t>
      </w:r>
      <w:r>
        <w:rPr>
          <w:rFonts w:ascii="Arial" w:cs="Arial" w:eastAsia="Arial" w:hAnsi="Arial"/>
          <w:sz w:val="27"/>
          <w:szCs w:val="27"/>
          <w:b w:val="1"/>
          <w:bCs w:val="1"/>
          <w:color w:val="auto"/>
        </w:rPr>
        <w:t>Г</w:t>
      </w:r>
      <w:r>
        <w:rPr>
          <w:rFonts w:ascii="Arial" w:cs="Arial" w:eastAsia="Arial" w:hAnsi="Arial"/>
          <w:sz w:val="27"/>
          <w:szCs w:val="27"/>
          <w:b w:val="1"/>
          <w:bCs w:val="1"/>
          <w:color w:val="auto"/>
        </w:rPr>
        <w:t>4.</w:t>
      </w:r>
      <w:r>
        <w:rPr>
          <w:rFonts w:ascii="Arial" w:cs="Arial" w:eastAsia="Arial" w:hAnsi="Arial"/>
          <w:sz w:val="27"/>
          <w:szCs w:val="27"/>
          <w:b w:val="1"/>
          <w:bCs w:val="1"/>
          <w:color w:val="auto"/>
        </w:rPr>
        <w:t xml:space="preserve"> Целевые значения АД</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измеренного в медицинском учреждении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в зависимости от возраста и сопутствующих заболеваний</w:t>
      </w:r>
      <w:r>
        <w:rPr>
          <w:rFonts w:ascii="Arial" w:cs="Arial" w:eastAsia="Arial" w:hAnsi="Arial"/>
          <w:sz w:val="27"/>
          <w:szCs w:val="27"/>
          <w:b w:val="1"/>
          <w:bCs w:val="1"/>
          <w:color w:val="auto"/>
        </w:rPr>
        <w: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116205</wp:posOffset>
            </wp:positionV>
            <wp:extent cx="5365115" cy="3420745"/>
            <wp:wrapNone/>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409">
                      <a:extLst>
                        <a:ext uri="{28A0092B-C50C-407E-A947-70E740481C1C}"/>
                      </a:extLst>
                    </a:blip>
                    <a:srcRect/>
                    <a:stretch>
                      <a:fillRect/>
                    </a:stretch>
                  </pic:blipFill>
                  <pic:spPr bwMode="auto">
                    <a:xfrm>
                      <a:off x="0" y="0"/>
                      <a:ext cx="5365115" cy="3420745"/>
                    </a:xfrm>
                    <a:prstGeom prst="rect">
                      <a:avLst/>
                    </a:prstGeom>
                    <a:noFill/>
                  </pic:spPr>
                </pic:pic>
              </a:graphicData>
            </a:graphic>
          </wp:anchor>
        </w:drawing>
      </w:r>
    </w:p>
    <w:p>
      <w:pPr>
        <w:spacing w:after="0" w:line="306" w:lineRule="exact"/>
        <w:rPr>
          <w:sz w:val="20"/>
          <w:szCs w:val="20"/>
          <w:color w:val="auto"/>
        </w:rPr>
      </w:pPr>
    </w:p>
    <w:tbl>
      <w:tblPr>
        <w:tblLayout w:type="fixed"/>
        <w:tblInd w:w="360" w:type="dxa"/>
        <w:tblCellMar>
          <w:top w:w="0" w:type="dxa"/>
          <w:left w:w="0" w:type="dxa"/>
          <w:bottom w:w="0" w:type="dxa"/>
          <w:right w:w="0" w:type="dxa"/>
        </w:tblCellMar>
      </w:tblPr>
      <w:tr>
        <w:trPr>
          <w:trHeight w:val="220"/>
        </w:trPr>
        <w:tc>
          <w:tcPr>
            <w:tcW w:w="1460" w:type="dxa"/>
            <w:vAlign w:val="bottom"/>
          </w:tcPr>
          <w:p>
            <w:pPr>
              <w:ind w:left="160"/>
              <w:spacing w:after="0"/>
              <w:rPr>
                <w:sz w:val="20"/>
                <w:szCs w:val="20"/>
                <w:color w:val="auto"/>
              </w:rPr>
            </w:pPr>
            <w:r>
              <w:rPr>
                <w:rFonts w:ascii="Verdana" w:cs="Verdana" w:eastAsia="Verdana" w:hAnsi="Verdana"/>
                <w:sz w:val="17"/>
                <w:szCs w:val="17"/>
                <w:color w:val="auto"/>
              </w:rPr>
              <w:t>Возраст</w:t>
            </w:r>
          </w:p>
        </w:tc>
        <w:tc>
          <w:tcPr>
            <w:tcW w:w="3300" w:type="dxa"/>
            <w:vAlign w:val="bottom"/>
            <w:gridSpan w:val="4"/>
          </w:tcPr>
          <w:p>
            <w:pPr>
              <w:ind w:left="160"/>
              <w:spacing w:after="0"/>
              <w:rPr>
                <w:sz w:val="20"/>
                <w:szCs w:val="20"/>
                <w:color w:val="auto"/>
              </w:rPr>
            </w:pPr>
            <w:r>
              <w:rPr>
                <w:rFonts w:ascii="Verdana" w:cs="Verdana" w:eastAsia="Verdana" w:hAnsi="Verdana"/>
                <w:sz w:val="17"/>
                <w:szCs w:val="17"/>
                <w:color w:val="auto"/>
              </w:rPr>
              <w:t xml:space="preserve">Целевое значение САД </w:t>
            </w: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w:t>
            </w:r>
            <w:r>
              <w:rPr>
                <w:rFonts w:ascii="Verdana" w:cs="Verdana" w:eastAsia="Verdana" w:hAnsi="Verdana"/>
                <w:sz w:val="17"/>
                <w:szCs w:val="17"/>
                <w:color w:val="auto"/>
              </w:rPr>
              <w:t xml:space="preserve"> ст</w:t>
            </w:r>
            <w:r>
              <w:rPr>
                <w:rFonts w:ascii="Verdana" w:cs="Verdana" w:eastAsia="Verdana" w:hAnsi="Verdana"/>
                <w:sz w:val="17"/>
                <w:szCs w:val="17"/>
                <w:color w:val="auto"/>
              </w:rPr>
              <w:t>.)</w:t>
            </w:r>
          </w:p>
        </w:tc>
        <w:tc>
          <w:tcPr>
            <w:tcW w:w="100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00" w:type="dxa"/>
            <w:vAlign w:val="bottom"/>
          </w:tcPr>
          <w:p>
            <w:pPr>
              <w:spacing w:after="0"/>
              <w:rPr>
                <w:sz w:val="19"/>
                <w:szCs w:val="19"/>
                <w:color w:val="auto"/>
              </w:rPr>
            </w:pPr>
          </w:p>
        </w:tc>
      </w:tr>
      <w:tr>
        <w:trPr>
          <w:trHeight w:val="327"/>
        </w:trPr>
        <w:tc>
          <w:tcPr>
            <w:tcW w:w="1460" w:type="dxa"/>
            <w:vAlign w:val="bottom"/>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00" w:type="dxa"/>
            <w:vAlign w:val="bottom"/>
            <w:tcBorders>
              <w:bottom w:val="single" w:sz="8" w:color="auto"/>
            </w:tcBorders>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60" w:type="dxa"/>
            <w:vAlign w:val="bottom"/>
            <w:tcBorders>
              <w:bottom w:val="single" w:sz="8" w:color="auto"/>
            </w:tcBorders>
          </w:tcPr>
          <w:p>
            <w:pPr>
              <w:spacing w:after="0"/>
              <w:rPr>
                <w:sz w:val="24"/>
                <w:szCs w:val="24"/>
                <w:color w:val="auto"/>
              </w:rPr>
            </w:pPr>
          </w:p>
        </w:tc>
        <w:tc>
          <w:tcPr>
            <w:tcW w:w="1000" w:type="dxa"/>
            <w:vAlign w:val="bottom"/>
            <w:tcBorders>
              <w:bottom w:val="single" w:sz="8" w:color="auto"/>
            </w:tcBorders>
          </w:tcPr>
          <w:p>
            <w:pPr>
              <w:spacing w:after="0"/>
              <w:rPr>
                <w:sz w:val="24"/>
                <w:szCs w:val="24"/>
                <w:color w:val="auto"/>
              </w:rPr>
            </w:pPr>
          </w:p>
        </w:tc>
        <w:tc>
          <w:tcPr>
            <w:tcW w:w="560" w:type="dxa"/>
            <w:vAlign w:val="bottom"/>
            <w:tcBorders>
              <w:bottom w:val="single" w:sz="8" w:color="auto"/>
            </w:tcBorders>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00" w:type="dxa"/>
            <w:vAlign w:val="bottom"/>
            <w:tcBorders>
              <w:bottom w:val="single" w:sz="8" w:color="auto"/>
            </w:tcBorders>
          </w:tcPr>
          <w:p>
            <w:pPr>
              <w:spacing w:after="0"/>
              <w:rPr>
                <w:sz w:val="24"/>
                <w:szCs w:val="24"/>
                <w:color w:val="auto"/>
              </w:rPr>
            </w:pPr>
          </w:p>
        </w:tc>
        <w:tc>
          <w:tcPr>
            <w:tcW w:w="500" w:type="dxa"/>
            <w:vAlign w:val="bottom"/>
            <w:tcBorders>
              <w:bottom w:val="single" w:sz="8" w:color="auto"/>
            </w:tcBorders>
          </w:tcPr>
          <w:p>
            <w:pPr>
              <w:spacing w:after="0"/>
              <w:rPr>
                <w:sz w:val="24"/>
                <w:szCs w:val="24"/>
                <w:color w:val="auto"/>
              </w:rPr>
            </w:pPr>
          </w:p>
        </w:tc>
      </w:tr>
      <w:tr>
        <w:trPr>
          <w:trHeight w:val="295"/>
        </w:trPr>
        <w:tc>
          <w:tcPr>
            <w:tcW w:w="1460" w:type="dxa"/>
            <w:vAlign w:val="bottom"/>
          </w:tcPr>
          <w:p>
            <w:pPr>
              <w:spacing w:after="0"/>
              <w:rPr>
                <w:sz w:val="24"/>
                <w:szCs w:val="24"/>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АГ</w:t>
            </w:r>
          </w:p>
        </w:tc>
        <w:tc>
          <w:tcPr>
            <w:tcW w:w="600" w:type="dxa"/>
            <w:vAlign w:val="bottom"/>
          </w:tcPr>
          <w:p>
            <w:pPr>
              <w:spacing w:after="0"/>
              <w:rPr>
                <w:sz w:val="24"/>
                <w:szCs w:val="24"/>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СД</w:t>
            </w:r>
          </w:p>
        </w:tc>
        <w:tc>
          <w:tcPr>
            <w:tcW w:w="660" w:type="dxa"/>
            <w:vAlign w:val="bottom"/>
          </w:tcPr>
          <w:p>
            <w:pPr>
              <w:spacing w:after="0"/>
              <w:rPr>
                <w:sz w:val="24"/>
                <w:szCs w:val="24"/>
                <w:color w:val="auto"/>
              </w:rPr>
            </w:pPr>
          </w:p>
        </w:tc>
        <w:tc>
          <w:tcPr>
            <w:tcW w:w="1000" w:type="dxa"/>
            <w:vAlign w:val="bottom"/>
          </w:tcPr>
          <w:p>
            <w:pPr>
              <w:ind w:left="10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ХБП</w:t>
            </w:r>
          </w:p>
        </w:tc>
        <w:tc>
          <w:tcPr>
            <w:tcW w:w="560" w:type="dxa"/>
            <w:vAlign w:val="bottom"/>
          </w:tcPr>
          <w:p>
            <w:pPr>
              <w:spacing w:after="0"/>
              <w:rPr>
                <w:sz w:val="24"/>
                <w:szCs w:val="24"/>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ИБС</w:t>
            </w:r>
          </w:p>
        </w:tc>
        <w:tc>
          <w:tcPr>
            <w:tcW w:w="600" w:type="dxa"/>
            <w:vAlign w:val="bottom"/>
          </w:tcPr>
          <w:p>
            <w:pPr>
              <w:spacing w:after="0"/>
              <w:rPr>
                <w:sz w:val="24"/>
                <w:szCs w:val="24"/>
                <w:color w:val="auto"/>
              </w:rPr>
            </w:pPr>
          </w:p>
        </w:tc>
        <w:tc>
          <w:tcPr>
            <w:tcW w:w="500" w:type="dxa"/>
            <w:vAlign w:val="bottom"/>
          </w:tcPr>
          <w:p>
            <w:pPr>
              <w:ind w:left="160"/>
              <w:spacing w:after="0"/>
              <w:rPr>
                <w:sz w:val="20"/>
                <w:szCs w:val="20"/>
                <w:color w:val="auto"/>
              </w:rPr>
            </w:pPr>
            <w:r>
              <w:rPr>
                <w:rFonts w:ascii="Verdana" w:cs="Verdana" w:eastAsia="Verdana" w:hAnsi="Verdana"/>
                <w:sz w:val="17"/>
                <w:szCs w:val="17"/>
                <w:color w:val="auto"/>
                <w:w w:val="85"/>
              </w:rPr>
              <w:t>+</w:t>
            </w:r>
            <w:r>
              <w:rPr>
                <w:rFonts w:ascii="Verdana" w:cs="Verdana" w:eastAsia="Verdana" w:hAnsi="Verdana"/>
                <w:sz w:val="17"/>
                <w:szCs w:val="17"/>
                <w:color w:val="auto"/>
                <w:w w:val="85"/>
              </w:rPr>
              <w:t>Ин</w:t>
            </w:r>
          </w:p>
        </w:tc>
      </w:tr>
      <w:tr>
        <w:trPr>
          <w:trHeight w:val="220"/>
        </w:trPr>
        <w:tc>
          <w:tcPr>
            <w:tcW w:w="146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100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00" w:type="dxa"/>
            <w:vAlign w:val="bottom"/>
          </w:tcPr>
          <w:p>
            <w:pPr>
              <w:ind w:left="160"/>
              <w:spacing w:after="0"/>
              <w:rPr>
                <w:sz w:val="20"/>
                <w:szCs w:val="20"/>
                <w:color w:val="auto"/>
              </w:rPr>
            </w:pPr>
            <w:r>
              <w:rPr>
                <w:rFonts w:ascii="Verdana" w:cs="Verdana" w:eastAsia="Verdana" w:hAnsi="Verdana"/>
                <w:sz w:val="17"/>
                <w:szCs w:val="17"/>
                <w:color w:val="auto"/>
                <w:w w:val="91"/>
              </w:rPr>
              <w:t>ТИА</w:t>
            </w:r>
          </w:p>
        </w:tc>
      </w:tr>
      <w:tr>
        <w:trPr>
          <w:trHeight w:val="410"/>
        </w:trPr>
        <w:tc>
          <w:tcPr>
            <w:tcW w:w="1460" w:type="dxa"/>
            <w:vAlign w:val="bottom"/>
            <w:tcBorders>
              <w:bottom w:val="single" w:sz="8" w:color="auto"/>
            </w:tcBorders>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00" w:type="dxa"/>
            <w:vAlign w:val="bottom"/>
            <w:tcBorders>
              <w:bottom w:val="single" w:sz="8" w:color="auto"/>
            </w:tcBorders>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60" w:type="dxa"/>
            <w:vAlign w:val="bottom"/>
            <w:tcBorders>
              <w:bottom w:val="single" w:sz="8" w:color="auto"/>
            </w:tcBorders>
          </w:tcPr>
          <w:p>
            <w:pPr>
              <w:spacing w:after="0"/>
              <w:rPr>
                <w:sz w:val="24"/>
                <w:szCs w:val="24"/>
                <w:color w:val="auto"/>
              </w:rPr>
            </w:pPr>
          </w:p>
        </w:tc>
        <w:tc>
          <w:tcPr>
            <w:tcW w:w="1000" w:type="dxa"/>
            <w:vAlign w:val="bottom"/>
            <w:tcBorders>
              <w:bottom w:val="single" w:sz="8" w:color="auto"/>
            </w:tcBorders>
          </w:tcPr>
          <w:p>
            <w:pPr>
              <w:spacing w:after="0"/>
              <w:rPr>
                <w:sz w:val="24"/>
                <w:szCs w:val="24"/>
                <w:color w:val="auto"/>
              </w:rPr>
            </w:pPr>
          </w:p>
        </w:tc>
        <w:tc>
          <w:tcPr>
            <w:tcW w:w="560" w:type="dxa"/>
            <w:vAlign w:val="bottom"/>
            <w:tcBorders>
              <w:bottom w:val="single" w:sz="8" w:color="auto"/>
            </w:tcBorders>
          </w:tcPr>
          <w:p>
            <w:pPr>
              <w:spacing w:after="0"/>
              <w:rPr>
                <w:sz w:val="24"/>
                <w:szCs w:val="24"/>
                <w:color w:val="auto"/>
              </w:rPr>
            </w:pPr>
          </w:p>
        </w:tc>
        <w:tc>
          <w:tcPr>
            <w:tcW w:w="1020" w:type="dxa"/>
            <w:vAlign w:val="bottom"/>
            <w:tcBorders>
              <w:bottom w:val="single" w:sz="8" w:color="auto"/>
            </w:tcBorders>
          </w:tcPr>
          <w:p>
            <w:pPr>
              <w:spacing w:after="0"/>
              <w:rPr>
                <w:sz w:val="24"/>
                <w:szCs w:val="24"/>
                <w:color w:val="auto"/>
              </w:rPr>
            </w:pPr>
          </w:p>
        </w:tc>
        <w:tc>
          <w:tcPr>
            <w:tcW w:w="600" w:type="dxa"/>
            <w:vAlign w:val="bottom"/>
            <w:tcBorders>
              <w:bottom w:val="single" w:sz="8" w:color="auto"/>
            </w:tcBorders>
          </w:tcPr>
          <w:p>
            <w:pPr>
              <w:spacing w:after="0"/>
              <w:rPr>
                <w:sz w:val="24"/>
                <w:szCs w:val="24"/>
                <w:color w:val="auto"/>
              </w:rPr>
            </w:pPr>
          </w:p>
        </w:tc>
        <w:tc>
          <w:tcPr>
            <w:tcW w:w="500" w:type="dxa"/>
            <w:vAlign w:val="bottom"/>
            <w:tcBorders>
              <w:bottom w:val="single" w:sz="8" w:color="auto"/>
            </w:tcBorders>
          </w:tcPr>
          <w:p>
            <w:pPr>
              <w:spacing w:after="0"/>
              <w:rPr>
                <w:sz w:val="24"/>
                <w:szCs w:val="24"/>
                <w:color w:val="auto"/>
              </w:rPr>
            </w:pPr>
          </w:p>
        </w:tc>
      </w:tr>
      <w:tr>
        <w:trPr>
          <w:trHeight w:val="295"/>
        </w:trPr>
        <w:tc>
          <w:tcPr>
            <w:tcW w:w="1460" w:type="dxa"/>
            <w:vAlign w:val="bottom"/>
          </w:tcPr>
          <w:p>
            <w:pPr>
              <w:ind w:left="160"/>
              <w:spacing w:after="0"/>
              <w:rPr>
                <w:sz w:val="20"/>
                <w:szCs w:val="20"/>
                <w:color w:val="auto"/>
              </w:rPr>
            </w:pPr>
            <w:r>
              <w:rPr>
                <w:rFonts w:ascii="Verdana" w:cs="Verdana" w:eastAsia="Verdana" w:hAnsi="Verdana"/>
                <w:sz w:val="17"/>
                <w:szCs w:val="17"/>
                <w:color w:val="auto"/>
              </w:rPr>
              <w:t xml:space="preserve">18–64 </w:t>
            </w:r>
            <w:r>
              <w:rPr>
                <w:rFonts w:ascii="Verdana" w:cs="Verdana" w:eastAsia="Verdana" w:hAnsi="Verdana"/>
                <w:sz w:val="17"/>
                <w:szCs w:val="17"/>
                <w:color w:val="auto"/>
              </w:rPr>
              <w:t>лет</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w:t>
            </w:r>
          </w:p>
        </w:tc>
        <w:tc>
          <w:tcPr>
            <w:tcW w:w="600" w:type="dxa"/>
            <w:vAlign w:val="bottom"/>
          </w:tcPr>
          <w:p>
            <w:pPr>
              <w:ind w:left="120"/>
              <w:spacing w:after="0"/>
              <w:rPr>
                <w:sz w:val="20"/>
                <w:szCs w:val="20"/>
                <w:color w:val="auto"/>
              </w:rPr>
            </w:pPr>
            <w:r>
              <w:rPr>
                <w:rFonts w:ascii="Verdana" w:cs="Verdana" w:eastAsia="Verdana" w:hAnsi="Verdana"/>
                <w:sz w:val="17"/>
                <w:szCs w:val="17"/>
                <w:color w:val="auto"/>
              </w:rPr>
              <w:t>при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w:t>
            </w:r>
          </w:p>
        </w:tc>
        <w:tc>
          <w:tcPr>
            <w:tcW w:w="660" w:type="dxa"/>
            <w:vAlign w:val="bottom"/>
          </w:tcPr>
          <w:p>
            <w:pPr>
              <w:ind w:left="140"/>
              <w:spacing w:after="0"/>
              <w:rPr>
                <w:sz w:val="20"/>
                <w:szCs w:val="20"/>
                <w:color w:val="auto"/>
              </w:rPr>
            </w:pPr>
            <w:r>
              <w:rPr>
                <w:rFonts w:ascii="Verdana" w:cs="Verdana" w:eastAsia="Verdana" w:hAnsi="Verdana"/>
                <w:sz w:val="17"/>
                <w:szCs w:val="17"/>
                <w:color w:val="auto"/>
              </w:rPr>
              <w:t>при</w:t>
            </w:r>
          </w:p>
        </w:tc>
        <w:tc>
          <w:tcPr>
            <w:tcW w:w="1000" w:type="dxa"/>
            <w:vAlign w:val="bottom"/>
          </w:tcPr>
          <w:p>
            <w:pPr>
              <w:ind w:left="100"/>
              <w:spacing w:after="0"/>
              <w:rPr>
                <w:sz w:val="20"/>
                <w:szCs w:val="20"/>
                <w:color w:val="auto"/>
              </w:rPr>
            </w:pPr>
            <w:r>
              <w:rPr>
                <w:rFonts w:ascii="Verdana" w:cs="Verdana" w:eastAsia="Verdana" w:hAnsi="Verdana"/>
                <w:sz w:val="17"/>
                <w:szCs w:val="17"/>
                <w:color w:val="auto"/>
              </w:rPr>
              <w:t xml:space="preserve">&lt;140  </w:t>
            </w:r>
            <w:r>
              <w:rPr>
                <w:rFonts w:ascii="Verdana" w:cs="Verdana" w:eastAsia="Verdana" w:hAnsi="Verdana"/>
                <w:sz w:val="17"/>
                <w:szCs w:val="17"/>
                <w:color w:val="auto"/>
              </w:rPr>
              <w:t>до</w:t>
            </w:r>
          </w:p>
        </w:tc>
        <w:tc>
          <w:tcPr>
            <w:tcW w:w="560" w:type="dxa"/>
            <w:vAlign w:val="bottom"/>
          </w:tcPr>
          <w:p>
            <w:pPr>
              <w:jc w:val="right"/>
              <w:ind w:right="77"/>
              <w:spacing w:after="0"/>
              <w:rPr>
                <w:sz w:val="20"/>
                <w:szCs w:val="20"/>
                <w:color w:val="auto"/>
              </w:rPr>
            </w:pPr>
            <w:r>
              <w:rPr>
                <w:rFonts w:ascii="Verdana" w:cs="Verdana" w:eastAsia="Verdana" w:hAnsi="Verdana"/>
                <w:sz w:val="17"/>
                <w:szCs w:val="17"/>
                <w:color w:val="auto"/>
              </w:rPr>
              <w:t>130</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w:t>
            </w:r>
          </w:p>
        </w:tc>
        <w:tc>
          <w:tcPr>
            <w:tcW w:w="600" w:type="dxa"/>
            <w:vAlign w:val="bottom"/>
          </w:tcPr>
          <w:p>
            <w:pPr>
              <w:ind w:left="140"/>
              <w:spacing w:after="0"/>
              <w:rPr>
                <w:sz w:val="20"/>
                <w:szCs w:val="20"/>
                <w:color w:val="auto"/>
              </w:rPr>
            </w:pPr>
            <w:r>
              <w:rPr>
                <w:rFonts w:ascii="Verdana" w:cs="Verdana" w:eastAsia="Verdana" w:hAnsi="Verdana"/>
                <w:sz w:val="17"/>
                <w:szCs w:val="17"/>
                <w:color w:val="auto"/>
              </w:rPr>
              <w:t>при</w:t>
            </w:r>
          </w:p>
        </w:tc>
        <w:tc>
          <w:tcPr>
            <w:tcW w:w="500" w:type="dxa"/>
            <w:vAlign w:val="bottom"/>
          </w:tcPr>
          <w:p>
            <w:pPr>
              <w:ind w:left="160"/>
              <w:spacing w:after="0"/>
              <w:rPr>
                <w:sz w:val="20"/>
                <w:szCs w:val="20"/>
                <w:color w:val="auto"/>
              </w:rPr>
            </w:pPr>
            <w:r>
              <w:rPr>
                <w:rFonts w:ascii="Verdana" w:cs="Verdana" w:eastAsia="Verdana" w:hAnsi="Verdana"/>
                <w:sz w:val="17"/>
                <w:szCs w:val="17"/>
                <w:color w:val="auto"/>
                <w:w w:val="98"/>
              </w:rPr>
              <w:t>£13</w:t>
            </w:r>
          </w:p>
        </w:tc>
      </w:tr>
      <w:tr>
        <w:trPr>
          <w:trHeight w:val="165"/>
        </w:trPr>
        <w:tc>
          <w:tcPr>
            <w:tcW w:w="1460" w:type="dxa"/>
            <w:vAlign w:val="bottom"/>
          </w:tcPr>
          <w:p>
            <w:pPr>
              <w:spacing w:after="0"/>
              <w:rPr>
                <w:sz w:val="14"/>
                <w:szCs w:val="14"/>
                <w:color w:val="auto"/>
              </w:rPr>
            </w:pPr>
          </w:p>
        </w:tc>
        <w:tc>
          <w:tcPr>
            <w:tcW w:w="1620" w:type="dxa"/>
            <w:vAlign w:val="bottom"/>
            <w:gridSpan w:val="2"/>
          </w:tcPr>
          <w:p>
            <w:pPr>
              <w:ind w:left="160"/>
              <w:spacing w:after="0" w:line="165" w:lineRule="exact"/>
              <w:rPr>
                <w:sz w:val="20"/>
                <w:szCs w:val="20"/>
                <w:color w:val="auto"/>
              </w:rPr>
            </w:pPr>
            <w:r>
              <w:rPr>
                <w:rFonts w:ascii="Verdana" w:cs="Verdana" w:eastAsia="Verdana" w:hAnsi="Verdana"/>
                <w:sz w:val="17"/>
                <w:szCs w:val="17"/>
                <w:color w:val="auto"/>
              </w:rPr>
              <w:t>переносимости</w:t>
            </w:r>
          </w:p>
        </w:tc>
        <w:tc>
          <w:tcPr>
            <w:tcW w:w="1680" w:type="dxa"/>
            <w:vAlign w:val="bottom"/>
            <w:gridSpan w:val="2"/>
          </w:tcPr>
          <w:p>
            <w:pPr>
              <w:ind w:left="160"/>
              <w:spacing w:after="0" w:line="165" w:lineRule="exact"/>
              <w:rPr>
                <w:sz w:val="20"/>
                <w:szCs w:val="20"/>
                <w:color w:val="auto"/>
              </w:rPr>
            </w:pPr>
            <w:r>
              <w:rPr>
                <w:rFonts w:ascii="Verdana" w:cs="Verdana" w:eastAsia="Verdana" w:hAnsi="Verdana"/>
                <w:sz w:val="17"/>
                <w:szCs w:val="17"/>
                <w:color w:val="auto"/>
              </w:rPr>
              <w:t>переносимости</w:t>
            </w:r>
          </w:p>
        </w:tc>
        <w:tc>
          <w:tcPr>
            <w:tcW w:w="1000" w:type="dxa"/>
            <w:vAlign w:val="bottom"/>
          </w:tcPr>
          <w:p>
            <w:pPr>
              <w:ind w:left="100"/>
              <w:spacing w:after="0" w:line="165" w:lineRule="exact"/>
              <w:rPr>
                <w:sz w:val="20"/>
                <w:szCs w:val="20"/>
                <w:color w:val="auto"/>
              </w:rPr>
            </w:pPr>
            <w:r>
              <w:rPr>
                <w:rFonts w:ascii="Verdana" w:cs="Verdana" w:eastAsia="Verdana" w:hAnsi="Verdana"/>
                <w:sz w:val="17"/>
                <w:szCs w:val="17"/>
                <w:color w:val="auto"/>
              </w:rPr>
              <w:t>при</w:t>
            </w:r>
          </w:p>
        </w:tc>
        <w:tc>
          <w:tcPr>
            <w:tcW w:w="560" w:type="dxa"/>
            <w:vAlign w:val="bottom"/>
          </w:tcPr>
          <w:p>
            <w:pPr>
              <w:spacing w:after="0"/>
              <w:rPr>
                <w:sz w:val="14"/>
                <w:szCs w:val="14"/>
                <w:color w:val="auto"/>
              </w:rPr>
            </w:pPr>
          </w:p>
        </w:tc>
        <w:tc>
          <w:tcPr>
            <w:tcW w:w="1620" w:type="dxa"/>
            <w:vAlign w:val="bottom"/>
            <w:gridSpan w:val="2"/>
          </w:tcPr>
          <w:p>
            <w:pPr>
              <w:ind w:left="160"/>
              <w:spacing w:after="0" w:line="165" w:lineRule="exact"/>
              <w:rPr>
                <w:sz w:val="20"/>
                <w:szCs w:val="20"/>
                <w:color w:val="auto"/>
              </w:rPr>
            </w:pPr>
            <w:r>
              <w:rPr>
                <w:rFonts w:ascii="Verdana" w:cs="Verdana" w:eastAsia="Verdana" w:hAnsi="Verdana"/>
                <w:sz w:val="17"/>
                <w:szCs w:val="17"/>
                <w:color w:val="auto"/>
              </w:rPr>
              <w:t>переносимости</w:t>
            </w:r>
          </w:p>
        </w:tc>
        <w:tc>
          <w:tcPr>
            <w:tcW w:w="500" w:type="dxa"/>
            <w:vAlign w:val="bottom"/>
          </w:tcPr>
          <w:p>
            <w:pPr>
              <w:ind w:left="160"/>
              <w:spacing w:after="0" w:line="165" w:lineRule="exact"/>
              <w:rPr>
                <w:sz w:val="20"/>
                <w:szCs w:val="20"/>
                <w:color w:val="auto"/>
              </w:rPr>
            </w:pPr>
            <w:r>
              <w:rPr>
                <w:rFonts w:ascii="Verdana" w:cs="Verdana" w:eastAsia="Verdana" w:hAnsi="Verdana"/>
                <w:sz w:val="17"/>
                <w:szCs w:val="17"/>
                <w:color w:val="auto"/>
              </w:rPr>
              <w:t>пер</w:t>
            </w:r>
          </w:p>
        </w:tc>
      </w:tr>
      <w:tr>
        <w:trPr>
          <w:trHeight w:val="220"/>
        </w:trPr>
        <w:tc>
          <w:tcPr>
            <w:tcW w:w="1460" w:type="dxa"/>
            <w:vAlign w:val="bottom"/>
          </w:tcPr>
          <w:p>
            <w:pPr>
              <w:spacing w:after="0"/>
              <w:rPr>
                <w:sz w:val="19"/>
                <w:szCs w:val="19"/>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 xml:space="preserve">Не </w:t>
            </w:r>
            <w:r>
              <w:rPr>
                <w:rFonts w:ascii="Verdana" w:cs="Verdana" w:eastAsia="Verdana" w:hAnsi="Verdana"/>
                <w:sz w:val="17"/>
                <w:szCs w:val="17"/>
                <w:color w:val="auto"/>
              </w:rPr>
              <w:t>&lt;120</w:t>
            </w:r>
          </w:p>
        </w:tc>
        <w:tc>
          <w:tcPr>
            <w:tcW w:w="600" w:type="dxa"/>
            <w:vAlign w:val="bottom"/>
          </w:tcPr>
          <w:p>
            <w:pPr>
              <w:spacing w:after="0"/>
              <w:rPr>
                <w:sz w:val="19"/>
                <w:szCs w:val="19"/>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 xml:space="preserve">Не </w:t>
            </w:r>
            <w:r>
              <w:rPr>
                <w:rFonts w:ascii="Verdana" w:cs="Verdana" w:eastAsia="Verdana" w:hAnsi="Verdana"/>
                <w:sz w:val="17"/>
                <w:szCs w:val="17"/>
                <w:color w:val="auto"/>
              </w:rPr>
              <w:t>&lt;120</w:t>
            </w:r>
          </w:p>
        </w:tc>
        <w:tc>
          <w:tcPr>
            <w:tcW w:w="660" w:type="dxa"/>
            <w:vAlign w:val="bottom"/>
          </w:tcPr>
          <w:p>
            <w:pPr>
              <w:spacing w:after="0"/>
              <w:rPr>
                <w:sz w:val="19"/>
                <w:szCs w:val="19"/>
                <w:color w:val="auto"/>
              </w:rPr>
            </w:pPr>
          </w:p>
        </w:tc>
        <w:tc>
          <w:tcPr>
            <w:tcW w:w="1560" w:type="dxa"/>
            <w:vAlign w:val="bottom"/>
            <w:gridSpan w:val="2"/>
          </w:tcPr>
          <w:p>
            <w:pPr>
              <w:ind w:left="100"/>
              <w:spacing w:after="0"/>
              <w:rPr>
                <w:sz w:val="20"/>
                <w:szCs w:val="20"/>
                <w:color w:val="auto"/>
              </w:rPr>
            </w:pPr>
            <w:r>
              <w:rPr>
                <w:rFonts w:ascii="Verdana" w:cs="Verdana" w:eastAsia="Verdana" w:hAnsi="Verdana"/>
                <w:sz w:val="17"/>
                <w:szCs w:val="17"/>
                <w:color w:val="auto"/>
              </w:rPr>
              <w:t>переносимости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 xml:space="preserve">Не </w:t>
            </w:r>
            <w:r>
              <w:rPr>
                <w:rFonts w:ascii="Verdana" w:cs="Verdana" w:eastAsia="Verdana" w:hAnsi="Verdana"/>
                <w:sz w:val="17"/>
                <w:szCs w:val="17"/>
                <w:color w:val="auto"/>
              </w:rPr>
              <w:t>&lt;120</w:t>
            </w:r>
          </w:p>
        </w:tc>
        <w:tc>
          <w:tcPr>
            <w:tcW w:w="600" w:type="dxa"/>
            <w:vAlign w:val="bottom"/>
          </w:tcPr>
          <w:p>
            <w:pPr>
              <w:spacing w:after="0"/>
              <w:rPr>
                <w:sz w:val="19"/>
                <w:szCs w:val="19"/>
                <w:color w:val="auto"/>
              </w:rPr>
            </w:pPr>
          </w:p>
        </w:tc>
        <w:tc>
          <w:tcPr>
            <w:tcW w:w="500" w:type="dxa"/>
            <w:vAlign w:val="bottom"/>
          </w:tcPr>
          <w:p>
            <w:pPr>
              <w:ind w:left="160"/>
              <w:spacing w:after="0"/>
              <w:rPr>
                <w:sz w:val="20"/>
                <w:szCs w:val="20"/>
                <w:color w:val="auto"/>
              </w:rPr>
            </w:pPr>
            <w:r>
              <w:rPr>
                <w:rFonts w:ascii="Verdana" w:cs="Verdana" w:eastAsia="Verdana" w:hAnsi="Verdana"/>
                <w:sz w:val="17"/>
                <w:szCs w:val="17"/>
                <w:color w:val="auto"/>
              </w:rPr>
              <w:t>Не</w:t>
            </w:r>
          </w:p>
        </w:tc>
      </w:tr>
      <w:tr>
        <w:trPr>
          <w:trHeight w:val="110"/>
        </w:trPr>
        <w:tc>
          <w:tcPr>
            <w:tcW w:w="14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1000" w:type="dxa"/>
            <w:vAlign w:val="bottom"/>
            <w:tcBorders>
              <w:bottom w:val="single" w:sz="8" w:color="auto"/>
            </w:tcBorders>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500" w:type="dxa"/>
            <w:vAlign w:val="bottom"/>
            <w:tcBorders>
              <w:bottom w:val="single" w:sz="8" w:color="auto"/>
            </w:tcBorders>
          </w:tcPr>
          <w:p>
            <w:pPr>
              <w:spacing w:after="0"/>
              <w:rPr>
                <w:sz w:val="9"/>
                <w:szCs w:val="9"/>
                <w:color w:val="auto"/>
              </w:rPr>
            </w:pPr>
          </w:p>
        </w:tc>
      </w:tr>
      <w:tr>
        <w:trPr>
          <w:trHeight w:val="295"/>
        </w:trPr>
        <w:tc>
          <w:tcPr>
            <w:tcW w:w="1460" w:type="dxa"/>
            <w:vAlign w:val="bottom"/>
          </w:tcPr>
          <w:p>
            <w:pPr>
              <w:ind w:left="160"/>
              <w:spacing w:after="0" w:line="295" w:lineRule="exact"/>
              <w:rPr>
                <w:sz w:val="20"/>
                <w:szCs w:val="20"/>
                <w:color w:val="auto"/>
              </w:rPr>
            </w:pPr>
            <w:r>
              <w:rPr>
                <w:rFonts w:ascii="Verdana" w:cs="Verdana" w:eastAsia="Verdana" w:hAnsi="Verdana"/>
                <w:sz w:val="16"/>
                <w:szCs w:val="16"/>
                <w:color w:val="auto"/>
              </w:rPr>
              <w:t xml:space="preserve">65–79 </w:t>
            </w:r>
            <w:r>
              <w:rPr>
                <w:rFonts w:ascii="Verdana" w:cs="Verdana" w:eastAsia="Verdana" w:hAnsi="Verdana"/>
                <w:sz w:val="16"/>
                <w:szCs w:val="16"/>
                <w:color w:val="auto"/>
              </w:rPr>
              <w:t>лет</w:t>
            </w:r>
            <w:r>
              <w:rPr>
                <w:rFonts w:ascii="Verdana" w:cs="Verdana" w:eastAsia="Verdana" w:hAnsi="Verdana"/>
                <w:sz w:val="32"/>
                <w:szCs w:val="32"/>
                <w:color w:val="auto"/>
                <w:vertAlign w:val="superscript"/>
              </w:rPr>
              <w:t>b</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00" w:type="dxa"/>
            <w:vAlign w:val="bottom"/>
          </w:tcPr>
          <w:p>
            <w:pPr>
              <w:ind w:left="120"/>
              <w:spacing w:after="0"/>
              <w:rPr>
                <w:sz w:val="20"/>
                <w:szCs w:val="20"/>
                <w:color w:val="auto"/>
              </w:rPr>
            </w:pPr>
            <w:r>
              <w:rPr>
                <w:rFonts w:ascii="Verdana" w:cs="Verdana" w:eastAsia="Verdana" w:hAnsi="Verdana"/>
                <w:sz w:val="17"/>
                <w:szCs w:val="17"/>
                <w:color w:val="auto"/>
              </w:rPr>
              <w:t>при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60" w:type="dxa"/>
            <w:vAlign w:val="bottom"/>
          </w:tcPr>
          <w:p>
            <w:pPr>
              <w:ind w:left="120"/>
              <w:spacing w:after="0"/>
              <w:rPr>
                <w:sz w:val="20"/>
                <w:szCs w:val="20"/>
                <w:color w:val="auto"/>
              </w:rPr>
            </w:pPr>
            <w:r>
              <w:rPr>
                <w:rFonts w:ascii="Verdana" w:cs="Verdana" w:eastAsia="Verdana" w:hAnsi="Verdana"/>
                <w:sz w:val="17"/>
                <w:szCs w:val="17"/>
                <w:color w:val="auto"/>
              </w:rPr>
              <w:t>при</w:t>
            </w:r>
          </w:p>
        </w:tc>
        <w:tc>
          <w:tcPr>
            <w:tcW w:w="1000" w:type="dxa"/>
            <w:vAlign w:val="bottom"/>
          </w:tcPr>
          <w:p>
            <w:pPr>
              <w:ind w:left="100"/>
              <w:spacing w:after="0"/>
              <w:rPr>
                <w:sz w:val="20"/>
                <w:szCs w:val="20"/>
                <w:color w:val="auto"/>
              </w:rPr>
            </w:pPr>
            <w:r>
              <w:rPr>
                <w:rFonts w:ascii="Verdana" w:cs="Verdana" w:eastAsia="Verdana" w:hAnsi="Verdana"/>
                <w:sz w:val="17"/>
                <w:szCs w:val="17"/>
                <w:color w:val="auto"/>
              </w:rPr>
              <w:t>130–139</w:t>
            </w:r>
          </w:p>
        </w:tc>
        <w:tc>
          <w:tcPr>
            <w:tcW w:w="560" w:type="dxa"/>
            <w:vAlign w:val="bottom"/>
          </w:tcPr>
          <w:p>
            <w:pPr>
              <w:jc w:val="right"/>
              <w:ind w:right="77"/>
              <w:spacing w:after="0"/>
              <w:rPr>
                <w:sz w:val="20"/>
                <w:szCs w:val="20"/>
                <w:color w:val="auto"/>
              </w:rPr>
            </w:pPr>
            <w:r>
              <w:rPr>
                <w:rFonts w:ascii="Verdana" w:cs="Verdana" w:eastAsia="Verdana" w:hAnsi="Verdana"/>
                <w:sz w:val="17"/>
                <w:szCs w:val="17"/>
                <w:color w:val="auto"/>
              </w:rPr>
              <w:t>при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00" w:type="dxa"/>
            <w:vAlign w:val="bottom"/>
          </w:tcPr>
          <w:p>
            <w:pPr>
              <w:ind w:left="140"/>
              <w:spacing w:after="0"/>
              <w:rPr>
                <w:sz w:val="20"/>
                <w:szCs w:val="20"/>
                <w:color w:val="auto"/>
              </w:rPr>
            </w:pPr>
            <w:r>
              <w:rPr>
                <w:rFonts w:ascii="Verdana" w:cs="Verdana" w:eastAsia="Verdana" w:hAnsi="Verdana"/>
                <w:sz w:val="17"/>
                <w:szCs w:val="17"/>
                <w:color w:val="auto"/>
              </w:rPr>
              <w:t>при</w:t>
            </w:r>
          </w:p>
        </w:tc>
        <w:tc>
          <w:tcPr>
            <w:tcW w:w="500" w:type="dxa"/>
            <w:vAlign w:val="bottom"/>
          </w:tcPr>
          <w:p>
            <w:pPr>
              <w:ind w:left="160"/>
              <w:spacing w:after="0"/>
              <w:rPr>
                <w:sz w:val="20"/>
                <w:szCs w:val="20"/>
                <w:color w:val="auto"/>
              </w:rPr>
            </w:pPr>
            <w:r>
              <w:rPr>
                <w:rFonts w:ascii="Verdana" w:cs="Verdana" w:eastAsia="Verdana" w:hAnsi="Verdana"/>
                <w:sz w:val="17"/>
                <w:szCs w:val="17"/>
                <w:color w:val="auto"/>
                <w:w w:val="98"/>
              </w:rPr>
              <w:t>130</w:t>
            </w:r>
          </w:p>
        </w:tc>
      </w:tr>
      <w:tr>
        <w:trPr>
          <w:trHeight w:val="220"/>
        </w:trPr>
        <w:tc>
          <w:tcPr>
            <w:tcW w:w="1460" w:type="dxa"/>
            <w:vAlign w:val="bottom"/>
          </w:tcPr>
          <w:p>
            <w:pPr>
              <w:spacing w:after="0"/>
              <w:rPr>
                <w:sz w:val="19"/>
                <w:szCs w:val="19"/>
                <w:color w:val="auto"/>
              </w:rPr>
            </w:pPr>
          </w:p>
        </w:tc>
        <w:tc>
          <w:tcPr>
            <w:tcW w:w="162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168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1560" w:type="dxa"/>
            <w:vAlign w:val="bottom"/>
            <w:gridSpan w:val="2"/>
          </w:tcPr>
          <w:p>
            <w:pPr>
              <w:ind w:left="100"/>
              <w:spacing w:after="0"/>
              <w:rPr>
                <w:sz w:val="20"/>
                <w:szCs w:val="20"/>
                <w:color w:val="auto"/>
              </w:rPr>
            </w:pPr>
            <w:r>
              <w:rPr>
                <w:rFonts w:ascii="Verdana" w:cs="Verdana" w:eastAsia="Verdana" w:hAnsi="Verdana"/>
                <w:sz w:val="17"/>
                <w:szCs w:val="17"/>
                <w:color w:val="auto"/>
              </w:rPr>
              <w:t>переносимости</w:t>
            </w:r>
          </w:p>
        </w:tc>
        <w:tc>
          <w:tcPr>
            <w:tcW w:w="162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500" w:type="dxa"/>
            <w:vAlign w:val="bottom"/>
          </w:tcPr>
          <w:p>
            <w:pPr>
              <w:ind w:left="160"/>
              <w:spacing w:after="0"/>
              <w:rPr>
                <w:sz w:val="20"/>
                <w:szCs w:val="20"/>
                <w:color w:val="auto"/>
              </w:rPr>
            </w:pPr>
            <w:r>
              <w:rPr>
                <w:rFonts w:ascii="Verdana" w:cs="Verdana" w:eastAsia="Verdana" w:hAnsi="Verdana"/>
                <w:sz w:val="17"/>
                <w:szCs w:val="17"/>
                <w:color w:val="auto"/>
              </w:rPr>
              <w:t>пер</w:t>
            </w:r>
          </w:p>
        </w:tc>
      </w:tr>
      <w:tr>
        <w:trPr>
          <w:trHeight w:val="110"/>
        </w:trPr>
        <w:tc>
          <w:tcPr>
            <w:tcW w:w="14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1000" w:type="dxa"/>
            <w:vAlign w:val="bottom"/>
            <w:tcBorders>
              <w:bottom w:val="single" w:sz="8" w:color="auto"/>
            </w:tcBorders>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500" w:type="dxa"/>
            <w:vAlign w:val="bottom"/>
            <w:tcBorders>
              <w:bottom w:val="single" w:sz="8" w:color="auto"/>
            </w:tcBorders>
          </w:tcPr>
          <w:p>
            <w:pPr>
              <w:spacing w:after="0"/>
              <w:rPr>
                <w:sz w:val="9"/>
                <w:szCs w:val="9"/>
                <w:color w:val="auto"/>
              </w:rPr>
            </w:pPr>
          </w:p>
        </w:tc>
      </w:tr>
      <w:tr>
        <w:trPr>
          <w:trHeight w:val="295"/>
        </w:trPr>
        <w:tc>
          <w:tcPr>
            <w:tcW w:w="1460" w:type="dxa"/>
            <w:vAlign w:val="bottom"/>
          </w:tcPr>
          <w:p>
            <w:pPr>
              <w:ind w:left="160"/>
              <w:spacing w:after="0" w:line="295" w:lineRule="exact"/>
              <w:rPr>
                <w:sz w:val="20"/>
                <w:szCs w:val="20"/>
                <w:color w:val="auto"/>
              </w:rPr>
            </w:pPr>
            <w:r>
              <w:rPr>
                <w:rFonts w:ascii="Verdana" w:cs="Verdana" w:eastAsia="Verdana" w:hAnsi="Verdana"/>
                <w:sz w:val="16"/>
                <w:szCs w:val="16"/>
                <w:color w:val="auto"/>
              </w:rPr>
              <w:t xml:space="preserve">≥80 </w:t>
            </w:r>
            <w:r>
              <w:rPr>
                <w:rFonts w:ascii="Verdana" w:cs="Verdana" w:eastAsia="Verdana" w:hAnsi="Verdana"/>
                <w:sz w:val="16"/>
                <w:szCs w:val="16"/>
                <w:color w:val="auto"/>
              </w:rPr>
              <w:t>лет</w:t>
            </w:r>
            <w:r>
              <w:rPr>
                <w:rFonts w:ascii="Verdana" w:cs="Verdana" w:eastAsia="Verdana" w:hAnsi="Verdana"/>
                <w:sz w:val="32"/>
                <w:szCs w:val="32"/>
                <w:color w:val="auto"/>
                <w:vertAlign w:val="superscript"/>
              </w:rPr>
              <w:t>b</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00" w:type="dxa"/>
            <w:vAlign w:val="bottom"/>
          </w:tcPr>
          <w:p>
            <w:pPr>
              <w:ind w:left="120"/>
              <w:spacing w:after="0"/>
              <w:rPr>
                <w:sz w:val="20"/>
                <w:szCs w:val="20"/>
                <w:color w:val="auto"/>
              </w:rPr>
            </w:pPr>
            <w:r>
              <w:rPr>
                <w:rFonts w:ascii="Verdana" w:cs="Verdana" w:eastAsia="Verdana" w:hAnsi="Verdana"/>
                <w:sz w:val="17"/>
                <w:szCs w:val="17"/>
                <w:color w:val="auto"/>
              </w:rPr>
              <w:t>при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60" w:type="dxa"/>
            <w:vAlign w:val="bottom"/>
          </w:tcPr>
          <w:p>
            <w:pPr>
              <w:ind w:left="120"/>
              <w:spacing w:after="0"/>
              <w:rPr>
                <w:sz w:val="20"/>
                <w:szCs w:val="20"/>
                <w:color w:val="auto"/>
              </w:rPr>
            </w:pPr>
            <w:r>
              <w:rPr>
                <w:rFonts w:ascii="Verdana" w:cs="Verdana" w:eastAsia="Verdana" w:hAnsi="Verdana"/>
                <w:sz w:val="17"/>
                <w:szCs w:val="17"/>
                <w:color w:val="auto"/>
              </w:rPr>
              <w:t>при</w:t>
            </w:r>
          </w:p>
        </w:tc>
        <w:tc>
          <w:tcPr>
            <w:tcW w:w="1000" w:type="dxa"/>
            <w:vAlign w:val="bottom"/>
          </w:tcPr>
          <w:p>
            <w:pPr>
              <w:ind w:left="100"/>
              <w:spacing w:after="0"/>
              <w:rPr>
                <w:sz w:val="20"/>
                <w:szCs w:val="20"/>
                <w:color w:val="auto"/>
              </w:rPr>
            </w:pPr>
            <w:r>
              <w:rPr>
                <w:rFonts w:ascii="Verdana" w:cs="Verdana" w:eastAsia="Verdana" w:hAnsi="Verdana"/>
                <w:sz w:val="17"/>
                <w:szCs w:val="17"/>
                <w:color w:val="auto"/>
              </w:rPr>
              <w:t>130–139</w:t>
            </w:r>
          </w:p>
        </w:tc>
        <w:tc>
          <w:tcPr>
            <w:tcW w:w="560" w:type="dxa"/>
            <w:vAlign w:val="bottom"/>
          </w:tcPr>
          <w:p>
            <w:pPr>
              <w:jc w:val="right"/>
              <w:ind w:right="77"/>
              <w:spacing w:after="0"/>
              <w:rPr>
                <w:sz w:val="20"/>
                <w:szCs w:val="20"/>
                <w:color w:val="auto"/>
              </w:rPr>
            </w:pPr>
            <w:r>
              <w:rPr>
                <w:rFonts w:ascii="Verdana" w:cs="Verdana" w:eastAsia="Verdana" w:hAnsi="Verdana"/>
                <w:sz w:val="17"/>
                <w:szCs w:val="17"/>
                <w:color w:val="auto"/>
              </w:rPr>
              <w:t>при</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130–139</w:t>
            </w:r>
          </w:p>
        </w:tc>
        <w:tc>
          <w:tcPr>
            <w:tcW w:w="600" w:type="dxa"/>
            <w:vAlign w:val="bottom"/>
          </w:tcPr>
          <w:p>
            <w:pPr>
              <w:ind w:left="140"/>
              <w:spacing w:after="0"/>
              <w:rPr>
                <w:sz w:val="20"/>
                <w:szCs w:val="20"/>
                <w:color w:val="auto"/>
              </w:rPr>
            </w:pPr>
            <w:r>
              <w:rPr>
                <w:rFonts w:ascii="Verdana" w:cs="Verdana" w:eastAsia="Verdana" w:hAnsi="Verdana"/>
                <w:sz w:val="17"/>
                <w:szCs w:val="17"/>
                <w:color w:val="auto"/>
              </w:rPr>
              <w:t>при</w:t>
            </w:r>
          </w:p>
        </w:tc>
        <w:tc>
          <w:tcPr>
            <w:tcW w:w="500" w:type="dxa"/>
            <w:vAlign w:val="bottom"/>
          </w:tcPr>
          <w:p>
            <w:pPr>
              <w:ind w:left="160"/>
              <w:spacing w:after="0"/>
              <w:rPr>
                <w:sz w:val="20"/>
                <w:szCs w:val="20"/>
                <w:color w:val="auto"/>
              </w:rPr>
            </w:pPr>
            <w:r>
              <w:rPr>
                <w:rFonts w:ascii="Verdana" w:cs="Verdana" w:eastAsia="Verdana" w:hAnsi="Verdana"/>
                <w:sz w:val="17"/>
                <w:szCs w:val="17"/>
                <w:color w:val="auto"/>
                <w:w w:val="98"/>
              </w:rPr>
              <w:t>130</w:t>
            </w:r>
          </w:p>
        </w:tc>
      </w:tr>
      <w:tr>
        <w:trPr>
          <w:trHeight w:val="220"/>
        </w:trPr>
        <w:tc>
          <w:tcPr>
            <w:tcW w:w="1460" w:type="dxa"/>
            <w:vAlign w:val="bottom"/>
          </w:tcPr>
          <w:p>
            <w:pPr>
              <w:spacing w:after="0"/>
              <w:rPr>
                <w:sz w:val="19"/>
                <w:szCs w:val="19"/>
                <w:color w:val="auto"/>
              </w:rPr>
            </w:pPr>
          </w:p>
        </w:tc>
        <w:tc>
          <w:tcPr>
            <w:tcW w:w="162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168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1560" w:type="dxa"/>
            <w:vAlign w:val="bottom"/>
            <w:gridSpan w:val="2"/>
          </w:tcPr>
          <w:p>
            <w:pPr>
              <w:ind w:left="100"/>
              <w:spacing w:after="0"/>
              <w:rPr>
                <w:sz w:val="20"/>
                <w:szCs w:val="20"/>
                <w:color w:val="auto"/>
              </w:rPr>
            </w:pPr>
            <w:r>
              <w:rPr>
                <w:rFonts w:ascii="Verdana" w:cs="Verdana" w:eastAsia="Verdana" w:hAnsi="Verdana"/>
                <w:sz w:val="17"/>
                <w:szCs w:val="17"/>
                <w:color w:val="auto"/>
              </w:rPr>
              <w:t>переносимости</w:t>
            </w:r>
          </w:p>
        </w:tc>
        <w:tc>
          <w:tcPr>
            <w:tcW w:w="1620" w:type="dxa"/>
            <w:vAlign w:val="bottom"/>
            <w:gridSpan w:val="2"/>
          </w:tcPr>
          <w:p>
            <w:pPr>
              <w:ind w:left="160"/>
              <w:spacing w:after="0"/>
              <w:rPr>
                <w:sz w:val="20"/>
                <w:szCs w:val="20"/>
                <w:color w:val="auto"/>
              </w:rPr>
            </w:pPr>
            <w:r>
              <w:rPr>
                <w:rFonts w:ascii="Verdana" w:cs="Verdana" w:eastAsia="Verdana" w:hAnsi="Verdana"/>
                <w:sz w:val="17"/>
                <w:szCs w:val="17"/>
                <w:color w:val="auto"/>
              </w:rPr>
              <w:t>переносимости</w:t>
            </w:r>
          </w:p>
        </w:tc>
        <w:tc>
          <w:tcPr>
            <w:tcW w:w="500" w:type="dxa"/>
            <w:vAlign w:val="bottom"/>
          </w:tcPr>
          <w:p>
            <w:pPr>
              <w:ind w:left="160"/>
              <w:spacing w:after="0"/>
              <w:rPr>
                <w:sz w:val="20"/>
                <w:szCs w:val="20"/>
                <w:color w:val="auto"/>
              </w:rPr>
            </w:pPr>
            <w:r>
              <w:rPr>
                <w:rFonts w:ascii="Verdana" w:cs="Verdana" w:eastAsia="Verdana" w:hAnsi="Verdana"/>
                <w:sz w:val="17"/>
                <w:szCs w:val="17"/>
                <w:color w:val="auto"/>
              </w:rPr>
              <w:t>пер</w:t>
            </w:r>
          </w:p>
        </w:tc>
      </w:tr>
      <w:tr>
        <w:trPr>
          <w:trHeight w:val="110"/>
        </w:trPr>
        <w:tc>
          <w:tcPr>
            <w:tcW w:w="14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1000" w:type="dxa"/>
            <w:vAlign w:val="bottom"/>
            <w:tcBorders>
              <w:bottom w:val="single" w:sz="8" w:color="auto"/>
            </w:tcBorders>
          </w:tcPr>
          <w:p>
            <w:pPr>
              <w:spacing w:after="0"/>
              <w:rPr>
                <w:sz w:val="9"/>
                <w:szCs w:val="9"/>
                <w:color w:val="auto"/>
              </w:rPr>
            </w:pPr>
          </w:p>
        </w:tc>
        <w:tc>
          <w:tcPr>
            <w:tcW w:w="560" w:type="dxa"/>
            <w:vAlign w:val="bottom"/>
            <w:tcBorders>
              <w:bottom w:val="single" w:sz="8" w:color="auto"/>
            </w:tcBorders>
          </w:tcPr>
          <w:p>
            <w:pPr>
              <w:spacing w:after="0"/>
              <w:rPr>
                <w:sz w:val="9"/>
                <w:szCs w:val="9"/>
                <w:color w:val="auto"/>
              </w:rPr>
            </w:pPr>
          </w:p>
        </w:tc>
        <w:tc>
          <w:tcPr>
            <w:tcW w:w="1020" w:type="dxa"/>
            <w:vAlign w:val="bottom"/>
            <w:tcBorders>
              <w:bottom w:val="single" w:sz="8" w:color="auto"/>
            </w:tcBorders>
          </w:tcPr>
          <w:p>
            <w:pPr>
              <w:spacing w:after="0"/>
              <w:rPr>
                <w:sz w:val="9"/>
                <w:szCs w:val="9"/>
                <w:color w:val="auto"/>
              </w:rPr>
            </w:pPr>
          </w:p>
        </w:tc>
        <w:tc>
          <w:tcPr>
            <w:tcW w:w="600" w:type="dxa"/>
            <w:vAlign w:val="bottom"/>
            <w:tcBorders>
              <w:bottom w:val="single" w:sz="8" w:color="auto"/>
            </w:tcBorders>
          </w:tcPr>
          <w:p>
            <w:pPr>
              <w:spacing w:after="0"/>
              <w:rPr>
                <w:sz w:val="9"/>
                <w:szCs w:val="9"/>
                <w:color w:val="auto"/>
              </w:rPr>
            </w:pPr>
          </w:p>
        </w:tc>
        <w:tc>
          <w:tcPr>
            <w:tcW w:w="500" w:type="dxa"/>
            <w:vAlign w:val="bottom"/>
            <w:tcBorders>
              <w:bottom w:val="single" w:sz="8" w:color="auto"/>
            </w:tcBorders>
          </w:tcPr>
          <w:p>
            <w:pPr>
              <w:spacing w:after="0"/>
              <w:rPr>
                <w:sz w:val="9"/>
                <w:szCs w:val="9"/>
                <w:color w:val="auto"/>
              </w:rPr>
            </w:pPr>
          </w:p>
        </w:tc>
      </w:tr>
      <w:tr>
        <w:trPr>
          <w:trHeight w:val="295"/>
        </w:trPr>
        <w:tc>
          <w:tcPr>
            <w:tcW w:w="1460" w:type="dxa"/>
            <w:vAlign w:val="bottom"/>
          </w:tcPr>
          <w:p>
            <w:pPr>
              <w:ind w:left="160"/>
              <w:spacing w:after="0"/>
              <w:rPr>
                <w:sz w:val="20"/>
                <w:szCs w:val="20"/>
                <w:color w:val="auto"/>
              </w:rPr>
            </w:pPr>
            <w:r>
              <w:rPr>
                <w:rFonts w:ascii="Verdana" w:cs="Verdana" w:eastAsia="Verdana" w:hAnsi="Verdana"/>
                <w:sz w:val="17"/>
                <w:szCs w:val="17"/>
                <w:color w:val="auto"/>
              </w:rPr>
              <w:t>Целевое</w:t>
            </w:r>
          </w:p>
        </w:tc>
        <w:tc>
          <w:tcPr>
            <w:tcW w:w="1020" w:type="dxa"/>
            <w:vAlign w:val="bottom"/>
          </w:tcPr>
          <w:p>
            <w:pPr>
              <w:ind w:left="160"/>
              <w:spacing w:after="0"/>
              <w:rPr>
                <w:sz w:val="20"/>
                <w:szCs w:val="20"/>
                <w:color w:val="auto"/>
              </w:rPr>
            </w:pPr>
            <w:r>
              <w:rPr>
                <w:rFonts w:ascii="Verdana" w:cs="Verdana" w:eastAsia="Verdana" w:hAnsi="Verdana"/>
                <w:sz w:val="17"/>
                <w:szCs w:val="17"/>
                <w:color w:val="auto"/>
              </w:rPr>
              <w:t>70–79</w:t>
            </w:r>
          </w:p>
        </w:tc>
        <w:tc>
          <w:tcPr>
            <w:tcW w:w="600" w:type="dxa"/>
            <w:vAlign w:val="bottom"/>
          </w:tcPr>
          <w:p>
            <w:pPr>
              <w:spacing w:after="0"/>
              <w:rPr>
                <w:sz w:val="24"/>
                <w:szCs w:val="24"/>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70–79</w:t>
            </w:r>
          </w:p>
        </w:tc>
        <w:tc>
          <w:tcPr>
            <w:tcW w:w="660" w:type="dxa"/>
            <w:vAlign w:val="bottom"/>
          </w:tcPr>
          <w:p>
            <w:pPr>
              <w:spacing w:after="0"/>
              <w:rPr>
                <w:sz w:val="24"/>
                <w:szCs w:val="24"/>
                <w:color w:val="auto"/>
              </w:rPr>
            </w:pPr>
          </w:p>
        </w:tc>
        <w:tc>
          <w:tcPr>
            <w:tcW w:w="1000" w:type="dxa"/>
            <w:vAlign w:val="bottom"/>
          </w:tcPr>
          <w:p>
            <w:pPr>
              <w:ind w:left="100"/>
              <w:spacing w:after="0"/>
              <w:rPr>
                <w:sz w:val="20"/>
                <w:szCs w:val="20"/>
                <w:color w:val="auto"/>
              </w:rPr>
            </w:pPr>
            <w:r>
              <w:rPr>
                <w:rFonts w:ascii="Verdana" w:cs="Verdana" w:eastAsia="Verdana" w:hAnsi="Verdana"/>
                <w:sz w:val="17"/>
                <w:szCs w:val="17"/>
                <w:color w:val="auto"/>
              </w:rPr>
              <w:t>70–79</w:t>
            </w:r>
          </w:p>
        </w:tc>
        <w:tc>
          <w:tcPr>
            <w:tcW w:w="560" w:type="dxa"/>
            <w:vAlign w:val="bottom"/>
          </w:tcPr>
          <w:p>
            <w:pPr>
              <w:spacing w:after="0"/>
              <w:rPr>
                <w:sz w:val="24"/>
                <w:szCs w:val="24"/>
                <w:color w:val="auto"/>
              </w:rPr>
            </w:pPr>
          </w:p>
        </w:tc>
        <w:tc>
          <w:tcPr>
            <w:tcW w:w="1020" w:type="dxa"/>
            <w:vAlign w:val="bottom"/>
          </w:tcPr>
          <w:p>
            <w:pPr>
              <w:ind w:left="160"/>
              <w:spacing w:after="0"/>
              <w:rPr>
                <w:sz w:val="20"/>
                <w:szCs w:val="20"/>
                <w:color w:val="auto"/>
              </w:rPr>
            </w:pPr>
            <w:r>
              <w:rPr>
                <w:rFonts w:ascii="Verdana" w:cs="Verdana" w:eastAsia="Verdana" w:hAnsi="Verdana"/>
                <w:sz w:val="17"/>
                <w:szCs w:val="17"/>
                <w:color w:val="auto"/>
              </w:rPr>
              <w:t>70–79</w:t>
            </w:r>
          </w:p>
        </w:tc>
        <w:tc>
          <w:tcPr>
            <w:tcW w:w="600" w:type="dxa"/>
            <w:vAlign w:val="bottom"/>
          </w:tcPr>
          <w:p>
            <w:pPr>
              <w:spacing w:after="0"/>
              <w:rPr>
                <w:sz w:val="24"/>
                <w:szCs w:val="24"/>
                <w:color w:val="auto"/>
              </w:rPr>
            </w:pPr>
          </w:p>
        </w:tc>
        <w:tc>
          <w:tcPr>
            <w:tcW w:w="500" w:type="dxa"/>
            <w:vAlign w:val="bottom"/>
          </w:tcPr>
          <w:p>
            <w:pPr>
              <w:ind w:left="160"/>
              <w:spacing w:after="0"/>
              <w:rPr>
                <w:sz w:val="20"/>
                <w:szCs w:val="20"/>
                <w:color w:val="auto"/>
              </w:rPr>
            </w:pPr>
            <w:r>
              <w:rPr>
                <w:rFonts w:ascii="Verdana" w:cs="Verdana" w:eastAsia="Verdana" w:hAnsi="Verdana"/>
                <w:sz w:val="17"/>
                <w:szCs w:val="17"/>
                <w:color w:val="auto"/>
                <w:w w:val="98"/>
              </w:rPr>
              <w:t>70–</w:t>
            </w: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значение</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ДАД</w:t>
            </w:r>
            <w:r>
              <w:rPr>
                <w:rFonts w:ascii="Verdana" w:cs="Verdana" w:eastAsia="Verdana" w:hAnsi="Verdana"/>
                <w:sz w:val="17"/>
                <w:szCs w:val="17"/>
                <w:color w:val="auto"/>
              </w:rPr>
              <w:t>,</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измеренного</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в</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медицинском</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165"/>
        </w:trPr>
        <w:tc>
          <w:tcPr>
            <w:tcW w:w="1460" w:type="dxa"/>
            <w:vAlign w:val="bottom"/>
          </w:tcPr>
          <w:p>
            <w:pPr>
              <w:ind w:left="160"/>
              <w:spacing w:after="0" w:line="165" w:lineRule="exact"/>
              <w:rPr>
                <w:sz w:val="20"/>
                <w:szCs w:val="20"/>
                <w:color w:val="auto"/>
              </w:rPr>
            </w:pPr>
            <w:r>
              <w:rPr>
                <w:rFonts w:ascii="Verdana" w:cs="Verdana" w:eastAsia="Verdana" w:hAnsi="Verdana"/>
                <w:sz w:val="17"/>
                <w:szCs w:val="17"/>
                <w:color w:val="auto"/>
              </w:rPr>
              <w:t>учреждении</w:t>
            </w: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1000" w:type="dxa"/>
            <w:vAlign w:val="bottom"/>
          </w:tcPr>
          <w:p>
            <w:pPr>
              <w:spacing w:after="0"/>
              <w:rPr>
                <w:sz w:val="14"/>
                <w:szCs w:val="14"/>
                <w:color w:val="auto"/>
              </w:rPr>
            </w:pPr>
          </w:p>
        </w:tc>
        <w:tc>
          <w:tcPr>
            <w:tcW w:w="560" w:type="dxa"/>
            <w:vAlign w:val="bottom"/>
          </w:tcPr>
          <w:p>
            <w:pPr>
              <w:spacing w:after="0"/>
              <w:rPr>
                <w:sz w:val="14"/>
                <w:szCs w:val="14"/>
                <w:color w:val="auto"/>
              </w:rPr>
            </w:pPr>
          </w:p>
        </w:tc>
        <w:tc>
          <w:tcPr>
            <w:tcW w:w="10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500" w:type="dxa"/>
            <w:vAlign w:val="bottom"/>
          </w:tcPr>
          <w:p>
            <w:pPr>
              <w:spacing w:after="0"/>
              <w:rPr>
                <w:sz w:val="14"/>
                <w:szCs w:val="14"/>
                <w:color w:val="auto"/>
              </w:rPr>
            </w:pPr>
          </w:p>
        </w:tc>
      </w:tr>
      <w:tr>
        <w:trPr>
          <w:trHeight w:val="220"/>
        </w:trPr>
        <w:tc>
          <w:tcPr>
            <w:tcW w:w="1460" w:type="dxa"/>
            <w:vAlign w:val="bottom"/>
          </w:tcPr>
          <w:p>
            <w:pPr>
              <w:ind w:left="16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мм рт</w:t>
            </w:r>
            <w:r>
              <w:rPr>
                <w:rFonts w:ascii="Verdana" w:cs="Verdana" w:eastAsia="Verdana" w:hAnsi="Verdana"/>
                <w:sz w:val="17"/>
                <w:szCs w:val="17"/>
                <w:color w:val="auto"/>
              </w:rPr>
              <w:t xml:space="preserve">. </w:t>
            </w:r>
            <w:r>
              <w:rPr>
                <w:rFonts w:ascii="Verdana" w:cs="Verdana" w:eastAsia="Verdana" w:hAnsi="Verdana"/>
                <w:sz w:val="17"/>
                <w:szCs w:val="17"/>
                <w:color w:val="auto"/>
              </w:rPr>
              <w:t>ст</w:t>
            </w:r>
            <w:r>
              <w:rPr>
                <w:rFonts w:ascii="Verdana" w:cs="Verdana" w:eastAsia="Verdana" w:hAnsi="Verdana"/>
                <w:sz w:val="17"/>
                <w:szCs w:val="17"/>
                <w:color w:val="auto"/>
              </w:rPr>
              <w:t>.)</w:t>
            </w:r>
          </w:p>
        </w:tc>
        <w:tc>
          <w:tcPr>
            <w:tcW w:w="10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1000" w:type="dxa"/>
            <w:vAlign w:val="bottom"/>
          </w:tcPr>
          <w:p>
            <w:pPr>
              <w:spacing w:after="0"/>
              <w:rPr>
                <w:sz w:val="19"/>
                <w:szCs w:val="19"/>
                <w:color w:val="auto"/>
              </w:rPr>
            </w:pPr>
          </w:p>
        </w:tc>
        <w:tc>
          <w:tcPr>
            <w:tcW w:w="560" w:type="dxa"/>
            <w:vAlign w:val="bottom"/>
          </w:tcPr>
          <w:p>
            <w:pPr>
              <w:spacing w:after="0"/>
              <w:rPr>
                <w:sz w:val="19"/>
                <w:szCs w:val="19"/>
                <w:color w:val="auto"/>
              </w:rPr>
            </w:pPr>
          </w:p>
        </w:tc>
        <w:tc>
          <w:tcPr>
            <w:tcW w:w="10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500" w:type="dxa"/>
            <w:vAlign w:val="bottom"/>
          </w:tcPr>
          <w:p>
            <w:pPr>
              <w:spacing w:after="0"/>
              <w:rPr>
                <w:sz w:val="19"/>
                <w:szCs w:val="19"/>
                <w:color w:val="auto"/>
              </w:rPr>
            </w:pPr>
          </w:p>
        </w:tc>
      </w:tr>
    </w:tbl>
    <w:p>
      <w:pPr>
        <w:spacing w:after="0" w:line="10" w:lineRule="exact"/>
        <w:rPr>
          <w:sz w:val="20"/>
          <w:szCs w:val="20"/>
          <w:color w:val="auto"/>
        </w:rPr>
      </w:pPr>
    </w:p>
    <w:p>
      <w:pPr>
        <w:jc w:val="both"/>
        <w:ind w:left="360" w:right="220"/>
        <w:spacing w:after="0" w:line="226" w:lineRule="auto"/>
        <w:rPr>
          <w:sz w:val="20"/>
          <w:szCs w:val="20"/>
          <w:color w:val="auto"/>
        </w:rPr>
      </w:pPr>
      <w:r>
        <w:rPr>
          <w:rFonts w:ascii="Arial" w:cs="Arial" w:eastAsia="Arial" w:hAnsi="Arial"/>
          <w:sz w:val="54"/>
          <w:szCs w:val="54"/>
          <w:color w:val="auto"/>
          <w:vertAlign w:val="superscript"/>
        </w:rPr>
        <w:t>а</w:t>
      </w:r>
      <w:r>
        <w:rPr>
          <w:rFonts w:ascii="Arial" w:cs="Arial" w:eastAsia="Arial" w:hAnsi="Arial"/>
          <w:sz w:val="27"/>
          <w:szCs w:val="27"/>
          <w:color w:val="auto"/>
        </w:rPr>
        <w:t>Относится к пациентам с инсультом в анамнезе</w:t>
      </w:r>
      <w:r>
        <w:rPr>
          <w:rFonts w:ascii="Arial" w:cs="Arial" w:eastAsia="Arial" w:hAnsi="Arial"/>
          <w:sz w:val="27"/>
          <w:szCs w:val="27"/>
          <w:color w:val="auto"/>
        </w:rPr>
        <w:t>,</w:t>
      </w:r>
      <w:r>
        <w:rPr>
          <w:rFonts w:ascii="Arial" w:cs="Arial" w:eastAsia="Arial" w:hAnsi="Arial"/>
          <w:sz w:val="27"/>
          <w:szCs w:val="27"/>
          <w:color w:val="auto"/>
        </w:rPr>
        <w:t xml:space="preserve"> а не к показателям АД в остром периоде инсульта</w:t>
      </w:r>
      <w:r>
        <w:rPr>
          <w:rFonts w:ascii="Arial" w:cs="Arial" w:eastAsia="Arial" w:hAnsi="Arial"/>
          <w:sz w:val="27"/>
          <w:szCs w:val="27"/>
          <w:color w:val="auto"/>
        </w:rPr>
        <w:t>.</w:t>
      </w:r>
    </w:p>
    <w:p>
      <w:pPr>
        <w:spacing w:after="0" w:line="173" w:lineRule="exact"/>
        <w:rPr>
          <w:sz w:val="20"/>
          <w:szCs w:val="20"/>
          <w:color w:val="auto"/>
        </w:rPr>
      </w:pPr>
    </w:p>
    <w:p>
      <w:pPr>
        <w:jc w:val="both"/>
        <w:ind w:left="360" w:right="220"/>
        <w:spacing w:after="0" w:line="227" w:lineRule="auto"/>
        <w:rPr>
          <w:sz w:val="20"/>
          <w:szCs w:val="20"/>
          <w:color w:val="auto"/>
        </w:rPr>
      </w:pPr>
      <w:r>
        <w:rPr>
          <w:rFonts w:ascii="Arial" w:cs="Arial" w:eastAsia="Arial" w:hAnsi="Arial"/>
          <w:sz w:val="54"/>
          <w:szCs w:val="54"/>
          <w:color w:val="auto"/>
          <w:vertAlign w:val="superscript"/>
        </w:rPr>
        <w:t>b</w:t>
      </w:r>
      <w:r>
        <w:rPr>
          <w:rFonts w:ascii="Arial" w:cs="Arial" w:eastAsia="Arial" w:hAnsi="Arial"/>
          <w:sz w:val="27"/>
          <w:szCs w:val="27"/>
          <w:color w:val="auto"/>
        </w:rPr>
        <w:t>Целевые значения могут меняться у пожилых пациентов с синдромом старческой астении</w:t>
      </w:r>
      <w:r>
        <w:rPr>
          <w:rFonts w:ascii="Arial" w:cs="Arial" w:eastAsia="Arial" w:hAnsi="Arial"/>
          <w:sz w:val="27"/>
          <w:szCs w:val="27"/>
          <w:b w:val="1"/>
          <w:bCs w:val="1"/>
          <w:color w:val="auto"/>
        </w:rPr>
        <w:t>.</w:t>
      </w:r>
    </w:p>
    <w:p>
      <w:pPr>
        <w:spacing w:after="0" w:line="305"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4/</w:t>
      </w:r>
      <w:r>
        <w:rPr>
          <w:rFonts w:ascii="Arial" w:cs="Arial" w:eastAsia="Arial" w:hAnsi="Arial"/>
          <w:sz w:val="27"/>
          <w:szCs w:val="27"/>
          <w:b w:val="1"/>
          <w:bCs w:val="1"/>
          <w:color w:val="auto"/>
        </w:rPr>
        <w:t>Г</w:t>
      </w:r>
      <w:r>
        <w:rPr>
          <w:rFonts w:ascii="Arial" w:cs="Arial" w:eastAsia="Arial" w:hAnsi="Arial"/>
          <w:sz w:val="27"/>
          <w:szCs w:val="27"/>
          <w:b w:val="1"/>
          <w:bCs w:val="1"/>
          <w:color w:val="auto"/>
        </w:rPr>
        <w:t>4.</w:t>
      </w:r>
      <w:r>
        <w:rPr>
          <w:rFonts w:ascii="Arial" w:cs="Arial" w:eastAsia="Arial" w:hAnsi="Arial"/>
          <w:sz w:val="27"/>
          <w:szCs w:val="27"/>
          <w:b w:val="1"/>
          <w:bCs w:val="1"/>
          <w:color w:val="auto"/>
        </w:rPr>
        <w:t xml:space="preserve"> Противопоказания к назначению отдельных классов антигипертензивных препаратов</w:t>
      </w:r>
    </w:p>
    <w:p>
      <w:pPr>
        <w:spacing w:after="0" w:line="139"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186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Препараты</w:t>
            </w:r>
          </w:p>
        </w:tc>
        <w:tc>
          <w:tcPr>
            <w:tcW w:w="380" w:type="dxa"/>
            <w:vAlign w:val="bottom"/>
            <w:tcBorders>
              <w:top w:val="single" w:sz="8" w:color="auto"/>
              <w:right w:val="single" w:sz="8" w:color="auto"/>
            </w:tcBorders>
          </w:tcPr>
          <w:p>
            <w:pPr>
              <w:spacing w:after="0"/>
              <w:rPr>
                <w:sz w:val="24"/>
                <w:szCs w:val="24"/>
                <w:color w:val="auto"/>
              </w:rPr>
            </w:pPr>
          </w:p>
        </w:tc>
        <w:tc>
          <w:tcPr>
            <w:tcW w:w="344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b w:val="1"/>
                <w:bCs w:val="1"/>
                <w:color w:val="auto"/>
              </w:rPr>
              <w:t>Противопоказания</w:t>
            </w:r>
          </w:p>
        </w:tc>
        <w:tc>
          <w:tcPr>
            <w:tcW w:w="2780" w:type="dxa"/>
            <w:vAlign w:val="bottom"/>
            <w:tcBorders>
              <w:top w:val="single" w:sz="8" w:color="auto"/>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1860" w:type="dxa"/>
            <w:vAlign w:val="bottom"/>
            <w:tcBorders>
              <w:left w:val="single" w:sz="8" w:color="auto"/>
            </w:tcBorders>
          </w:tcPr>
          <w:p>
            <w:pPr>
              <w:spacing w:after="0"/>
              <w:rPr>
                <w:sz w:val="10"/>
                <w:szCs w:val="10"/>
                <w:color w:val="auto"/>
              </w:rPr>
            </w:pPr>
          </w:p>
        </w:tc>
        <w:tc>
          <w:tcPr>
            <w:tcW w:w="380" w:type="dxa"/>
            <w:vAlign w:val="bottom"/>
            <w:tcBorders>
              <w:right w:val="single" w:sz="8" w:color="auto"/>
            </w:tcBorders>
          </w:tcPr>
          <w:p>
            <w:pPr>
              <w:spacing w:after="0"/>
              <w:rPr>
                <w:sz w:val="10"/>
                <w:szCs w:val="10"/>
                <w:color w:val="auto"/>
              </w:rPr>
            </w:pPr>
          </w:p>
        </w:tc>
        <w:tc>
          <w:tcPr>
            <w:tcW w:w="3440" w:type="dxa"/>
            <w:vAlign w:val="bottom"/>
            <w:tcBorders>
              <w:bottom w:val="single" w:sz="8" w:color="auto"/>
            </w:tcBorders>
          </w:tcPr>
          <w:p>
            <w:pPr>
              <w:spacing w:after="0"/>
              <w:rPr>
                <w:sz w:val="10"/>
                <w:szCs w:val="10"/>
                <w:color w:val="auto"/>
              </w:rPr>
            </w:pPr>
          </w:p>
        </w:tc>
        <w:tc>
          <w:tcPr>
            <w:tcW w:w="2780" w:type="dxa"/>
            <w:vAlign w:val="bottom"/>
            <w:tcBorders>
              <w:bottom w:val="single" w:sz="8" w:color="auto"/>
              <w:right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343"/>
        </w:trPr>
        <w:tc>
          <w:tcPr>
            <w:tcW w:w="1860" w:type="dxa"/>
            <w:vAlign w:val="bottom"/>
            <w:tcBorders>
              <w:left w:val="single" w:sz="8" w:color="auto"/>
            </w:tcBorders>
          </w:tcPr>
          <w:p>
            <w:pPr>
              <w:spacing w:after="0"/>
              <w:rPr>
                <w:sz w:val="24"/>
                <w:szCs w:val="24"/>
                <w:color w:val="auto"/>
              </w:rPr>
            </w:pPr>
          </w:p>
        </w:tc>
        <w:tc>
          <w:tcPr>
            <w:tcW w:w="380" w:type="dxa"/>
            <w:vAlign w:val="bottom"/>
            <w:tcBorders>
              <w:right w:val="single" w:sz="8" w:color="auto"/>
            </w:tcBorders>
          </w:tcPr>
          <w:p>
            <w:pPr>
              <w:spacing w:after="0"/>
              <w:rPr>
                <w:sz w:val="24"/>
                <w:szCs w:val="24"/>
                <w:color w:val="auto"/>
              </w:rPr>
            </w:pPr>
          </w:p>
        </w:tc>
        <w:tc>
          <w:tcPr>
            <w:tcW w:w="34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Абсолютные</w:t>
            </w:r>
          </w:p>
        </w:tc>
        <w:tc>
          <w:tcPr>
            <w:tcW w:w="27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Относительные</w:t>
            </w:r>
          </w:p>
        </w:tc>
        <w:tc>
          <w:tcPr>
            <w:tcW w:w="0" w:type="dxa"/>
            <w:vAlign w:val="bottom"/>
          </w:tcPr>
          <w:p>
            <w:pPr>
              <w:spacing w:after="0"/>
              <w:rPr>
                <w:sz w:val="1"/>
                <w:szCs w:val="1"/>
                <w:color w:val="auto"/>
              </w:rPr>
            </w:pPr>
          </w:p>
        </w:tc>
      </w:tr>
      <w:tr>
        <w:trPr>
          <w:trHeight w:val="117"/>
        </w:trPr>
        <w:tc>
          <w:tcPr>
            <w:tcW w:w="1860" w:type="dxa"/>
            <w:vAlign w:val="bottom"/>
            <w:tcBorders>
              <w:left w:val="single" w:sz="8" w:color="auto"/>
              <w:bottom w:val="single" w:sz="8" w:color="auto"/>
            </w:tcBorders>
          </w:tcPr>
          <w:p>
            <w:pPr>
              <w:spacing w:after="0"/>
              <w:rPr>
                <w:sz w:val="10"/>
                <w:szCs w:val="10"/>
                <w:color w:val="auto"/>
              </w:rPr>
            </w:pPr>
          </w:p>
        </w:tc>
        <w:tc>
          <w:tcPr>
            <w:tcW w:w="380" w:type="dxa"/>
            <w:vAlign w:val="bottom"/>
            <w:tcBorders>
              <w:bottom w:val="single" w:sz="8" w:color="auto"/>
              <w:right w:val="single" w:sz="8" w:color="auto"/>
            </w:tcBorders>
          </w:tcPr>
          <w:p>
            <w:pPr>
              <w:spacing w:after="0"/>
              <w:rPr>
                <w:sz w:val="10"/>
                <w:szCs w:val="10"/>
                <w:color w:val="auto"/>
              </w:rPr>
            </w:pPr>
          </w:p>
        </w:tc>
        <w:tc>
          <w:tcPr>
            <w:tcW w:w="3440" w:type="dxa"/>
            <w:vAlign w:val="bottom"/>
            <w:tcBorders>
              <w:bottom w:val="single" w:sz="8" w:color="auto"/>
              <w:right w:val="single" w:sz="8" w:color="auto"/>
            </w:tcBorders>
          </w:tcPr>
          <w:p>
            <w:pPr>
              <w:spacing w:after="0"/>
              <w:rPr>
                <w:sz w:val="10"/>
                <w:szCs w:val="10"/>
                <w:color w:val="auto"/>
              </w:rPr>
            </w:pPr>
          </w:p>
        </w:tc>
        <w:tc>
          <w:tcPr>
            <w:tcW w:w="2780" w:type="dxa"/>
            <w:vAlign w:val="bottom"/>
            <w:tcBorders>
              <w:bottom w:val="single" w:sz="8" w:color="auto"/>
              <w:right w:val="single" w:sz="8" w:color="auto"/>
            </w:tcBorders>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186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Диуретики</w:t>
            </w:r>
          </w:p>
        </w:tc>
        <w:tc>
          <w:tcPr>
            <w:tcW w:w="380" w:type="dxa"/>
            <w:vAlign w:val="bottom"/>
            <w:tcBorders>
              <w:right w:val="single" w:sz="8" w:color="auto"/>
            </w:tcBorders>
          </w:tcPr>
          <w:p>
            <w:pPr>
              <w:spacing w:after="0"/>
              <w:rPr>
                <w:sz w:val="24"/>
                <w:szCs w:val="24"/>
                <w:color w:val="auto"/>
              </w:rPr>
            </w:pPr>
          </w:p>
        </w:tc>
        <w:tc>
          <w:tcPr>
            <w:tcW w:w="344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Подагра</w:t>
            </w:r>
          </w:p>
        </w:tc>
        <w:tc>
          <w:tcPr>
            <w:tcW w:w="27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Метаболический синдром</w:t>
            </w:r>
          </w:p>
        </w:tc>
        <w:tc>
          <w:tcPr>
            <w:tcW w:w="0" w:type="dxa"/>
            <w:vAlign w:val="bottom"/>
          </w:tcPr>
          <w:p>
            <w:pPr>
              <w:spacing w:after="0"/>
              <w:rPr>
                <w:sz w:val="1"/>
                <w:szCs w:val="1"/>
                <w:color w:val="auto"/>
              </w:rPr>
            </w:pPr>
          </w:p>
        </w:tc>
      </w:tr>
      <w:tr>
        <w:trPr>
          <w:trHeight w:val="165"/>
        </w:trPr>
        <w:tc>
          <w:tcPr>
            <w:tcW w:w="186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тиазидовые</w:t>
            </w:r>
            <w:r>
              <w:rPr>
                <w:rFonts w:ascii="Verdana" w:cs="Verdana" w:eastAsia="Verdana" w:hAnsi="Verdana"/>
                <w:sz w:val="17"/>
                <w:szCs w:val="17"/>
                <w:color w:val="auto"/>
              </w:rPr>
              <w:t>/</w:t>
            </w:r>
          </w:p>
        </w:tc>
        <w:tc>
          <w:tcPr>
            <w:tcW w:w="380" w:type="dxa"/>
            <w:vAlign w:val="bottom"/>
            <w:tcBorders>
              <w:right w:val="single" w:sz="8" w:color="auto"/>
            </w:tcBorders>
          </w:tcPr>
          <w:p>
            <w:pPr>
              <w:spacing w:after="0"/>
              <w:rPr>
                <w:sz w:val="14"/>
                <w:szCs w:val="14"/>
                <w:color w:val="auto"/>
              </w:rPr>
            </w:pPr>
          </w:p>
        </w:tc>
        <w:tc>
          <w:tcPr>
            <w:tcW w:w="344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Нарушение толерантности к</w:t>
            </w:r>
          </w:p>
        </w:tc>
        <w:tc>
          <w:tcPr>
            <w:tcW w:w="0" w:type="dxa"/>
            <w:vAlign w:val="bottom"/>
          </w:tcPr>
          <w:p>
            <w:pPr>
              <w:spacing w:after="0"/>
              <w:rPr>
                <w:sz w:val="1"/>
                <w:szCs w:val="1"/>
                <w:color w:val="auto"/>
              </w:rPr>
            </w:pPr>
          </w:p>
        </w:tc>
      </w:tr>
      <w:tr>
        <w:trPr>
          <w:trHeight w:val="165"/>
        </w:trPr>
        <w:tc>
          <w:tcPr>
            <w:tcW w:w="186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тиазидоподобные</w:t>
            </w:r>
            <w:r>
              <w:rPr>
                <w:rFonts w:ascii="Verdana" w:cs="Verdana" w:eastAsia="Verdana" w:hAnsi="Verdana"/>
                <w:sz w:val="17"/>
                <w:szCs w:val="17"/>
                <w:color w:val="auto"/>
              </w:rPr>
              <w:t>,</w:t>
            </w:r>
          </w:p>
        </w:tc>
        <w:tc>
          <w:tcPr>
            <w:tcW w:w="380" w:type="dxa"/>
            <w:vAlign w:val="bottom"/>
            <w:tcBorders>
              <w:right w:val="single" w:sz="8" w:color="auto"/>
            </w:tcBorders>
          </w:tcPr>
          <w:p>
            <w:pPr>
              <w:spacing w:after="0"/>
              <w:rPr>
                <w:sz w:val="14"/>
                <w:szCs w:val="14"/>
                <w:color w:val="auto"/>
              </w:rPr>
            </w:pPr>
          </w:p>
        </w:tc>
        <w:tc>
          <w:tcPr>
            <w:tcW w:w="344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глюкозе</w:t>
            </w:r>
          </w:p>
        </w:tc>
        <w:tc>
          <w:tcPr>
            <w:tcW w:w="0" w:type="dxa"/>
            <w:vAlign w:val="bottom"/>
          </w:tcPr>
          <w:p>
            <w:pPr>
              <w:spacing w:after="0"/>
              <w:rPr>
                <w:sz w:val="1"/>
                <w:szCs w:val="1"/>
                <w:color w:val="auto"/>
              </w:rPr>
            </w:pPr>
          </w:p>
        </w:tc>
      </w:tr>
      <w:tr>
        <w:trPr>
          <w:trHeight w:val="165"/>
        </w:trPr>
        <w:tc>
          <w:tcPr>
            <w:tcW w:w="186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например</w:t>
            </w:r>
            <w:r>
              <w:rPr>
                <w:rFonts w:ascii="Verdana" w:cs="Verdana" w:eastAsia="Verdana" w:hAnsi="Verdana"/>
                <w:sz w:val="17"/>
                <w:szCs w:val="17"/>
                <w:color w:val="auto"/>
              </w:rPr>
              <w:t>,</w:t>
            </w:r>
          </w:p>
        </w:tc>
        <w:tc>
          <w:tcPr>
            <w:tcW w:w="380" w:type="dxa"/>
            <w:vAlign w:val="bottom"/>
            <w:tcBorders>
              <w:right w:val="single" w:sz="8" w:color="auto"/>
            </w:tcBorders>
            <w:vMerge w:val="restart"/>
          </w:tcPr>
          <w:p>
            <w:pPr>
              <w:ind w:left="100"/>
              <w:spacing w:after="0"/>
              <w:rPr>
                <w:sz w:val="20"/>
                <w:szCs w:val="20"/>
                <w:color w:val="auto"/>
              </w:rPr>
            </w:pPr>
            <w:r>
              <w:rPr>
                <w:rFonts w:ascii="Verdana" w:cs="Verdana" w:eastAsia="Verdana" w:hAnsi="Verdana"/>
                <w:sz w:val="17"/>
                <w:szCs w:val="17"/>
                <w:color w:val="auto"/>
              </w:rPr>
              <w:t>и</w:t>
            </w:r>
          </w:p>
        </w:tc>
        <w:tc>
          <w:tcPr>
            <w:tcW w:w="344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Беременность</w:t>
            </w:r>
          </w:p>
        </w:tc>
        <w:tc>
          <w:tcPr>
            <w:tcW w:w="0" w:type="dxa"/>
            <w:vAlign w:val="bottom"/>
          </w:tcPr>
          <w:p>
            <w:pPr>
              <w:spacing w:after="0"/>
              <w:rPr>
                <w:sz w:val="1"/>
                <w:szCs w:val="1"/>
                <w:color w:val="auto"/>
              </w:rPr>
            </w:pPr>
          </w:p>
        </w:tc>
      </w:tr>
      <w:tr>
        <w:trPr>
          <w:trHeight w:val="165"/>
        </w:trPr>
        <w:tc>
          <w:tcPr>
            <w:tcW w:w="186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хлорталидон</w:t>
            </w:r>
          </w:p>
        </w:tc>
        <w:tc>
          <w:tcPr>
            <w:tcW w:w="380" w:type="dxa"/>
            <w:vAlign w:val="bottom"/>
            <w:tcBorders>
              <w:right w:val="single" w:sz="8" w:color="auto"/>
            </w:tcBorders>
            <w:vMerge w:val="continue"/>
          </w:tcPr>
          <w:p>
            <w:pPr>
              <w:spacing w:after="0"/>
              <w:rPr>
                <w:sz w:val="14"/>
                <w:szCs w:val="14"/>
                <w:color w:val="auto"/>
              </w:rPr>
            </w:pPr>
          </w:p>
        </w:tc>
        <w:tc>
          <w:tcPr>
            <w:tcW w:w="344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Гиперкальциемия</w:t>
            </w:r>
          </w:p>
        </w:tc>
        <w:tc>
          <w:tcPr>
            <w:tcW w:w="0" w:type="dxa"/>
            <w:vAlign w:val="bottom"/>
          </w:tcPr>
          <w:p>
            <w:pPr>
              <w:spacing w:after="0"/>
              <w:rPr>
                <w:sz w:val="1"/>
                <w:szCs w:val="1"/>
                <w:color w:val="auto"/>
              </w:rPr>
            </w:pPr>
          </w:p>
        </w:tc>
      </w:tr>
      <w:tr>
        <w:trPr>
          <w:trHeight w:val="220"/>
        </w:trPr>
        <w:tc>
          <w:tcPr>
            <w:tcW w:w="186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индапамид</w:t>
            </w:r>
            <w:r>
              <w:rPr>
                <w:rFonts w:ascii="Verdana" w:cs="Verdana" w:eastAsia="Verdana" w:hAnsi="Verdana"/>
                <w:sz w:val="17"/>
                <w:szCs w:val="17"/>
                <w:color w:val="auto"/>
              </w:rPr>
              <w:t>)</w:t>
            </w:r>
          </w:p>
        </w:tc>
        <w:tc>
          <w:tcPr>
            <w:tcW w:w="380" w:type="dxa"/>
            <w:vAlign w:val="bottom"/>
            <w:tcBorders>
              <w:right w:val="single" w:sz="8" w:color="auto"/>
            </w:tcBorders>
          </w:tcPr>
          <w:p>
            <w:pPr>
              <w:spacing w:after="0"/>
              <w:rPr>
                <w:sz w:val="19"/>
                <w:szCs w:val="19"/>
                <w:color w:val="auto"/>
              </w:rPr>
            </w:pPr>
          </w:p>
        </w:tc>
        <w:tc>
          <w:tcPr>
            <w:tcW w:w="3440" w:type="dxa"/>
            <w:vAlign w:val="bottom"/>
            <w:tcBorders>
              <w:right w:val="single" w:sz="8" w:color="auto"/>
            </w:tcBorders>
          </w:tcPr>
          <w:p>
            <w:pPr>
              <w:spacing w:after="0"/>
              <w:rPr>
                <w:sz w:val="19"/>
                <w:szCs w:val="19"/>
                <w:color w:val="auto"/>
              </w:rPr>
            </w:pPr>
          </w:p>
        </w:tc>
        <w:tc>
          <w:tcPr>
            <w:tcW w:w="27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Гипокалиемия</w:t>
            </w:r>
          </w:p>
        </w:tc>
        <w:tc>
          <w:tcPr>
            <w:tcW w:w="0" w:type="dxa"/>
            <w:vAlign w:val="bottom"/>
          </w:tcPr>
          <w:p>
            <w:pPr>
              <w:spacing w:after="0"/>
              <w:rPr>
                <w:sz w:val="1"/>
                <w:szCs w:val="1"/>
                <w:color w:val="auto"/>
              </w:rPr>
            </w:pPr>
          </w:p>
        </w:tc>
      </w:tr>
      <w:tr>
        <w:trPr>
          <w:trHeight w:val="110"/>
        </w:trPr>
        <w:tc>
          <w:tcPr>
            <w:tcW w:w="1860" w:type="dxa"/>
            <w:vAlign w:val="bottom"/>
            <w:tcBorders>
              <w:left w:val="single" w:sz="8" w:color="auto"/>
              <w:bottom w:val="single" w:sz="8" w:color="auto"/>
            </w:tcBorders>
          </w:tcPr>
          <w:p>
            <w:pPr>
              <w:spacing w:after="0"/>
              <w:rPr>
                <w:sz w:val="9"/>
                <w:szCs w:val="9"/>
                <w:color w:val="auto"/>
              </w:rPr>
            </w:pPr>
          </w:p>
        </w:tc>
        <w:tc>
          <w:tcPr>
            <w:tcW w:w="380" w:type="dxa"/>
            <w:vAlign w:val="bottom"/>
            <w:tcBorders>
              <w:bottom w:val="single" w:sz="8" w:color="auto"/>
              <w:right w:val="single" w:sz="8" w:color="auto"/>
            </w:tcBorders>
          </w:tcPr>
          <w:p>
            <w:pPr>
              <w:spacing w:after="0"/>
              <w:rPr>
                <w:sz w:val="9"/>
                <w:szCs w:val="9"/>
                <w:color w:val="auto"/>
              </w:rPr>
            </w:pPr>
          </w:p>
        </w:tc>
        <w:tc>
          <w:tcPr>
            <w:tcW w:w="3440" w:type="dxa"/>
            <w:vAlign w:val="bottom"/>
            <w:tcBorders>
              <w:bottom w:val="single" w:sz="8" w:color="auto"/>
              <w:right w:val="single" w:sz="8" w:color="auto"/>
            </w:tcBorders>
          </w:tcPr>
          <w:p>
            <w:pPr>
              <w:spacing w:after="0"/>
              <w:rPr>
                <w:sz w:val="9"/>
                <w:szCs w:val="9"/>
                <w:color w:val="auto"/>
              </w:rPr>
            </w:pPr>
          </w:p>
        </w:tc>
        <w:tc>
          <w:tcPr>
            <w:tcW w:w="27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 w:lineRule="exact"/>
        <w:rPr>
          <w:sz w:val="20"/>
          <w:szCs w:val="20"/>
          <w:color w:val="auto"/>
        </w:rPr>
      </w:pPr>
    </w:p>
    <w:p>
      <w:pPr>
        <w:sectPr>
          <w:pgSz w:w="11900" w:h="16840" w:orient="portrait"/>
          <w:cols w:equalWidth="0" w:num="1">
            <w:col w:w="9020"/>
          </w:cols>
          <w:pgMar w:left="1440" w:top="0" w:right="1440" w:bottom="279" w:gutter="0" w:footer="0" w:header="0"/>
        </w:sectPr>
      </w:pPr>
    </w:p>
    <w:bookmarkStart w:id="155" w:name="page156"/>
    <w:bookmarkEnd w:id="155"/>
    <w:tbl>
      <w:tblPr>
        <w:tblLayout w:type="fixed"/>
        <w:tblInd w:w="370" w:type="dxa"/>
        <w:tblCellMar>
          <w:top w:w="0" w:type="dxa"/>
          <w:left w:w="0" w:type="dxa"/>
          <w:bottom w:w="0" w:type="dxa"/>
          <w:right w:w="0" w:type="dxa"/>
        </w:tblCellMar>
      </w:tblPr>
      <w:tr>
        <w:trPr>
          <w:trHeight w:val="295"/>
        </w:trPr>
        <w:tc>
          <w:tcPr>
            <w:tcW w:w="224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Бета</w:t>
            </w:r>
            <w:r>
              <w:rPr>
                <w:rFonts w:ascii="Verdana" w:cs="Verdana" w:eastAsia="Verdana" w:hAnsi="Verdana"/>
                <w:sz w:val="17"/>
                <w:szCs w:val="17"/>
                <w:color w:val="auto"/>
              </w:rPr>
              <w:t>-</w:t>
            </w:r>
          </w:p>
        </w:tc>
        <w:tc>
          <w:tcPr>
            <w:tcW w:w="226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color w:val="auto"/>
              </w:rPr>
              <w:t>Бронхиальная астма</w:t>
            </w:r>
          </w:p>
        </w:tc>
        <w:tc>
          <w:tcPr>
            <w:tcW w:w="480" w:type="dxa"/>
            <w:vAlign w:val="bottom"/>
            <w:tcBorders>
              <w:top w:val="single" w:sz="8" w:color="auto"/>
            </w:tcBorders>
          </w:tcPr>
          <w:p>
            <w:pPr>
              <w:spacing w:after="0"/>
              <w:rPr>
                <w:sz w:val="24"/>
                <w:szCs w:val="24"/>
                <w:color w:val="auto"/>
              </w:rPr>
            </w:pPr>
          </w:p>
        </w:tc>
        <w:tc>
          <w:tcPr>
            <w:tcW w:w="700" w:type="dxa"/>
            <w:vAlign w:val="bottom"/>
            <w:tcBorders>
              <w:top w:val="single" w:sz="8" w:color="auto"/>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или</w:t>
            </w:r>
          </w:p>
        </w:tc>
        <w:tc>
          <w:tcPr>
            <w:tcW w:w="2780" w:type="dxa"/>
            <w:vAlign w:val="bottom"/>
            <w:tcBorders>
              <w:top w:val="single" w:sz="8" w:color="auto"/>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Метаболический синдром</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адреноблокаторы</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Синоатриальная</w:t>
            </w: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vMerge w:val="continue"/>
          </w:tcPr>
          <w:p>
            <w:pPr>
              <w:spacing w:after="0"/>
              <w:rPr>
                <w:sz w:val="14"/>
                <w:szCs w:val="14"/>
                <w:color w:val="auto"/>
              </w:rPr>
            </w:pPr>
          </w:p>
        </w:tc>
        <w:tc>
          <w:tcPr>
            <w:tcW w:w="27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Нарушение толерантности к</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344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 xml:space="preserve">атриовентрикулярная блокада </w:t>
            </w:r>
            <w:r>
              <w:rPr>
                <w:rFonts w:ascii="Verdana" w:cs="Verdana" w:eastAsia="Verdana" w:hAnsi="Verdana"/>
                <w:sz w:val="17"/>
                <w:szCs w:val="17"/>
                <w:color w:val="auto"/>
              </w:rPr>
              <w:t>2–3-</w:t>
            </w:r>
          </w:p>
        </w:tc>
        <w:tc>
          <w:tcPr>
            <w:tcW w:w="1060" w:type="dxa"/>
            <w:vAlign w:val="bottom"/>
          </w:tcPr>
          <w:p>
            <w:pPr>
              <w:ind w:left="140"/>
              <w:spacing w:after="0" w:line="165" w:lineRule="exact"/>
              <w:rPr>
                <w:sz w:val="20"/>
                <w:szCs w:val="20"/>
                <w:color w:val="auto"/>
              </w:rPr>
            </w:pPr>
            <w:r>
              <w:rPr>
                <w:rFonts w:ascii="Verdana" w:cs="Verdana" w:eastAsia="Verdana" w:hAnsi="Verdana"/>
                <w:sz w:val="17"/>
                <w:szCs w:val="17"/>
                <w:color w:val="auto"/>
              </w:rPr>
              <w:t>глюкозе</w:t>
            </w:r>
          </w:p>
        </w:tc>
        <w:tc>
          <w:tcPr>
            <w:tcW w:w="440" w:type="dxa"/>
            <w:vAlign w:val="bottom"/>
          </w:tcPr>
          <w:p>
            <w:pPr>
              <w:spacing w:after="0"/>
              <w:rPr>
                <w:sz w:val="14"/>
                <w:szCs w:val="14"/>
                <w:color w:val="auto"/>
              </w:rPr>
            </w:pPr>
          </w:p>
        </w:tc>
        <w:tc>
          <w:tcPr>
            <w:tcW w:w="1280" w:type="dxa"/>
            <w:vAlign w:val="bottom"/>
            <w:tcBorders>
              <w:right w:val="single" w:sz="8" w:color="auto"/>
            </w:tcBorders>
            <w:vMerge w:val="restart"/>
          </w:tcPr>
          <w:p>
            <w:pPr>
              <w:jc w:val="right"/>
              <w:ind w:right="117"/>
              <w:spacing w:after="0"/>
              <w:rPr>
                <w:sz w:val="20"/>
                <w:szCs w:val="20"/>
                <w:color w:val="auto"/>
              </w:rPr>
            </w:pPr>
            <w:r>
              <w:rPr>
                <w:rFonts w:ascii="Verdana" w:cs="Verdana" w:eastAsia="Verdana" w:hAnsi="Verdana"/>
                <w:sz w:val="17"/>
                <w:szCs w:val="17"/>
                <w:color w:val="auto"/>
              </w:rPr>
              <w:t>физически</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й степени</w:t>
            </w: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15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Спортсмены  и</w:t>
            </w:r>
          </w:p>
        </w:tc>
        <w:tc>
          <w:tcPr>
            <w:tcW w:w="1280" w:type="dxa"/>
            <w:vAlign w:val="bottom"/>
            <w:tcBorders>
              <w:right w:val="single" w:sz="8" w:color="auto"/>
            </w:tcBorders>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40" w:type="dxa"/>
            <w:vAlign w:val="bottom"/>
            <w:tcBorders>
              <w:left w:val="single" w:sz="8" w:color="auto"/>
              <w:right w:val="single" w:sz="8" w:color="auto"/>
            </w:tcBorders>
          </w:tcPr>
          <w:p>
            <w:pPr>
              <w:spacing w:after="0"/>
              <w:rPr>
                <w:sz w:val="19"/>
                <w:szCs w:val="19"/>
                <w:color w:val="auto"/>
              </w:rPr>
            </w:pPr>
          </w:p>
        </w:tc>
        <w:tc>
          <w:tcPr>
            <w:tcW w:w="3440" w:type="dxa"/>
            <w:vAlign w:val="bottom"/>
            <w:tcBorders>
              <w:right w:val="single" w:sz="8" w:color="auto"/>
            </w:tcBorders>
            <w:gridSpan w:val="4"/>
          </w:tcPr>
          <w:p>
            <w:pPr>
              <w:ind w:left="140"/>
              <w:spacing w:after="0"/>
              <w:rPr>
                <w:sz w:val="20"/>
                <w:szCs w:val="20"/>
                <w:color w:val="auto"/>
              </w:rPr>
            </w:pPr>
            <w:r>
              <w:rPr>
                <w:rFonts w:ascii="Verdana" w:cs="Verdana" w:eastAsia="Verdana" w:hAnsi="Verdana"/>
                <w:sz w:val="17"/>
                <w:szCs w:val="17"/>
                <w:color w:val="auto"/>
              </w:rPr>
              <w:t xml:space="preserve">Брадикардия </w:t>
            </w:r>
            <w:r>
              <w:rPr>
                <w:rFonts w:ascii="Verdana" w:cs="Verdana" w:eastAsia="Verdana" w:hAnsi="Verdana"/>
                <w:sz w:val="17"/>
                <w:szCs w:val="17"/>
                <w:color w:val="auto"/>
              </w:rPr>
              <w:t>(</w:t>
            </w:r>
            <w:r>
              <w:rPr>
                <w:rFonts w:ascii="Verdana" w:cs="Verdana" w:eastAsia="Verdana" w:hAnsi="Verdana"/>
                <w:sz w:val="17"/>
                <w:szCs w:val="17"/>
                <w:color w:val="auto"/>
              </w:rPr>
              <w:t xml:space="preserve">ЧСС </w:t>
            </w:r>
            <w:r>
              <w:rPr>
                <w:rFonts w:ascii="Verdana" w:cs="Verdana" w:eastAsia="Verdana" w:hAnsi="Verdana"/>
                <w:sz w:val="17"/>
                <w:szCs w:val="17"/>
                <w:color w:val="auto"/>
              </w:rPr>
              <w:t>&lt;60</w:t>
            </w:r>
            <w:r>
              <w:rPr>
                <w:rFonts w:ascii="Verdana" w:cs="Verdana" w:eastAsia="Verdana" w:hAnsi="Verdana"/>
                <w:sz w:val="17"/>
                <w:szCs w:val="17"/>
                <w:color w:val="auto"/>
              </w:rPr>
              <w:t xml:space="preserve"> в минуту</w:t>
            </w:r>
            <w:r>
              <w:rPr>
                <w:rFonts w:ascii="Verdana" w:cs="Verdana" w:eastAsia="Verdana" w:hAnsi="Verdana"/>
                <w:sz w:val="17"/>
                <w:szCs w:val="17"/>
                <w:color w:val="auto"/>
              </w:rPr>
              <w:t>)</w:t>
            </w:r>
          </w:p>
        </w:tc>
        <w:tc>
          <w:tcPr>
            <w:tcW w:w="1500" w:type="dxa"/>
            <w:vAlign w:val="bottom"/>
            <w:gridSpan w:val="2"/>
          </w:tcPr>
          <w:p>
            <w:pPr>
              <w:ind w:left="140"/>
              <w:spacing w:after="0"/>
              <w:rPr>
                <w:sz w:val="20"/>
                <w:szCs w:val="20"/>
                <w:color w:val="auto"/>
              </w:rPr>
            </w:pPr>
            <w:r>
              <w:rPr>
                <w:rFonts w:ascii="Verdana" w:cs="Verdana" w:eastAsia="Verdana" w:hAnsi="Verdana"/>
                <w:sz w:val="17"/>
                <w:szCs w:val="17"/>
                <w:color w:val="auto"/>
              </w:rPr>
              <w:t>активные лица</w:t>
            </w:r>
          </w:p>
        </w:tc>
        <w:tc>
          <w:tcPr>
            <w:tcW w:w="12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40" w:type="dxa"/>
            <w:vAlign w:val="bottom"/>
            <w:tcBorders>
              <w:left w:val="single" w:sz="8" w:color="auto"/>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700" w:type="dxa"/>
            <w:vAlign w:val="bottom"/>
            <w:tcBorders>
              <w:bottom w:val="single" w:sz="8" w:color="auto"/>
              <w:right w:val="single" w:sz="8" w:color="auto"/>
            </w:tcBorders>
          </w:tcPr>
          <w:p>
            <w:pPr>
              <w:spacing w:after="0"/>
              <w:rPr>
                <w:sz w:val="9"/>
                <w:szCs w:val="9"/>
                <w:color w:val="auto"/>
              </w:rPr>
            </w:pPr>
          </w:p>
        </w:tc>
        <w:tc>
          <w:tcPr>
            <w:tcW w:w="1500" w:type="dxa"/>
            <w:vAlign w:val="bottom"/>
            <w:tcBorders>
              <w:bottom w:val="single" w:sz="8" w:color="auto"/>
            </w:tcBorders>
            <w:gridSpan w:val="2"/>
          </w:tcPr>
          <w:p>
            <w:pPr>
              <w:spacing w:after="0"/>
              <w:rPr>
                <w:sz w:val="9"/>
                <w:szCs w:val="9"/>
                <w:color w:val="auto"/>
              </w:rPr>
            </w:pPr>
          </w:p>
        </w:tc>
        <w:tc>
          <w:tcPr>
            <w:tcW w:w="12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Антагонисты кальция</w:t>
            </w:r>
          </w:p>
        </w:tc>
        <w:tc>
          <w:tcPr>
            <w:tcW w:w="1620" w:type="dxa"/>
            <w:vAlign w:val="bottom"/>
          </w:tcPr>
          <w:p>
            <w:pPr>
              <w:spacing w:after="0"/>
              <w:rPr>
                <w:sz w:val="24"/>
                <w:szCs w:val="24"/>
                <w:color w:val="auto"/>
              </w:rPr>
            </w:pPr>
          </w:p>
        </w:tc>
        <w:tc>
          <w:tcPr>
            <w:tcW w:w="640" w:type="dxa"/>
            <w:vAlign w:val="bottom"/>
          </w:tcPr>
          <w:p>
            <w:pPr>
              <w:spacing w:after="0"/>
              <w:rPr>
                <w:sz w:val="24"/>
                <w:szCs w:val="24"/>
                <w:color w:val="auto"/>
              </w:rPr>
            </w:pPr>
          </w:p>
        </w:tc>
        <w:tc>
          <w:tcPr>
            <w:tcW w:w="480" w:type="dxa"/>
            <w:vAlign w:val="bottom"/>
          </w:tcPr>
          <w:p>
            <w:pPr>
              <w:spacing w:after="0"/>
              <w:rPr>
                <w:sz w:val="24"/>
                <w:szCs w:val="24"/>
                <w:color w:val="auto"/>
              </w:rPr>
            </w:pPr>
          </w:p>
        </w:tc>
        <w:tc>
          <w:tcPr>
            <w:tcW w:w="700" w:type="dxa"/>
            <w:vAlign w:val="bottom"/>
            <w:tcBorders>
              <w:right w:val="single" w:sz="8" w:color="auto"/>
            </w:tcBorders>
          </w:tcPr>
          <w:p>
            <w:pPr>
              <w:spacing w:after="0"/>
              <w:rPr>
                <w:sz w:val="24"/>
                <w:szCs w:val="24"/>
                <w:color w:val="auto"/>
              </w:rPr>
            </w:pPr>
          </w:p>
        </w:tc>
        <w:tc>
          <w:tcPr>
            <w:tcW w:w="1500" w:type="dxa"/>
            <w:vAlign w:val="bottom"/>
            <w:gridSpan w:val="2"/>
          </w:tcPr>
          <w:p>
            <w:pPr>
              <w:ind w:left="140"/>
              <w:spacing w:after="0"/>
              <w:rPr>
                <w:sz w:val="20"/>
                <w:szCs w:val="20"/>
                <w:color w:val="auto"/>
              </w:rPr>
            </w:pPr>
            <w:r>
              <w:rPr>
                <w:rFonts w:ascii="Verdana" w:cs="Verdana" w:eastAsia="Verdana" w:hAnsi="Verdana"/>
                <w:sz w:val="17"/>
                <w:szCs w:val="17"/>
                <w:color w:val="auto"/>
              </w:rPr>
              <w:t>Тахиаритмии</w:t>
            </w:r>
          </w:p>
        </w:tc>
        <w:tc>
          <w:tcPr>
            <w:tcW w:w="1280" w:type="dxa"/>
            <w:vAlign w:val="bottom"/>
            <w:tcBorders>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дигидропиридины</w:t>
            </w:r>
            <w:r>
              <w:rPr>
                <w:rFonts w:ascii="Verdana" w:cs="Verdana" w:eastAsia="Verdana" w:hAnsi="Verdana"/>
                <w:sz w:val="17"/>
                <w:szCs w:val="17"/>
                <w:color w:val="auto"/>
              </w:rPr>
              <w:t>)</w:t>
            </w:r>
          </w:p>
        </w:tc>
        <w:tc>
          <w:tcPr>
            <w:tcW w:w="1620" w:type="dxa"/>
            <w:vAlign w:val="bottom"/>
          </w:tcPr>
          <w:p>
            <w:pPr>
              <w:spacing w:after="0"/>
              <w:rPr>
                <w:sz w:val="14"/>
                <w:szCs w:val="14"/>
                <w:color w:val="auto"/>
              </w:rPr>
            </w:pP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Сердечная недостаточность</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spacing w:after="0"/>
              <w:rPr>
                <w:sz w:val="14"/>
                <w:szCs w:val="14"/>
                <w:color w:val="auto"/>
              </w:rPr>
            </w:pP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27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с низкой ФВ</w:t>
            </w:r>
            <w:r>
              <w:rPr>
                <w:rFonts w:ascii="Verdana" w:cs="Verdana" w:eastAsia="Verdana" w:hAnsi="Verdana"/>
                <w:sz w:val="17"/>
                <w:szCs w:val="17"/>
                <w:color w:val="auto"/>
              </w:rPr>
              <w:t xml:space="preserve">, </w:t>
            </w:r>
            <w:r>
              <w:rPr>
                <w:rFonts w:ascii="Verdana" w:cs="Verdana" w:eastAsia="Verdana" w:hAnsi="Verdana"/>
                <w:sz w:val="17"/>
                <w:szCs w:val="17"/>
                <w:color w:val="auto"/>
              </w:rPr>
              <w:t>ФК</w:t>
            </w:r>
            <w:r>
              <w:rPr>
                <w:rFonts w:ascii="Verdana" w:cs="Verdana" w:eastAsia="Verdana" w:hAnsi="Verdana"/>
                <w:sz w:val="17"/>
                <w:szCs w:val="17"/>
                <w:color w:val="auto"/>
              </w:rPr>
              <w:t xml:space="preserve"> III–IV)</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spacing w:after="0"/>
              <w:rPr>
                <w:sz w:val="14"/>
                <w:szCs w:val="14"/>
                <w:color w:val="auto"/>
              </w:rPr>
            </w:pP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15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Существующие</w:t>
            </w: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40" w:type="dxa"/>
            <w:vAlign w:val="bottom"/>
            <w:tcBorders>
              <w:left w:val="single" w:sz="8" w:color="auto"/>
              <w:right w:val="single" w:sz="8" w:color="auto"/>
            </w:tcBorders>
          </w:tcPr>
          <w:p>
            <w:pPr>
              <w:spacing w:after="0"/>
              <w:rPr>
                <w:sz w:val="19"/>
                <w:szCs w:val="19"/>
                <w:color w:val="auto"/>
              </w:rPr>
            </w:pPr>
          </w:p>
        </w:tc>
        <w:tc>
          <w:tcPr>
            <w:tcW w:w="1620" w:type="dxa"/>
            <w:vAlign w:val="bottom"/>
          </w:tcPr>
          <w:p>
            <w:pPr>
              <w:spacing w:after="0"/>
              <w:rPr>
                <w:sz w:val="19"/>
                <w:szCs w:val="19"/>
                <w:color w:val="auto"/>
              </w:rPr>
            </w:pPr>
          </w:p>
        </w:tc>
        <w:tc>
          <w:tcPr>
            <w:tcW w:w="640" w:type="dxa"/>
            <w:vAlign w:val="bottom"/>
          </w:tcPr>
          <w:p>
            <w:pPr>
              <w:spacing w:after="0"/>
              <w:rPr>
                <w:sz w:val="19"/>
                <w:szCs w:val="19"/>
                <w:color w:val="auto"/>
              </w:rPr>
            </w:pPr>
          </w:p>
        </w:tc>
        <w:tc>
          <w:tcPr>
            <w:tcW w:w="480" w:type="dxa"/>
            <w:vAlign w:val="bottom"/>
          </w:tcPr>
          <w:p>
            <w:pPr>
              <w:spacing w:after="0"/>
              <w:rPr>
                <w:sz w:val="19"/>
                <w:szCs w:val="19"/>
                <w:color w:val="auto"/>
              </w:rPr>
            </w:pPr>
          </w:p>
        </w:tc>
        <w:tc>
          <w:tcPr>
            <w:tcW w:w="700" w:type="dxa"/>
            <w:vAlign w:val="bottom"/>
            <w:tcBorders>
              <w:right w:val="single" w:sz="8" w:color="auto"/>
            </w:tcBorders>
          </w:tcPr>
          <w:p>
            <w:pPr>
              <w:spacing w:after="0"/>
              <w:rPr>
                <w:sz w:val="19"/>
                <w:szCs w:val="19"/>
                <w:color w:val="auto"/>
              </w:rPr>
            </w:pPr>
          </w:p>
        </w:tc>
        <w:tc>
          <w:tcPr>
            <w:tcW w:w="27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выраженные отеки н</w:t>
            </w:r>
            <w:r>
              <w:rPr>
                <w:rFonts w:ascii="Verdana" w:cs="Verdana" w:eastAsia="Verdana" w:hAnsi="Verdana"/>
                <w:sz w:val="17"/>
                <w:szCs w:val="17"/>
                <w:color w:val="auto"/>
              </w:rPr>
              <w:t>/</w:t>
            </w:r>
            <w:r>
              <w:rPr>
                <w:rFonts w:ascii="Verdana" w:cs="Verdana" w:eastAsia="Verdana" w:hAnsi="Verdana"/>
                <w:sz w:val="17"/>
                <w:szCs w:val="17"/>
                <w:color w:val="auto"/>
              </w:rPr>
              <w:t>к</w:t>
            </w:r>
          </w:p>
        </w:tc>
        <w:tc>
          <w:tcPr>
            <w:tcW w:w="0" w:type="dxa"/>
            <w:vAlign w:val="bottom"/>
          </w:tcPr>
          <w:p>
            <w:pPr>
              <w:spacing w:after="0"/>
              <w:rPr>
                <w:sz w:val="1"/>
                <w:szCs w:val="1"/>
                <w:color w:val="auto"/>
              </w:rPr>
            </w:pPr>
          </w:p>
        </w:tc>
      </w:tr>
      <w:tr>
        <w:trPr>
          <w:trHeight w:val="110"/>
        </w:trPr>
        <w:tc>
          <w:tcPr>
            <w:tcW w:w="2240" w:type="dxa"/>
            <w:vAlign w:val="bottom"/>
            <w:tcBorders>
              <w:left w:val="single" w:sz="8" w:color="auto"/>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7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Антагонисты кальция</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Синоатриальная</w:t>
            </w:r>
          </w:p>
        </w:tc>
        <w:tc>
          <w:tcPr>
            <w:tcW w:w="640" w:type="dxa"/>
            <w:vAlign w:val="bottom"/>
          </w:tcPr>
          <w:p>
            <w:pPr>
              <w:spacing w:after="0"/>
              <w:rPr>
                <w:sz w:val="24"/>
                <w:szCs w:val="24"/>
                <w:color w:val="auto"/>
              </w:rPr>
            </w:pPr>
          </w:p>
        </w:tc>
        <w:tc>
          <w:tcPr>
            <w:tcW w:w="480" w:type="dxa"/>
            <w:vAlign w:val="bottom"/>
          </w:tcPr>
          <w:p>
            <w:pPr>
              <w:spacing w:after="0"/>
              <w:rPr>
                <w:sz w:val="24"/>
                <w:szCs w:val="24"/>
                <w:color w:val="auto"/>
              </w:rPr>
            </w:pPr>
          </w:p>
        </w:tc>
        <w:tc>
          <w:tcPr>
            <w:tcW w:w="7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или</w:t>
            </w:r>
          </w:p>
        </w:tc>
        <w:tc>
          <w:tcPr>
            <w:tcW w:w="1060" w:type="dxa"/>
            <w:vAlign w:val="bottom"/>
          </w:tcPr>
          <w:p>
            <w:pPr>
              <w:ind w:left="140"/>
              <w:spacing w:after="0"/>
              <w:rPr>
                <w:sz w:val="20"/>
                <w:szCs w:val="20"/>
                <w:color w:val="auto"/>
              </w:rPr>
            </w:pPr>
            <w:r>
              <w:rPr>
                <w:rFonts w:ascii="Verdana" w:cs="Verdana" w:eastAsia="Verdana" w:hAnsi="Verdana"/>
                <w:sz w:val="17"/>
                <w:szCs w:val="17"/>
                <w:color w:val="auto"/>
              </w:rPr>
              <w:t>Запоры</w:t>
            </w:r>
          </w:p>
        </w:tc>
        <w:tc>
          <w:tcPr>
            <w:tcW w:w="440" w:type="dxa"/>
            <w:vAlign w:val="bottom"/>
          </w:tcPr>
          <w:p>
            <w:pPr>
              <w:spacing w:after="0"/>
              <w:rPr>
                <w:sz w:val="24"/>
                <w:szCs w:val="24"/>
                <w:color w:val="auto"/>
              </w:rPr>
            </w:pPr>
          </w:p>
        </w:tc>
        <w:tc>
          <w:tcPr>
            <w:tcW w:w="1280" w:type="dxa"/>
            <w:vAlign w:val="bottom"/>
            <w:tcBorders>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верапамил</w:t>
            </w:r>
            <w:r>
              <w:rPr>
                <w:rFonts w:ascii="Verdana" w:cs="Verdana" w:eastAsia="Verdana" w:hAnsi="Verdana"/>
                <w:sz w:val="17"/>
                <w:szCs w:val="17"/>
                <w:color w:val="auto"/>
              </w:rPr>
              <w:t>,</w:t>
            </w:r>
          </w:p>
        </w:tc>
        <w:tc>
          <w:tcPr>
            <w:tcW w:w="22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атриовентрикулярная</w:t>
            </w:r>
          </w:p>
        </w:tc>
        <w:tc>
          <w:tcPr>
            <w:tcW w:w="11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блокада</w:t>
            </w: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дилтиазем</w:t>
            </w:r>
            <w:r>
              <w:rPr>
                <w:rFonts w:ascii="Verdana" w:cs="Verdana" w:eastAsia="Verdana" w:hAnsi="Verdana"/>
                <w:sz w:val="17"/>
                <w:szCs w:val="17"/>
                <w:color w:val="auto"/>
              </w:rPr>
              <w:t>)</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w w:val="96"/>
              </w:rPr>
              <w:t>высокой степени</w:t>
            </w: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344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 xml:space="preserve">Выраженная дисфункция ЛЖ </w:t>
            </w:r>
            <w:r>
              <w:rPr>
                <w:rFonts w:ascii="Verdana" w:cs="Verdana" w:eastAsia="Verdana" w:hAnsi="Verdana"/>
                <w:sz w:val="17"/>
                <w:szCs w:val="17"/>
                <w:color w:val="auto"/>
              </w:rPr>
              <w:t>(</w:t>
            </w:r>
            <w:r>
              <w:rPr>
                <w:rFonts w:ascii="Verdana" w:cs="Verdana" w:eastAsia="Verdana" w:hAnsi="Verdana"/>
                <w:sz w:val="17"/>
                <w:szCs w:val="17"/>
                <w:color w:val="auto"/>
              </w:rPr>
              <w:t>ФВ</w:t>
            </w: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 xml:space="preserve">ЛЖ </w:t>
            </w:r>
            <w:r>
              <w:rPr>
                <w:rFonts w:ascii="Verdana" w:cs="Verdana" w:eastAsia="Verdana" w:hAnsi="Verdana"/>
                <w:sz w:val="17"/>
                <w:szCs w:val="17"/>
                <w:color w:val="auto"/>
              </w:rPr>
              <w:t>&lt;40%)</w:t>
            </w:r>
          </w:p>
        </w:tc>
        <w:tc>
          <w:tcPr>
            <w:tcW w:w="640" w:type="dxa"/>
            <w:vAlign w:val="bottom"/>
          </w:tcPr>
          <w:p>
            <w:pPr>
              <w:spacing w:after="0"/>
              <w:rPr>
                <w:sz w:val="14"/>
                <w:szCs w:val="14"/>
                <w:color w:val="auto"/>
              </w:rPr>
            </w:pPr>
          </w:p>
        </w:tc>
        <w:tc>
          <w:tcPr>
            <w:tcW w:w="480" w:type="dxa"/>
            <w:vAlign w:val="bottom"/>
          </w:tcPr>
          <w:p>
            <w:pPr>
              <w:spacing w:after="0"/>
              <w:rPr>
                <w:sz w:val="14"/>
                <w:szCs w:val="14"/>
                <w:color w:val="auto"/>
              </w:rPr>
            </w:pPr>
          </w:p>
        </w:tc>
        <w:tc>
          <w:tcPr>
            <w:tcW w:w="700" w:type="dxa"/>
            <w:vAlign w:val="bottom"/>
            <w:tcBorders>
              <w:right w:val="single" w:sz="8" w:color="auto"/>
            </w:tcBorders>
          </w:tcPr>
          <w:p>
            <w:pPr>
              <w:spacing w:after="0"/>
              <w:rPr>
                <w:sz w:val="14"/>
                <w:szCs w:val="14"/>
                <w:color w:val="auto"/>
              </w:rPr>
            </w:pP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40" w:type="dxa"/>
            <w:vAlign w:val="bottom"/>
            <w:tcBorders>
              <w:left w:val="single" w:sz="8" w:color="auto"/>
              <w:right w:val="single" w:sz="8" w:color="auto"/>
            </w:tcBorders>
          </w:tcPr>
          <w:p>
            <w:pPr>
              <w:spacing w:after="0"/>
              <w:rPr>
                <w:sz w:val="19"/>
                <w:szCs w:val="19"/>
                <w:color w:val="auto"/>
              </w:rPr>
            </w:pPr>
          </w:p>
        </w:tc>
        <w:tc>
          <w:tcPr>
            <w:tcW w:w="3440" w:type="dxa"/>
            <w:vAlign w:val="bottom"/>
            <w:tcBorders>
              <w:right w:val="single" w:sz="8" w:color="auto"/>
            </w:tcBorders>
            <w:gridSpan w:val="4"/>
          </w:tcPr>
          <w:p>
            <w:pPr>
              <w:ind w:left="140"/>
              <w:spacing w:after="0"/>
              <w:rPr>
                <w:sz w:val="20"/>
                <w:szCs w:val="20"/>
                <w:color w:val="auto"/>
              </w:rPr>
            </w:pPr>
            <w:r>
              <w:rPr>
                <w:rFonts w:ascii="Verdana" w:cs="Verdana" w:eastAsia="Verdana" w:hAnsi="Verdana"/>
                <w:sz w:val="17"/>
                <w:szCs w:val="17"/>
                <w:color w:val="auto"/>
              </w:rPr>
              <w:t xml:space="preserve">Брадикардия </w:t>
            </w:r>
            <w:r>
              <w:rPr>
                <w:rFonts w:ascii="Verdana" w:cs="Verdana" w:eastAsia="Verdana" w:hAnsi="Verdana"/>
                <w:sz w:val="17"/>
                <w:szCs w:val="17"/>
                <w:color w:val="auto"/>
              </w:rPr>
              <w:t>(</w:t>
            </w:r>
            <w:r>
              <w:rPr>
                <w:rFonts w:ascii="Verdana" w:cs="Verdana" w:eastAsia="Verdana" w:hAnsi="Verdana"/>
                <w:sz w:val="17"/>
                <w:szCs w:val="17"/>
                <w:color w:val="auto"/>
              </w:rPr>
              <w:t xml:space="preserve">ЧСС </w:t>
            </w:r>
            <w:r>
              <w:rPr>
                <w:rFonts w:ascii="Verdana" w:cs="Verdana" w:eastAsia="Verdana" w:hAnsi="Verdana"/>
                <w:sz w:val="17"/>
                <w:szCs w:val="17"/>
                <w:color w:val="auto"/>
              </w:rPr>
              <w:t>&lt;60</w:t>
            </w:r>
            <w:r>
              <w:rPr>
                <w:rFonts w:ascii="Verdana" w:cs="Verdana" w:eastAsia="Verdana" w:hAnsi="Verdana"/>
                <w:sz w:val="17"/>
                <w:szCs w:val="17"/>
                <w:color w:val="auto"/>
              </w:rPr>
              <w:t xml:space="preserve"> в минуту</w:t>
            </w:r>
            <w:r>
              <w:rPr>
                <w:rFonts w:ascii="Verdana" w:cs="Verdana" w:eastAsia="Verdana" w:hAnsi="Verdana"/>
                <w:sz w:val="17"/>
                <w:szCs w:val="17"/>
                <w:color w:val="auto"/>
              </w:rPr>
              <w:t>)</w:t>
            </w:r>
          </w:p>
        </w:tc>
        <w:tc>
          <w:tcPr>
            <w:tcW w:w="10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12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40" w:type="dxa"/>
            <w:vAlign w:val="bottom"/>
            <w:tcBorders>
              <w:left w:val="single" w:sz="8" w:color="auto"/>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7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Ингибиторы АПФ</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Беременность</w:t>
            </w:r>
          </w:p>
        </w:tc>
        <w:tc>
          <w:tcPr>
            <w:tcW w:w="640" w:type="dxa"/>
            <w:vAlign w:val="bottom"/>
          </w:tcPr>
          <w:p>
            <w:pPr>
              <w:spacing w:after="0"/>
              <w:rPr>
                <w:sz w:val="24"/>
                <w:szCs w:val="24"/>
                <w:color w:val="auto"/>
              </w:rPr>
            </w:pPr>
          </w:p>
        </w:tc>
        <w:tc>
          <w:tcPr>
            <w:tcW w:w="480" w:type="dxa"/>
            <w:vAlign w:val="bottom"/>
            <w:vMerge w:val="restart"/>
          </w:tcPr>
          <w:p>
            <w:pPr>
              <w:ind w:left="100"/>
              <w:spacing w:after="0"/>
              <w:rPr>
                <w:sz w:val="20"/>
                <w:szCs w:val="20"/>
                <w:color w:val="auto"/>
              </w:rPr>
            </w:pPr>
            <w:r>
              <w:rPr>
                <w:rFonts w:ascii="Verdana" w:cs="Verdana" w:eastAsia="Verdana" w:hAnsi="Verdana"/>
                <w:sz w:val="17"/>
                <w:szCs w:val="17"/>
                <w:color w:val="auto"/>
                <w:w w:val="92"/>
              </w:rPr>
              <w:t>отек</w:t>
            </w:r>
          </w:p>
        </w:tc>
        <w:tc>
          <w:tcPr>
            <w:tcW w:w="7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в</w:t>
            </w:r>
          </w:p>
        </w:tc>
        <w:tc>
          <w:tcPr>
            <w:tcW w:w="1060" w:type="dxa"/>
            <w:vAlign w:val="bottom"/>
          </w:tcPr>
          <w:p>
            <w:pPr>
              <w:ind w:left="140"/>
              <w:spacing w:after="0"/>
              <w:rPr>
                <w:sz w:val="20"/>
                <w:szCs w:val="20"/>
                <w:color w:val="auto"/>
              </w:rPr>
            </w:pPr>
            <w:r>
              <w:rPr>
                <w:rFonts w:ascii="Verdana" w:cs="Verdana" w:eastAsia="Verdana" w:hAnsi="Verdana"/>
                <w:sz w:val="17"/>
                <w:szCs w:val="17"/>
                <w:color w:val="auto"/>
              </w:rPr>
              <w:t>Женщины</w:t>
            </w:r>
          </w:p>
        </w:tc>
        <w:tc>
          <w:tcPr>
            <w:tcW w:w="440" w:type="dxa"/>
            <w:vAlign w:val="bottom"/>
            <w:vMerge w:val="restart"/>
          </w:tcPr>
          <w:p>
            <w:pPr>
              <w:ind w:left="80"/>
              <w:spacing w:after="0"/>
              <w:rPr>
                <w:sz w:val="20"/>
                <w:szCs w:val="20"/>
                <w:color w:val="auto"/>
              </w:rPr>
            </w:pPr>
            <w:r>
              <w:rPr>
                <w:rFonts w:ascii="Verdana" w:cs="Verdana" w:eastAsia="Verdana" w:hAnsi="Verdana"/>
                <w:sz w:val="17"/>
                <w:szCs w:val="17"/>
                <w:color w:val="auto"/>
              </w:rPr>
              <w:t>не</w:t>
            </w:r>
          </w:p>
        </w:tc>
        <w:tc>
          <w:tcPr>
            <w:tcW w:w="128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w w:val="97"/>
              </w:rPr>
              <w:t>детородного</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22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Ангионевротический</w:t>
            </w:r>
          </w:p>
        </w:tc>
        <w:tc>
          <w:tcPr>
            <w:tcW w:w="480" w:type="dxa"/>
            <w:vAlign w:val="bottom"/>
            <w:vMerge w:val="continue"/>
          </w:tcPr>
          <w:p>
            <w:pPr>
              <w:spacing w:after="0"/>
              <w:rPr>
                <w:sz w:val="14"/>
                <w:szCs w:val="14"/>
                <w:color w:val="auto"/>
              </w:rPr>
            </w:pPr>
          </w:p>
        </w:tc>
        <w:tc>
          <w:tcPr>
            <w:tcW w:w="700" w:type="dxa"/>
            <w:vAlign w:val="bottom"/>
            <w:tcBorders>
              <w:right w:val="single" w:sz="8" w:color="auto"/>
            </w:tcBorders>
            <w:vMerge w:val="continue"/>
          </w:tcPr>
          <w:p>
            <w:pPr>
              <w:spacing w:after="0"/>
              <w:rPr>
                <w:sz w:val="14"/>
                <w:szCs w:val="14"/>
                <w:color w:val="auto"/>
              </w:rPr>
            </w:pPr>
          </w:p>
        </w:tc>
        <w:tc>
          <w:tcPr>
            <w:tcW w:w="1060" w:type="dxa"/>
            <w:vAlign w:val="bottom"/>
          </w:tcPr>
          <w:p>
            <w:pPr>
              <w:ind w:left="140"/>
              <w:spacing w:after="0" w:line="165" w:lineRule="exact"/>
              <w:rPr>
                <w:sz w:val="20"/>
                <w:szCs w:val="20"/>
                <w:color w:val="auto"/>
              </w:rPr>
            </w:pPr>
            <w:r>
              <w:rPr>
                <w:rFonts w:ascii="Verdana" w:cs="Verdana" w:eastAsia="Verdana" w:hAnsi="Verdana"/>
                <w:sz w:val="17"/>
                <w:szCs w:val="17"/>
                <w:color w:val="auto"/>
              </w:rPr>
              <w:t>возраста</w:t>
            </w:r>
            <w:r>
              <w:rPr>
                <w:rFonts w:ascii="Verdana" w:cs="Verdana" w:eastAsia="Verdana" w:hAnsi="Verdana"/>
                <w:sz w:val="17"/>
                <w:szCs w:val="17"/>
                <w:color w:val="auto"/>
              </w:rPr>
              <w:t>,</w:t>
            </w:r>
          </w:p>
        </w:tc>
        <w:tc>
          <w:tcPr>
            <w:tcW w:w="440" w:type="dxa"/>
            <w:vAlign w:val="bottom"/>
            <w:vMerge w:val="continue"/>
          </w:tcPr>
          <w:p>
            <w:pPr>
              <w:spacing w:after="0"/>
              <w:rPr>
                <w:sz w:val="14"/>
                <w:szCs w:val="14"/>
                <w:color w:val="auto"/>
              </w:rPr>
            </w:pPr>
          </w:p>
        </w:tc>
        <w:tc>
          <w:tcPr>
            <w:tcW w:w="12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5"/>
              </w:rPr>
              <w:t>получающие</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анамнезе</w:t>
            </w:r>
          </w:p>
        </w:tc>
        <w:tc>
          <w:tcPr>
            <w:tcW w:w="1120" w:type="dxa"/>
            <w:vAlign w:val="bottom"/>
            <w:gridSpan w:val="2"/>
            <w:vMerge w:val="restart"/>
          </w:tcPr>
          <w:p>
            <w:pPr>
              <w:ind w:left="10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уровень</w:t>
            </w:r>
          </w:p>
        </w:tc>
        <w:tc>
          <w:tcPr>
            <w:tcW w:w="7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w w:val="96"/>
              </w:rPr>
              <w:t>калия</w:t>
            </w:r>
          </w:p>
        </w:tc>
        <w:tc>
          <w:tcPr>
            <w:tcW w:w="27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адекватную контрацепцию</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Гиперкалиемия</w:t>
            </w:r>
          </w:p>
        </w:tc>
        <w:tc>
          <w:tcPr>
            <w:tcW w:w="1120" w:type="dxa"/>
            <w:vAlign w:val="bottom"/>
            <w:gridSpan w:val="2"/>
            <w:vMerge w:val="continue"/>
          </w:tcPr>
          <w:p>
            <w:pPr>
              <w:spacing w:after="0"/>
              <w:rPr>
                <w:sz w:val="14"/>
                <w:szCs w:val="14"/>
                <w:color w:val="auto"/>
              </w:rPr>
            </w:pPr>
          </w:p>
        </w:tc>
        <w:tc>
          <w:tcPr>
            <w:tcW w:w="700" w:type="dxa"/>
            <w:vAlign w:val="bottom"/>
            <w:tcBorders>
              <w:right w:val="single" w:sz="8" w:color="auto"/>
            </w:tcBorders>
            <w:vMerge w:val="continue"/>
          </w:tcPr>
          <w:p>
            <w:pPr>
              <w:spacing w:after="0"/>
              <w:rPr>
                <w:sz w:val="14"/>
                <w:szCs w:val="14"/>
                <w:color w:val="auto"/>
              </w:rPr>
            </w:pP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 xml:space="preserve">&gt;5,5 </w:t>
            </w:r>
            <w:r>
              <w:rPr>
                <w:rFonts w:ascii="Verdana" w:cs="Verdana" w:eastAsia="Verdana" w:hAnsi="Verdana"/>
                <w:sz w:val="17"/>
                <w:szCs w:val="17"/>
                <w:color w:val="auto"/>
              </w:rPr>
              <w:t>ммоль</w:t>
            </w:r>
            <w:r>
              <w:rPr>
                <w:rFonts w:ascii="Verdana" w:cs="Verdana" w:eastAsia="Verdana" w:hAnsi="Verdana"/>
                <w:sz w:val="17"/>
                <w:szCs w:val="17"/>
                <w:color w:val="auto"/>
              </w:rPr>
              <w:t>/</w:t>
            </w:r>
            <w:r>
              <w:rPr>
                <w:rFonts w:ascii="Verdana" w:cs="Verdana" w:eastAsia="Verdana" w:hAnsi="Verdana"/>
                <w:sz w:val="17"/>
                <w:szCs w:val="17"/>
                <w:color w:val="auto"/>
              </w:rPr>
              <w:t>л</w:t>
            </w:r>
            <w:r>
              <w:rPr>
                <w:rFonts w:ascii="Verdana" w:cs="Verdana" w:eastAsia="Verdana" w:hAnsi="Verdana"/>
                <w:sz w:val="17"/>
                <w:szCs w:val="17"/>
                <w:color w:val="auto"/>
              </w:rPr>
              <w:t>)</w:t>
            </w:r>
          </w:p>
        </w:tc>
        <w:tc>
          <w:tcPr>
            <w:tcW w:w="640" w:type="dxa"/>
            <w:vAlign w:val="bottom"/>
            <w:vMerge w:val="restart"/>
          </w:tcPr>
          <w:p>
            <w:pPr>
              <w:spacing w:after="0"/>
              <w:rPr>
                <w:sz w:val="20"/>
                <w:szCs w:val="20"/>
                <w:color w:val="auto"/>
              </w:rPr>
            </w:pPr>
            <w:r>
              <w:rPr>
                <w:rFonts w:ascii="Verdana" w:cs="Verdana" w:eastAsia="Verdana" w:hAnsi="Verdana"/>
                <w:sz w:val="17"/>
                <w:szCs w:val="17"/>
                <w:color w:val="auto"/>
              </w:rPr>
              <w:t>стеноз</w:t>
            </w:r>
          </w:p>
        </w:tc>
        <w:tc>
          <w:tcPr>
            <w:tcW w:w="1180" w:type="dxa"/>
            <w:vAlign w:val="bottom"/>
            <w:tcBorders>
              <w:right w:val="single" w:sz="8" w:color="auto"/>
            </w:tcBorders>
            <w:gridSpan w:val="2"/>
            <w:vMerge w:val="restart"/>
          </w:tcPr>
          <w:p>
            <w:pPr>
              <w:jc w:val="right"/>
              <w:ind w:right="97"/>
              <w:spacing w:after="0"/>
              <w:rPr>
                <w:sz w:val="20"/>
                <w:szCs w:val="20"/>
                <w:color w:val="auto"/>
              </w:rPr>
            </w:pPr>
            <w:r>
              <w:rPr>
                <w:rFonts w:ascii="Verdana" w:cs="Verdana" w:eastAsia="Verdana" w:hAnsi="Verdana"/>
                <w:sz w:val="17"/>
                <w:szCs w:val="17"/>
                <w:color w:val="auto"/>
              </w:rPr>
              <w:t>почечных</w:t>
            </w: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Двусторонний</w:t>
            </w:r>
          </w:p>
        </w:tc>
        <w:tc>
          <w:tcPr>
            <w:tcW w:w="640" w:type="dxa"/>
            <w:vAlign w:val="bottom"/>
            <w:vMerge w:val="continue"/>
          </w:tcPr>
          <w:p>
            <w:pPr>
              <w:spacing w:after="0"/>
              <w:rPr>
                <w:sz w:val="14"/>
                <w:szCs w:val="14"/>
                <w:color w:val="auto"/>
              </w:rPr>
            </w:pPr>
          </w:p>
        </w:tc>
        <w:tc>
          <w:tcPr>
            <w:tcW w:w="1180" w:type="dxa"/>
            <w:vAlign w:val="bottom"/>
            <w:tcBorders>
              <w:right w:val="single" w:sz="8" w:color="auto"/>
            </w:tcBorders>
            <w:gridSpan w:val="2"/>
            <w:vMerge w:val="continue"/>
          </w:tcPr>
          <w:p>
            <w:pPr>
              <w:spacing w:after="0"/>
              <w:rPr>
                <w:sz w:val="14"/>
                <w:szCs w:val="14"/>
                <w:color w:val="auto"/>
              </w:rPr>
            </w:pP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40" w:type="dxa"/>
            <w:vAlign w:val="bottom"/>
            <w:tcBorders>
              <w:left w:val="single" w:sz="8" w:color="auto"/>
              <w:right w:val="single" w:sz="8" w:color="auto"/>
            </w:tcBorders>
          </w:tcPr>
          <w:p>
            <w:pPr>
              <w:spacing w:after="0"/>
              <w:rPr>
                <w:sz w:val="19"/>
                <w:szCs w:val="19"/>
                <w:color w:val="auto"/>
              </w:rPr>
            </w:pPr>
          </w:p>
        </w:tc>
        <w:tc>
          <w:tcPr>
            <w:tcW w:w="1620" w:type="dxa"/>
            <w:vAlign w:val="bottom"/>
          </w:tcPr>
          <w:p>
            <w:pPr>
              <w:ind w:left="140"/>
              <w:spacing w:after="0"/>
              <w:rPr>
                <w:sz w:val="20"/>
                <w:szCs w:val="20"/>
                <w:color w:val="auto"/>
              </w:rPr>
            </w:pPr>
            <w:r>
              <w:rPr>
                <w:rFonts w:ascii="Verdana" w:cs="Verdana" w:eastAsia="Verdana" w:hAnsi="Verdana"/>
                <w:sz w:val="17"/>
                <w:szCs w:val="17"/>
                <w:color w:val="auto"/>
              </w:rPr>
              <w:t>артерий</w:t>
            </w:r>
          </w:p>
        </w:tc>
        <w:tc>
          <w:tcPr>
            <w:tcW w:w="640" w:type="dxa"/>
            <w:vAlign w:val="bottom"/>
          </w:tcPr>
          <w:p>
            <w:pPr>
              <w:spacing w:after="0"/>
              <w:rPr>
                <w:sz w:val="19"/>
                <w:szCs w:val="19"/>
                <w:color w:val="auto"/>
              </w:rPr>
            </w:pPr>
          </w:p>
        </w:tc>
        <w:tc>
          <w:tcPr>
            <w:tcW w:w="480" w:type="dxa"/>
            <w:vAlign w:val="bottom"/>
          </w:tcPr>
          <w:p>
            <w:pPr>
              <w:spacing w:after="0"/>
              <w:rPr>
                <w:sz w:val="19"/>
                <w:szCs w:val="19"/>
                <w:color w:val="auto"/>
              </w:rPr>
            </w:pPr>
          </w:p>
        </w:tc>
        <w:tc>
          <w:tcPr>
            <w:tcW w:w="700" w:type="dxa"/>
            <w:vAlign w:val="bottom"/>
            <w:tcBorders>
              <w:right w:val="single" w:sz="8" w:color="auto"/>
            </w:tcBorders>
          </w:tcPr>
          <w:p>
            <w:pPr>
              <w:spacing w:after="0"/>
              <w:rPr>
                <w:sz w:val="19"/>
                <w:szCs w:val="19"/>
                <w:color w:val="auto"/>
              </w:rPr>
            </w:pPr>
          </w:p>
        </w:tc>
        <w:tc>
          <w:tcPr>
            <w:tcW w:w="10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12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40" w:type="dxa"/>
            <w:vAlign w:val="bottom"/>
            <w:tcBorders>
              <w:left w:val="single" w:sz="8" w:color="auto"/>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7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24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БРА</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Беременность</w:t>
            </w:r>
          </w:p>
        </w:tc>
        <w:tc>
          <w:tcPr>
            <w:tcW w:w="1120" w:type="dxa"/>
            <w:vAlign w:val="bottom"/>
            <w:gridSpan w:val="2"/>
            <w:vMerge w:val="restart"/>
          </w:tcPr>
          <w:p>
            <w:pPr>
              <w:ind w:left="100"/>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уровень</w:t>
            </w:r>
          </w:p>
        </w:tc>
        <w:tc>
          <w:tcPr>
            <w:tcW w:w="70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w w:val="96"/>
              </w:rPr>
              <w:t>калия</w:t>
            </w:r>
          </w:p>
        </w:tc>
        <w:tc>
          <w:tcPr>
            <w:tcW w:w="1060" w:type="dxa"/>
            <w:vAlign w:val="bottom"/>
          </w:tcPr>
          <w:p>
            <w:pPr>
              <w:ind w:left="140"/>
              <w:spacing w:after="0"/>
              <w:rPr>
                <w:sz w:val="20"/>
                <w:szCs w:val="20"/>
                <w:color w:val="auto"/>
              </w:rPr>
            </w:pPr>
            <w:r>
              <w:rPr>
                <w:rFonts w:ascii="Verdana" w:cs="Verdana" w:eastAsia="Verdana" w:hAnsi="Verdana"/>
                <w:sz w:val="17"/>
                <w:szCs w:val="17"/>
                <w:color w:val="auto"/>
              </w:rPr>
              <w:t>Женщины</w:t>
            </w:r>
          </w:p>
        </w:tc>
        <w:tc>
          <w:tcPr>
            <w:tcW w:w="440" w:type="dxa"/>
            <w:vAlign w:val="bottom"/>
            <w:vMerge w:val="restart"/>
          </w:tcPr>
          <w:p>
            <w:pPr>
              <w:ind w:left="80"/>
              <w:spacing w:after="0"/>
              <w:rPr>
                <w:sz w:val="20"/>
                <w:szCs w:val="20"/>
                <w:color w:val="auto"/>
              </w:rPr>
            </w:pPr>
            <w:r>
              <w:rPr>
                <w:rFonts w:ascii="Verdana" w:cs="Verdana" w:eastAsia="Verdana" w:hAnsi="Verdana"/>
                <w:sz w:val="17"/>
                <w:szCs w:val="17"/>
                <w:color w:val="auto"/>
              </w:rPr>
              <w:t>не</w:t>
            </w:r>
          </w:p>
        </w:tc>
        <w:tc>
          <w:tcPr>
            <w:tcW w:w="128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w w:val="97"/>
              </w:rPr>
              <w:t>детородного</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Гиперкалиемия</w:t>
            </w:r>
          </w:p>
        </w:tc>
        <w:tc>
          <w:tcPr>
            <w:tcW w:w="1120" w:type="dxa"/>
            <w:vAlign w:val="bottom"/>
            <w:gridSpan w:val="2"/>
            <w:vMerge w:val="continue"/>
          </w:tcPr>
          <w:p>
            <w:pPr>
              <w:spacing w:after="0"/>
              <w:rPr>
                <w:sz w:val="14"/>
                <w:szCs w:val="14"/>
                <w:color w:val="auto"/>
              </w:rPr>
            </w:pPr>
          </w:p>
        </w:tc>
        <w:tc>
          <w:tcPr>
            <w:tcW w:w="700" w:type="dxa"/>
            <w:vAlign w:val="bottom"/>
            <w:tcBorders>
              <w:right w:val="single" w:sz="8" w:color="auto"/>
            </w:tcBorders>
            <w:vMerge w:val="continue"/>
          </w:tcPr>
          <w:p>
            <w:pPr>
              <w:spacing w:after="0"/>
              <w:rPr>
                <w:sz w:val="14"/>
                <w:szCs w:val="14"/>
                <w:color w:val="auto"/>
              </w:rPr>
            </w:pPr>
          </w:p>
        </w:tc>
        <w:tc>
          <w:tcPr>
            <w:tcW w:w="1060" w:type="dxa"/>
            <w:vAlign w:val="bottom"/>
          </w:tcPr>
          <w:p>
            <w:pPr>
              <w:ind w:left="140"/>
              <w:spacing w:after="0" w:line="165" w:lineRule="exact"/>
              <w:rPr>
                <w:sz w:val="20"/>
                <w:szCs w:val="20"/>
                <w:color w:val="auto"/>
              </w:rPr>
            </w:pPr>
            <w:r>
              <w:rPr>
                <w:rFonts w:ascii="Verdana" w:cs="Verdana" w:eastAsia="Verdana" w:hAnsi="Verdana"/>
                <w:sz w:val="17"/>
                <w:szCs w:val="17"/>
                <w:color w:val="auto"/>
              </w:rPr>
              <w:t>возраста</w:t>
            </w:r>
            <w:r>
              <w:rPr>
                <w:rFonts w:ascii="Verdana" w:cs="Verdana" w:eastAsia="Verdana" w:hAnsi="Verdana"/>
                <w:sz w:val="17"/>
                <w:szCs w:val="17"/>
                <w:color w:val="auto"/>
              </w:rPr>
              <w:t>,</w:t>
            </w:r>
          </w:p>
        </w:tc>
        <w:tc>
          <w:tcPr>
            <w:tcW w:w="440" w:type="dxa"/>
            <w:vAlign w:val="bottom"/>
            <w:vMerge w:val="continue"/>
          </w:tcPr>
          <w:p>
            <w:pPr>
              <w:spacing w:after="0"/>
              <w:rPr>
                <w:sz w:val="14"/>
                <w:szCs w:val="14"/>
                <w:color w:val="auto"/>
              </w:rPr>
            </w:pPr>
          </w:p>
        </w:tc>
        <w:tc>
          <w:tcPr>
            <w:tcW w:w="12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5"/>
              </w:rPr>
              <w:t>получающие</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 xml:space="preserve">&gt;5,5 </w:t>
            </w:r>
            <w:r>
              <w:rPr>
                <w:rFonts w:ascii="Verdana" w:cs="Verdana" w:eastAsia="Verdana" w:hAnsi="Verdana"/>
                <w:sz w:val="17"/>
                <w:szCs w:val="17"/>
                <w:color w:val="auto"/>
              </w:rPr>
              <w:t>ммоль</w:t>
            </w:r>
            <w:r>
              <w:rPr>
                <w:rFonts w:ascii="Verdana" w:cs="Verdana" w:eastAsia="Verdana" w:hAnsi="Verdana"/>
                <w:sz w:val="17"/>
                <w:szCs w:val="17"/>
                <w:color w:val="auto"/>
              </w:rPr>
              <w:t>/</w:t>
            </w:r>
            <w:r>
              <w:rPr>
                <w:rFonts w:ascii="Verdana" w:cs="Verdana" w:eastAsia="Verdana" w:hAnsi="Verdana"/>
                <w:sz w:val="17"/>
                <w:szCs w:val="17"/>
                <w:color w:val="auto"/>
              </w:rPr>
              <w:t>л</w:t>
            </w:r>
            <w:r>
              <w:rPr>
                <w:rFonts w:ascii="Verdana" w:cs="Verdana" w:eastAsia="Verdana" w:hAnsi="Verdana"/>
                <w:sz w:val="17"/>
                <w:szCs w:val="17"/>
                <w:color w:val="auto"/>
              </w:rPr>
              <w:t>)</w:t>
            </w:r>
          </w:p>
        </w:tc>
        <w:tc>
          <w:tcPr>
            <w:tcW w:w="640" w:type="dxa"/>
            <w:vAlign w:val="bottom"/>
            <w:vMerge w:val="restart"/>
          </w:tcPr>
          <w:p>
            <w:pPr>
              <w:spacing w:after="0"/>
              <w:rPr>
                <w:sz w:val="20"/>
                <w:szCs w:val="20"/>
                <w:color w:val="auto"/>
              </w:rPr>
            </w:pPr>
            <w:r>
              <w:rPr>
                <w:rFonts w:ascii="Verdana" w:cs="Verdana" w:eastAsia="Verdana" w:hAnsi="Verdana"/>
                <w:sz w:val="17"/>
                <w:szCs w:val="17"/>
                <w:color w:val="auto"/>
              </w:rPr>
              <w:t>стеноз</w:t>
            </w:r>
          </w:p>
        </w:tc>
        <w:tc>
          <w:tcPr>
            <w:tcW w:w="1180" w:type="dxa"/>
            <w:vAlign w:val="bottom"/>
            <w:tcBorders>
              <w:right w:val="single" w:sz="8" w:color="auto"/>
            </w:tcBorders>
            <w:gridSpan w:val="2"/>
            <w:vMerge w:val="restart"/>
          </w:tcPr>
          <w:p>
            <w:pPr>
              <w:jc w:val="right"/>
              <w:ind w:right="97"/>
              <w:spacing w:after="0"/>
              <w:rPr>
                <w:sz w:val="20"/>
                <w:szCs w:val="20"/>
                <w:color w:val="auto"/>
              </w:rPr>
            </w:pPr>
            <w:r>
              <w:rPr>
                <w:rFonts w:ascii="Verdana" w:cs="Verdana" w:eastAsia="Verdana" w:hAnsi="Verdana"/>
                <w:sz w:val="17"/>
                <w:szCs w:val="17"/>
                <w:color w:val="auto"/>
              </w:rPr>
              <w:t>почечных</w:t>
            </w:r>
          </w:p>
        </w:tc>
        <w:tc>
          <w:tcPr>
            <w:tcW w:w="27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адекватную контрацепцию</w:t>
            </w:r>
          </w:p>
        </w:tc>
        <w:tc>
          <w:tcPr>
            <w:tcW w:w="0" w:type="dxa"/>
            <w:vAlign w:val="bottom"/>
          </w:tcPr>
          <w:p>
            <w:pPr>
              <w:spacing w:after="0"/>
              <w:rPr>
                <w:sz w:val="1"/>
                <w:szCs w:val="1"/>
                <w:color w:val="auto"/>
              </w:rPr>
            </w:pPr>
          </w:p>
        </w:tc>
      </w:tr>
      <w:tr>
        <w:trPr>
          <w:trHeight w:val="165"/>
        </w:trPr>
        <w:tc>
          <w:tcPr>
            <w:tcW w:w="2240" w:type="dxa"/>
            <w:vAlign w:val="bottom"/>
            <w:tcBorders>
              <w:left w:val="single" w:sz="8" w:color="auto"/>
              <w:right w:val="single" w:sz="8" w:color="auto"/>
            </w:tcBorders>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Двусторонний</w:t>
            </w:r>
          </w:p>
        </w:tc>
        <w:tc>
          <w:tcPr>
            <w:tcW w:w="640" w:type="dxa"/>
            <w:vAlign w:val="bottom"/>
            <w:vMerge w:val="continue"/>
          </w:tcPr>
          <w:p>
            <w:pPr>
              <w:spacing w:after="0"/>
              <w:rPr>
                <w:sz w:val="14"/>
                <w:szCs w:val="14"/>
                <w:color w:val="auto"/>
              </w:rPr>
            </w:pPr>
          </w:p>
        </w:tc>
        <w:tc>
          <w:tcPr>
            <w:tcW w:w="1180" w:type="dxa"/>
            <w:vAlign w:val="bottom"/>
            <w:tcBorders>
              <w:right w:val="single" w:sz="8" w:color="auto"/>
            </w:tcBorders>
            <w:gridSpan w:val="2"/>
            <w:vMerge w:val="continue"/>
          </w:tcPr>
          <w:p>
            <w:pPr>
              <w:spacing w:after="0"/>
              <w:rPr>
                <w:sz w:val="14"/>
                <w:szCs w:val="14"/>
                <w:color w:val="auto"/>
              </w:rPr>
            </w:pPr>
          </w:p>
        </w:tc>
        <w:tc>
          <w:tcPr>
            <w:tcW w:w="1060" w:type="dxa"/>
            <w:vAlign w:val="bottom"/>
          </w:tcPr>
          <w:p>
            <w:pPr>
              <w:spacing w:after="0"/>
              <w:rPr>
                <w:sz w:val="14"/>
                <w:szCs w:val="14"/>
                <w:color w:val="auto"/>
              </w:rPr>
            </w:pPr>
          </w:p>
        </w:tc>
        <w:tc>
          <w:tcPr>
            <w:tcW w:w="440" w:type="dxa"/>
            <w:vAlign w:val="bottom"/>
          </w:tcPr>
          <w:p>
            <w:pPr>
              <w:spacing w:after="0"/>
              <w:rPr>
                <w:sz w:val="14"/>
                <w:szCs w:val="14"/>
                <w:color w:val="auto"/>
              </w:rPr>
            </w:pPr>
          </w:p>
        </w:tc>
        <w:tc>
          <w:tcPr>
            <w:tcW w:w="12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240" w:type="dxa"/>
            <w:vAlign w:val="bottom"/>
            <w:tcBorders>
              <w:left w:val="single" w:sz="8" w:color="auto"/>
              <w:right w:val="single" w:sz="8" w:color="auto"/>
            </w:tcBorders>
          </w:tcPr>
          <w:p>
            <w:pPr>
              <w:spacing w:after="0"/>
              <w:rPr>
                <w:sz w:val="19"/>
                <w:szCs w:val="19"/>
                <w:color w:val="auto"/>
              </w:rPr>
            </w:pPr>
          </w:p>
        </w:tc>
        <w:tc>
          <w:tcPr>
            <w:tcW w:w="1620" w:type="dxa"/>
            <w:vAlign w:val="bottom"/>
          </w:tcPr>
          <w:p>
            <w:pPr>
              <w:ind w:left="140"/>
              <w:spacing w:after="0"/>
              <w:rPr>
                <w:sz w:val="20"/>
                <w:szCs w:val="20"/>
                <w:color w:val="auto"/>
              </w:rPr>
            </w:pPr>
            <w:r>
              <w:rPr>
                <w:rFonts w:ascii="Verdana" w:cs="Verdana" w:eastAsia="Verdana" w:hAnsi="Verdana"/>
                <w:sz w:val="17"/>
                <w:szCs w:val="17"/>
                <w:color w:val="auto"/>
              </w:rPr>
              <w:t>артерий</w:t>
            </w:r>
          </w:p>
        </w:tc>
        <w:tc>
          <w:tcPr>
            <w:tcW w:w="640" w:type="dxa"/>
            <w:vAlign w:val="bottom"/>
          </w:tcPr>
          <w:p>
            <w:pPr>
              <w:spacing w:after="0"/>
              <w:rPr>
                <w:sz w:val="19"/>
                <w:szCs w:val="19"/>
                <w:color w:val="auto"/>
              </w:rPr>
            </w:pPr>
          </w:p>
        </w:tc>
        <w:tc>
          <w:tcPr>
            <w:tcW w:w="480" w:type="dxa"/>
            <w:vAlign w:val="bottom"/>
          </w:tcPr>
          <w:p>
            <w:pPr>
              <w:spacing w:after="0"/>
              <w:rPr>
                <w:sz w:val="19"/>
                <w:szCs w:val="19"/>
                <w:color w:val="auto"/>
              </w:rPr>
            </w:pPr>
          </w:p>
        </w:tc>
        <w:tc>
          <w:tcPr>
            <w:tcW w:w="700" w:type="dxa"/>
            <w:vAlign w:val="bottom"/>
            <w:tcBorders>
              <w:right w:val="single" w:sz="8" w:color="auto"/>
            </w:tcBorders>
          </w:tcPr>
          <w:p>
            <w:pPr>
              <w:spacing w:after="0"/>
              <w:rPr>
                <w:sz w:val="19"/>
                <w:szCs w:val="19"/>
                <w:color w:val="auto"/>
              </w:rPr>
            </w:pPr>
          </w:p>
        </w:tc>
        <w:tc>
          <w:tcPr>
            <w:tcW w:w="1060" w:type="dxa"/>
            <w:vAlign w:val="bottom"/>
          </w:tcPr>
          <w:p>
            <w:pPr>
              <w:spacing w:after="0"/>
              <w:rPr>
                <w:sz w:val="19"/>
                <w:szCs w:val="19"/>
                <w:color w:val="auto"/>
              </w:rPr>
            </w:pPr>
          </w:p>
        </w:tc>
        <w:tc>
          <w:tcPr>
            <w:tcW w:w="440" w:type="dxa"/>
            <w:vAlign w:val="bottom"/>
          </w:tcPr>
          <w:p>
            <w:pPr>
              <w:spacing w:after="0"/>
              <w:rPr>
                <w:sz w:val="19"/>
                <w:szCs w:val="19"/>
                <w:color w:val="auto"/>
              </w:rPr>
            </w:pPr>
          </w:p>
        </w:tc>
        <w:tc>
          <w:tcPr>
            <w:tcW w:w="12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240" w:type="dxa"/>
            <w:vAlign w:val="bottom"/>
            <w:tcBorders>
              <w:left w:val="single" w:sz="8" w:color="auto"/>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40" w:type="dxa"/>
            <w:vAlign w:val="bottom"/>
            <w:tcBorders>
              <w:bottom w:val="single" w:sz="8" w:color="auto"/>
            </w:tcBorders>
          </w:tcPr>
          <w:p>
            <w:pPr>
              <w:spacing w:after="0"/>
              <w:rPr>
                <w:sz w:val="9"/>
                <w:szCs w:val="9"/>
                <w:color w:val="auto"/>
              </w:rPr>
            </w:pPr>
          </w:p>
        </w:tc>
        <w:tc>
          <w:tcPr>
            <w:tcW w:w="480" w:type="dxa"/>
            <w:vAlign w:val="bottom"/>
            <w:tcBorders>
              <w:bottom w:val="single" w:sz="8" w:color="auto"/>
            </w:tcBorders>
          </w:tcPr>
          <w:p>
            <w:pPr>
              <w:spacing w:after="0"/>
              <w:rPr>
                <w:sz w:val="9"/>
                <w:szCs w:val="9"/>
                <w:color w:val="auto"/>
              </w:rPr>
            </w:pPr>
          </w:p>
        </w:tc>
        <w:tc>
          <w:tcPr>
            <w:tcW w:w="700" w:type="dxa"/>
            <w:vAlign w:val="bottom"/>
            <w:tcBorders>
              <w:bottom w:val="single" w:sz="8" w:color="auto"/>
              <w:right w:val="single" w:sz="8" w:color="auto"/>
            </w:tcBorders>
          </w:tcPr>
          <w:p>
            <w:pPr>
              <w:spacing w:after="0"/>
              <w:rPr>
                <w:sz w:val="9"/>
                <w:szCs w:val="9"/>
                <w:color w:val="auto"/>
              </w:rPr>
            </w:pPr>
          </w:p>
        </w:tc>
        <w:tc>
          <w:tcPr>
            <w:tcW w:w="1060" w:type="dxa"/>
            <w:vAlign w:val="bottom"/>
            <w:tcBorders>
              <w:bottom w:val="single" w:sz="8" w:color="auto"/>
            </w:tcBorders>
          </w:tcPr>
          <w:p>
            <w:pPr>
              <w:spacing w:after="0"/>
              <w:rPr>
                <w:sz w:val="9"/>
                <w:szCs w:val="9"/>
                <w:color w:val="auto"/>
              </w:rPr>
            </w:pPr>
          </w:p>
        </w:tc>
        <w:tc>
          <w:tcPr>
            <w:tcW w:w="440" w:type="dxa"/>
            <w:vAlign w:val="bottom"/>
            <w:tcBorders>
              <w:bottom w:val="single" w:sz="8" w:color="auto"/>
            </w:tcBorders>
          </w:tcPr>
          <w:p>
            <w:pPr>
              <w:spacing w:after="0"/>
              <w:rPr>
                <w:sz w:val="9"/>
                <w:szCs w:val="9"/>
                <w:color w:val="auto"/>
              </w:rPr>
            </w:pPr>
          </w:p>
        </w:tc>
        <w:tc>
          <w:tcPr>
            <w:tcW w:w="128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40" w:lineRule="exact"/>
        <w:rPr>
          <w:sz w:val="20"/>
          <w:szCs w:val="20"/>
          <w:color w:val="auto"/>
        </w:rPr>
      </w:pPr>
    </w:p>
    <w:p>
      <w:pPr>
        <w:jc w:val="both"/>
        <w:ind w:left="360" w:right="220"/>
        <w:spacing w:after="0" w:line="313"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5/</w:t>
      </w:r>
      <w:r>
        <w:rPr>
          <w:rFonts w:ascii="Arial" w:cs="Arial" w:eastAsia="Arial" w:hAnsi="Arial"/>
          <w:sz w:val="27"/>
          <w:szCs w:val="27"/>
          <w:b w:val="1"/>
          <w:bCs w:val="1"/>
          <w:color w:val="auto"/>
        </w:rPr>
        <w:t>Г</w:t>
      </w:r>
      <w:r>
        <w:rPr>
          <w:rFonts w:ascii="Arial" w:cs="Arial" w:eastAsia="Arial" w:hAnsi="Arial"/>
          <w:sz w:val="27"/>
          <w:szCs w:val="27"/>
          <w:b w:val="1"/>
          <w:bCs w:val="1"/>
          <w:color w:val="auto"/>
        </w:rPr>
        <w:t>4.</w:t>
      </w:r>
      <w:r>
        <w:rPr>
          <w:rFonts w:ascii="Arial" w:cs="Arial" w:eastAsia="Arial" w:hAnsi="Arial"/>
          <w:sz w:val="27"/>
          <w:szCs w:val="27"/>
          <w:b w:val="1"/>
          <w:bCs w:val="1"/>
          <w:color w:val="auto"/>
        </w:rPr>
        <w:t xml:space="preserve"> Алгоритм диспансерного наблюдения больных АГ с контролируемым артериальным давлением на фоне приема антигипертензивных лекарственных препаратов </w:t>
      </w:r>
      <w:r>
        <w:rPr>
          <w:rFonts w:ascii="Arial" w:cs="Arial" w:eastAsia="Arial" w:hAnsi="Arial"/>
          <w:sz w:val="27"/>
          <w:szCs w:val="27"/>
          <w:b w:val="1"/>
          <w:bCs w:val="1"/>
          <w:color w:val="auto"/>
        </w:rPr>
        <w:t>[</w:t>
      </w:r>
      <w:r>
        <w:rPr>
          <w:rFonts w:ascii="Arial" w:cs="Arial" w:eastAsia="Arial" w:hAnsi="Arial"/>
          <w:sz w:val="27"/>
          <w:szCs w:val="27"/>
          <w:color w:val="auto"/>
        </w:rPr>
        <w:t>292</w:t>
      </w:r>
      <w:r>
        <w:rPr>
          <w:rFonts w:ascii="Arial" w:cs="Arial" w:eastAsia="Arial" w:hAnsi="Arial"/>
          <w:sz w:val="27"/>
          <w:szCs w:val="27"/>
          <w:b w:val="1"/>
          <w:bCs w:val="1"/>
          <w:color w:val="auto"/>
        </w:rPr>
        <w:t>]</w:t>
      </w:r>
    </w:p>
    <w:p>
      <w:pPr>
        <w:spacing w:after="0" w:line="172" w:lineRule="exact"/>
        <w:rPr>
          <w:sz w:val="20"/>
          <w:szCs w:val="20"/>
          <w:color w:val="auto"/>
        </w:rPr>
      </w:pPr>
    </w:p>
    <w:tbl>
      <w:tblPr>
        <w:tblLayout w:type="fixed"/>
        <w:tblInd w:w="370" w:type="dxa"/>
        <w:tblCellMar>
          <w:top w:w="0" w:type="dxa"/>
          <w:left w:w="0" w:type="dxa"/>
          <w:bottom w:w="0" w:type="dxa"/>
          <w:right w:w="0" w:type="dxa"/>
        </w:tblCellMar>
      </w:tblPr>
      <w:tr>
        <w:trPr>
          <w:trHeight w:val="315"/>
        </w:trPr>
        <w:tc>
          <w:tcPr>
            <w:tcW w:w="17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Заболевание</w:t>
            </w:r>
            <w:r>
              <w:rPr>
                <w:rFonts w:ascii="Verdana" w:cs="Verdana" w:eastAsia="Verdana" w:hAnsi="Verdana"/>
                <w:sz w:val="17"/>
                <w:szCs w:val="17"/>
                <w:color w:val="auto"/>
              </w:rPr>
              <w:t>,</w:t>
            </w:r>
          </w:p>
        </w:tc>
        <w:tc>
          <w:tcPr>
            <w:tcW w:w="248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Регулярность</w:t>
            </w:r>
          </w:p>
        </w:tc>
        <w:tc>
          <w:tcPr>
            <w:tcW w:w="168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color w:val="auto"/>
              </w:rPr>
              <w:t>Рекомендуемые</w:t>
            </w:r>
          </w:p>
        </w:tc>
        <w:tc>
          <w:tcPr>
            <w:tcW w:w="2600" w:type="dxa"/>
            <w:vAlign w:val="bottom"/>
            <w:tcBorders>
              <w:top w:val="single" w:sz="8" w:color="auto"/>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вмешательства  и  методы</w:t>
            </w:r>
          </w:p>
        </w:tc>
      </w:tr>
      <w:tr>
        <w:trPr>
          <w:trHeight w:val="165"/>
        </w:trPr>
        <w:tc>
          <w:tcPr>
            <w:tcW w:w="170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состояние</w:t>
            </w:r>
          </w:p>
        </w:tc>
        <w:tc>
          <w:tcPr>
            <w:tcW w:w="2480" w:type="dxa"/>
            <w:vAlign w:val="bottom"/>
            <w:tcBorders>
              <w:right w:val="single" w:sz="8" w:color="auto"/>
            </w:tcBorders>
          </w:tcPr>
          <w:p>
            <w:pPr>
              <w:ind w:left="140"/>
              <w:spacing w:after="0" w:line="165" w:lineRule="exact"/>
              <w:rPr>
                <w:sz w:val="20"/>
                <w:szCs w:val="20"/>
                <w:color w:val="auto"/>
              </w:rPr>
            </w:pPr>
            <w:r>
              <w:rPr>
                <w:rFonts w:ascii="Verdana" w:cs="Verdana" w:eastAsia="Verdana" w:hAnsi="Verdana"/>
                <w:sz w:val="17"/>
                <w:szCs w:val="17"/>
                <w:color w:val="auto"/>
              </w:rPr>
              <w:t>профилактических</w:t>
            </w:r>
          </w:p>
        </w:tc>
        <w:tc>
          <w:tcPr>
            <w:tcW w:w="1680" w:type="dxa"/>
            <w:vAlign w:val="bottom"/>
          </w:tcPr>
          <w:p>
            <w:pPr>
              <w:ind w:left="140"/>
              <w:spacing w:after="0" w:line="165" w:lineRule="exact"/>
              <w:rPr>
                <w:sz w:val="20"/>
                <w:szCs w:val="20"/>
                <w:color w:val="auto"/>
              </w:rPr>
            </w:pPr>
            <w:r>
              <w:rPr>
                <w:rFonts w:ascii="Verdana" w:cs="Verdana" w:eastAsia="Verdana" w:hAnsi="Verdana"/>
                <w:sz w:val="17"/>
                <w:szCs w:val="17"/>
                <w:color w:val="auto"/>
                <w:w w:val="97"/>
              </w:rPr>
              <w:t>исследования  во</w:t>
            </w:r>
          </w:p>
        </w:tc>
        <w:tc>
          <w:tcPr>
            <w:tcW w:w="26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время  профилактических</w:t>
            </w:r>
          </w:p>
        </w:tc>
      </w:tr>
      <w:tr>
        <w:trPr>
          <w:trHeight w:val="220"/>
        </w:trPr>
        <w:tc>
          <w:tcPr>
            <w:tcW w:w="1700" w:type="dxa"/>
            <w:vAlign w:val="bottom"/>
            <w:tcBorders>
              <w:left w:val="single" w:sz="8" w:color="auto"/>
              <w:right w:val="single" w:sz="8" w:color="auto"/>
            </w:tcBorders>
          </w:tcPr>
          <w:p>
            <w:pPr>
              <w:spacing w:after="0"/>
              <w:rPr>
                <w:sz w:val="19"/>
                <w:szCs w:val="19"/>
                <w:color w:val="auto"/>
              </w:rPr>
            </w:pPr>
          </w:p>
        </w:tc>
        <w:tc>
          <w:tcPr>
            <w:tcW w:w="24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посещений</w:t>
            </w:r>
          </w:p>
        </w:tc>
        <w:tc>
          <w:tcPr>
            <w:tcW w:w="1680" w:type="dxa"/>
            <w:vAlign w:val="bottom"/>
          </w:tcPr>
          <w:p>
            <w:pPr>
              <w:ind w:left="140"/>
              <w:spacing w:after="0"/>
              <w:rPr>
                <w:sz w:val="20"/>
                <w:szCs w:val="20"/>
                <w:color w:val="auto"/>
              </w:rPr>
            </w:pPr>
            <w:r>
              <w:rPr>
                <w:rFonts w:ascii="Verdana" w:cs="Verdana" w:eastAsia="Verdana" w:hAnsi="Verdana"/>
                <w:sz w:val="17"/>
                <w:szCs w:val="17"/>
                <w:color w:val="auto"/>
              </w:rPr>
              <w:t>посещений</w:t>
            </w:r>
          </w:p>
        </w:tc>
        <w:tc>
          <w:tcPr>
            <w:tcW w:w="2600" w:type="dxa"/>
            <w:vAlign w:val="bottom"/>
            <w:tcBorders>
              <w:right w:val="single" w:sz="8" w:color="auto"/>
            </w:tcBorders>
          </w:tcPr>
          <w:p>
            <w:pPr>
              <w:spacing w:after="0"/>
              <w:rPr>
                <w:sz w:val="19"/>
                <w:szCs w:val="19"/>
                <w:color w:val="auto"/>
              </w:rPr>
            </w:pPr>
          </w:p>
        </w:tc>
      </w:tr>
      <w:tr>
        <w:trPr>
          <w:trHeight w:val="110"/>
        </w:trPr>
        <w:tc>
          <w:tcPr>
            <w:tcW w:w="1700" w:type="dxa"/>
            <w:vAlign w:val="bottom"/>
            <w:tcBorders>
              <w:left w:val="single" w:sz="8" w:color="auto"/>
              <w:bottom w:val="single" w:sz="8" w:color="auto"/>
              <w:right w:val="single" w:sz="8" w:color="auto"/>
            </w:tcBorders>
          </w:tcPr>
          <w:p>
            <w:pPr>
              <w:spacing w:after="0"/>
              <w:rPr>
                <w:sz w:val="9"/>
                <w:szCs w:val="9"/>
                <w:color w:val="auto"/>
              </w:rPr>
            </w:pPr>
          </w:p>
        </w:tc>
        <w:tc>
          <w:tcPr>
            <w:tcW w:w="248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2600" w:type="dxa"/>
            <w:vAlign w:val="bottom"/>
            <w:tcBorders>
              <w:bottom w:val="single" w:sz="8" w:color="auto"/>
              <w:right w:val="single" w:sz="8" w:color="auto"/>
            </w:tcBorders>
          </w:tcPr>
          <w:p>
            <w:pPr>
              <w:spacing w:after="0"/>
              <w:rPr>
                <w:sz w:val="9"/>
                <w:szCs w:val="9"/>
                <w:color w:val="auto"/>
              </w:rPr>
            </w:pPr>
          </w:p>
        </w:tc>
      </w:tr>
    </w:tbl>
    <w:p>
      <w:pPr>
        <w:spacing w:after="0" w:line="20" w:lineRule="exact"/>
        <w:rPr>
          <w:sz w:val="20"/>
          <w:szCs w:val="20"/>
          <w:color w:val="auto"/>
        </w:rPr>
      </w:pPr>
    </w:p>
    <w:p>
      <w:pPr>
        <w:sectPr>
          <w:pgSz w:w="11900" w:h="16840" w:orient="portrait"/>
          <w:cols w:equalWidth="0" w:num="1">
            <w:col w:w="9020"/>
          </w:cols>
          <w:pgMar w:left="1440" w:top="0" w:right="1440" w:bottom="1440" w:gutter="0" w:footer="0" w:header="0"/>
        </w:sectPr>
      </w:pPr>
    </w:p>
    <w:bookmarkStart w:id="156" w:name="page157"/>
    <w:bookmarkEnd w:id="156"/>
    <w:tbl>
      <w:tblPr>
        <w:tblLayout w:type="fixed"/>
        <w:tblInd w:w="370" w:type="dxa"/>
        <w:tblCellMar>
          <w:top w:w="0" w:type="dxa"/>
          <w:left w:w="0" w:type="dxa"/>
          <w:bottom w:w="0" w:type="dxa"/>
          <w:right w:w="0" w:type="dxa"/>
        </w:tblCellMar>
      </w:tblPr>
      <w:tr>
        <w:trPr>
          <w:trHeight w:val="295"/>
        </w:trPr>
        <w:tc>
          <w:tcPr>
            <w:tcW w:w="17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АГ </w:t>
            </w:r>
            <w:r>
              <w:rPr>
                <w:rFonts w:ascii="Verdana" w:cs="Verdana" w:eastAsia="Verdana" w:hAnsi="Verdana"/>
                <w:sz w:val="17"/>
                <w:szCs w:val="17"/>
                <w:color w:val="auto"/>
              </w:rPr>
              <w:t>1-</w:t>
            </w:r>
            <w:r>
              <w:rPr>
                <w:rFonts w:ascii="Verdana" w:cs="Verdana" w:eastAsia="Verdana" w:hAnsi="Verdana"/>
                <w:sz w:val="17"/>
                <w:szCs w:val="17"/>
                <w:color w:val="auto"/>
              </w:rPr>
              <w:t>й степени</w:t>
            </w:r>
          </w:p>
        </w:tc>
        <w:tc>
          <w:tcPr>
            <w:tcW w:w="2480" w:type="dxa"/>
            <w:vAlign w:val="bottom"/>
            <w:tcBorders>
              <w:top w:val="single" w:sz="8" w:color="auto"/>
              <w:right w:val="single" w:sz="8" w:color="auto"/>
            </w:tcBorders>
            <w:gridSpan w:val="4"/>
          </w:tcPr>
          <w:p>
            <w:pPr>
              <w:ind w:left="140"/>
              <w:spacing w:after="0"/>
              <w:rPr>
                <w:sz w:val="20"/>
                <w:szCs w:val="20"/>
                <w:color w:val="auto"/>
              </w:rPr>
            </w:pPr>
            <w:r>
              <w:rPr>
                <w:rFonts w:ascii="Verdana" w:cs="Verdana" w:eastAsia="Verdana" w:hAnsi="Verdana"/>
                <w:sz w:val="17"/>
                <w:szCs w:val="17"/>
                <w:color w:val="auto"/>
              </w:rPr>
              <w:t xml:space="preserve">Не менее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w:t>
            </w:r>
          </w:p>
        </w:tc>
        <w:tc>
          <w:tcPr>
            <w:tcW w:w="4280" w:type="dxa"/>
            <w:vAlign w:val="bottom"/>
            <w:tcBorders>
              <w:top w:val="single" w:sz="8" w:color="auto"/>
              <w:right w:val="single" w:sz="8" w:color="auto"/>
            </w:tcBorders>
            <w:gridSpan w:val="10"/>
          </w:tcPr>
          <w:p>
            <w:pPr>
              <w:ind w:left="140"/>
              <w:spacing w:after="0"/>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сбор жалоб и анамнеза</w:t>
            </w:r>
            <w:r>
              <w:rPr>
                <w:rFonts w:ascii="Verdana" w:cs="Verdana" w:eastAsia="Verdana" w:hAnsi="Verdana"/>
                <w:sz w:val="17"/>
                <w:szCs w:val="17"/>
                <w:color w:val="auto"/>
              </w:rPr>
              <w:t xml:space="preserve">, </w:t>
            </w:r>
            <w:r>
              <w:rPr>
                <w:rFonts w:ascii="Verdana" w:cs="Verdana" w:eastAsia="Verdana" w:hAnsi="Verdana"/>
                <w:sz w:val="17"/>
                <w:szCs w:val="17"/>
                <w:color w:val="auto"/>
              </w:rPr>
              <w:t>активный опрос на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без ПОМ</w:t>
            </w:r>
            <w:r>
              <w:rPr>
                <w:rFonts w:ascii="Verdana" w:cs="Verdana" w:eastAsia="Verdana" w:hAnsi="Verdana"/>
                <w:sz w:val="17"/>
                <w:szCs w:val="17"/>
                <w:color w:val="auto"/>
              </w:rPr>
              <w:t>,</w:t>
            </w:r>
            <w:r>
              <w:rPr>
                <w:rFonts w:ascii="Verdana" w:cs="Verdana" w:eastAsia="Verdana" w:hAnsi="Verdana"/>
                <w:sz w:val="17"/>
                <w:szCs w:val="17"/>
                <w:color w:val="auto"/>
              </w:rPr>
              <w:t xml:space="preserve"> ССЗ</w:t>
            </w:r>
            <w:r>
              <w:rPr>
                <w:rFonts w:ascii="Verdana" w:cs="Verdana" w:eastAsia="Verdana" w:hAnsi="Verdana"/>
                <w:sz w:val="17"/>
                <w:szCs w:val="17"/>
                <w:color w:val="auto"/>
              </w:rPr>
              <w:t>,</w:t>
            </w:r>
          </w:p>
        </w:tc>
        <w:tc>
          <w:tcPr>
            <w:tcW w:w="520" w:type="dxa"/>
            <w:vAlign w:val="bottom"/>
          </w:tcPr>
          <w:p>
            <w:pPr>
              <w:ind w:left="140"/>
              <w:spacing w:after="0" w:line="165" w:lineRule="exact"/>
              <w:rPr>
                <w:sz w:val="20"/>
                <w:szCs w:val="20"/>
                <w:color w:val="auto"/>
              </w:rPr>
            </w:pPr>
            <w:r>
              <w:rPr>
                <w:rFonts w:ascii="Verdana" w:cs="Verdana" w:eastAsia="Verdana" w:hAnsi="Verdana"/>
                <w:sz w:val="17"/>
                <w:szCs w:val="17"/>
                <w:color w:val="auto"/>
              </w:rPr>
              <w:t>при</w:t>
            </w:r>
          </w:p>
        </w:tc>
        <w:tc>
          <w:tcPr>
            <w:tcW w:w="104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контроле</w:t>
            </w: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АД  на</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наличие</w:t>
            </w:r>
            <w:r>
              <w:rPr>
                <w:rFonts w:ascii="Verdana" w:cs="Verdana" w:eastAsia="Verdana" w:hAnsi="Verdana"/>
                <w:sz w:val="17"/>
                <w:szCs w:val="17"/>
                <w:color w:val="auto"/>
              </w:rPr>
              <w:t>,</w:t>
            </w:r>
            <w:r>
              <w:rPr>
                <w:rFonts w:ascii="Verdana" w:cs="Verdana" w:eastAsia="Verdana" w:hAnsi="Verdana"/>
                <w:sz w:val="17"/>
                <w:szCs w:val="17"/>
                <w:color w:val="auto"/>
              </w:rPr>
              <w:t xml:space="preserve"> характер и выраженность боли в</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ЦВБ и ХБП</w:t>
            </w: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уровне</w:t>
            </w:r>
          </w:p>
        </w:tc>
        <w:tc>
          <w:tcPr>
            <w:tcW w:w="160" w:type="dxa"/>
            <w:vAlign w:val="bottom"/>
          </w:tcPr>
          <w:p>
            <w:pPr>
              <w:spacing w:after="0"/>
              <w:rPr>
                <w:sz w:val="14"/>
                <w:szCs w:val="14"/>
                <w:color w:val="auto"/>
              </w:rPr>
            </w:pP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5"/>
              </w:rPr>
              <w:t>целевых</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грудной клетке и одышки при физической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значений</w:t>
            </w:r>
            <w:r>
              <w:rPr>
                <w:rFonts w:ascii="Verdana" w:cs="Verdana" w:eastAsia="Verdana" w:hAnsi="Verdana"/>
                <w:sz w:val="17"/>
                <w:szCs w:val="17"/>
                <w:color w:val="auto"/>
              </w:rPr>
              <w:t>.</w:t>
            </w:r>
          </w:p>
        </w:tc>
        <w:tc>
          <w:tcPr>
            <w:tcW w:w="160" w:type="dxa"/>
            <w:vAlign w:val="bottom"/>
          </w:tcPr>
          <w:p>
            <w:pPr>
              <w:spacing w:after="0"/>
              <w:rPr>
                <w:sz w:val="14"/>
                <w:szCs w:val="14"/>
                <w:color w:val="auto"/>
              </w:rPr>
            </w:pP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При</w:t>
            </w: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нагрузке</w:t>
            </w:r>
            <w:r>
              <w:rPr>
                <w:rFonts w:ascii="Verdana" w:cs="Verdana" w:eastAsia="Verdana" w:hAnsi="Verdana"/>
                <w:sz w:val="17"/>
                <w:szCs w:val="17"/>
                <w:color w:val="auto"/>
              </w:rPr>
              <w:t>,</w:t>
            </w:r>
          </w:p>
        </w:tc>
        <w:tc>
          <w:tcPr>
            <w:tcW w:w="1020" w:type="dxa"/>
            <w:vAlign w:val="bottom"/>
            <w:gridSpan w:val="3"/>
          </w:tcPr>
          <w:p>
            <w:pPr>
              <w:ind w:left="220"/>
              <w:spacing w:after="0" w:line="165" w:lineRule="exact"/>
              <w:rPr>
                <w:sz w:val="20"/>
                <w:szCs w:val="20"/>
                <w:color w:val="auto"/>
              </w:rPr>
            </w:pPr>
            <w:r>
              <w:rPr>
                <w:rFonts w:ascii="Verdana" w:cs="Verdana" w:eastAsia="Verdana" w:hAnsi="Verdana"/>
                <w:sz w:val="17"/>
                <w:szCs w:val="17"/>
                <w:color w:val="auto"/>
                <w:w w:val="95"/>
              </w:rPr>
              <w:t>эпизодов</w:t>
            </w:r>
          </w:p>
        </w:tc>
        <w:tc>
          <w:tcPr>
            <w:tcW w:w="360" w:type="dxa"/>
            <w:vAlign w:val="bottom"/>
          </w:tcPr>
          <w:p>
            <w:pPr>
              <w:spacing w:after="0"/>
              <w:rPr>
                <w:sz w:val="14"/>
                <w:szCs w:val="14"/>
                <w:color w:val="auto"/>
              </w:rPr>
            </w:pPr>
          </w:p>
        </w:tc>
        <w:tc>
          <w:tcPr>
            <w:tcW w:w="17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w w:val="99"/>
              </w:rPr>
              <w:t>кратковременной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стабильном</w:t>
            </w:r>
          </w:p>
        </w:tc>
        <w:tc>
          <w:tcPr>
            <w:tcW w:w="160" w:type="dxa"/>
            <w:vAlign w:val="bottom"/>
          </w:tcPr>
          <w:p>
            <w:pPr>
              <w:spacing w:after="0"/>
              <w:rPr>
                <w:sz w:val="14"/>
                <w:szCs w:val="14"/>
                <w:color w:val="auto"/>
              </w:rPr>
            </w:pP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течении</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слабости в конечностях</w:t>
            </w:r>
            <w:r>
              <w:rPr>
                <w:rFonts w:ascii="Verdana" w:cs="Verdana" w:eastAsia="Verdana" w:hAnsi="Verdana"/>
                <w:sz w:val="17"/>
                <w:szCs w:val="17"/>
                <w:color w:val="auto"/>
              </w:rPr>
              <w:t>,</w:t>
            </w:r>
            <w:r>
              <w:rPr>
                <w:rFonts w:ascii="Verdana" w:cs="Verdana" w:eastAsia="Verdana" w:hAnsi="Verdana"/>
                <w:sz w:val="17"/>
                <w:szCs w:val="17"/>
                <w:color w:val="auto"/>
              </w:rPr>
              <w:t xml:space="preserve"> онемения половины</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возможно наблюдение в</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лица или конечностей</w:t>
            </w:r>
            <w:r>
              <w:rPr>
                <w:rFonts w:ascii="Verdana" w:cs="Verdana" w:eastAsia="Verdana" w:hAnsi="Verdana"/>
                <w:sz w:val="17"/>
                <w:szCs w:val="17"/>
                <w:color w:val="auto"/>
              </w:rPr>
              <w:t>,</w:t>
            </w:r>
            <w:r>
              <w:rPr>
                <w:rFonts w:ascii="Verdana" w:cs="Verdana" w:eastAsia="Verdana" w:hAnsi="Verdana"/>
                <w:sz w:val="17"/>
                <w:szCs w:val="17"/>
                <w:color w:val="auto"/>
              </w:rPr>
              <w:t xml:space="preserve"> об объеме диуреза </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отделении</w:t>
            </w:r>
            <w:r>
              <w:rPr>
                <w:rFonts w:ascii="Verdana" w:cs="Verdana" w:eastAsia="Verdana" w:hAnsi="Verdana"/>
                <w:sz w:val="17"/>
                <w:szCs w:val="17"/>
                <w:color w:val="auto"/>
              </w:rPr>
              <w:t>/</w:t>
            </w:r>
            <w:r>
              <w:rPr>
                <w:rFonts w:ascii="Verdana" w:cs="Verdana" w:eastAsia="Verdana" w:hAnsi="Verdana"/>
                <w:sz w:val="17"/>
                <w:szCs w:val="17"/>
                <w:color w:val="auto"/>
              </w:rPr>
              <w:t>кабинете</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уточнение  факта  и  характера  приема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медицинской</w:t>
            </w: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9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6"/>
              </w:rPr>
              <w:t>антигипертензивных</w:t>
            </w:r>
          </w:p>
        </w:tc>
        <w:tc>
          <w:tcPr>
            <w:tcW w:w="240" w:type="dxa"/>
            <w:vAlign w:val="bottom"/>
          </w:tcPr>
          <w:p>
            <w:pPr>
              <w:spacing w:after="0"/>
              <w:rPr>
                <w:sz w:val="14"/>
                <w:szCs w:val="14"/>
                <w:color w:val="auto"/>
              </w:rPr>
            </w:pPr>
          </w:p>
        </w:tc>
        <w:tc>
          <w:tcPr>
            <w:tcW w:w="1720" w:type="dxa"/>
            <w:vAlign w:val="bottom"/>
            <w:gridSpan w:val="4"/>
          </w:tcPr>
          <w:p>
            <w:pPr>
              <w:jc w:val="right"/>
              <w:ind w:right="397"/>
              <w:spacing w:after="0" w:line="165" w:lineRule="exact"/>
              <w:rPr>
                <w:sz w:val="20"/>
                <w:szCs w:val="20"/>
                <w:color w:val="auto"/>
              </w:rPr>
            </w:pPr>
            <w:r>
              <w:rPr>
                <w:rFonts w:ascii="Verdana" w:cs="Verdana" w:eastAsia="Verdana" w:hAnsi="Verdana"/>
                <w:sz w:val="17"/>
                <w:szCs w:val="17"/>
                <w:color w:val="auto"/>
              </w:rPr>
              <w:t>препаратов</w:t>
            </w:r>
          </w:p>
        </w:tc>
        <w:tc>
          <w:tcPr>
            <w:tcW w:w="3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6"/>
              </w:rPr>
              <w:t>профилактики</w:t>
            </w: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уточнение</w:t>
            </w:r>
          </w:p>
        </w:tc>
        <w:tc>
          <w:tcPr>
            <w:tcW w:w="480" w:type="dxa"/>
            <w:vAlign w:val="bottom"/>
          </w:tcPr>
          <w:p>
            <w:pPr>
              <w:spacing w:after="0"/>
              <w:rPr>
                <w:sz w:val="14"/>
                <w:szCs w:val="14"/>
                <w:color w:val="auto"/>
              </w:rPr>
            </w:pPr>
          </w:p>
        </w:tc>
        <w:tc>
          <w:tcPr>
            <w:tcW w:w="300" w:type="dxa"/>
            <w:vAlign w:val="bottom"/>
          </w:tcPr>
          <w:p>
            <w:pPr>
              <w:spacing w:after="0"/>
              <w:rPr>
                <w:sz w:val="14"/>
                <w:szCs w:val="14"/>
                <w:color w:val="auto"/>
              </w:rPr>
            </w:pPr>
          </w:p>
        </w:tc>
        <w:tc>
          <w:tcPr>
            <w:tcW w:w="60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факта</w:t>
            </w:r>
          </w:p>
        </w:tc>
        <w:tc>
          <w:tcPr>
            <w:tcW w:w="34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приема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 xml:space="preserve">При рефрактерной АГ </w:t>
            </w:r>
            <w:r>
              <w:rPr>
                <w:rFonts w:ascii="Verdana" w:cs="Verdana" w:eastAsia="Verdana" w:hAnsi="Verdana"/>
                <w:sz w:val="17"/>
                <w:szCs w:val="17"/>
                <w:color w:val="auto"/>
              </w:rPr>
              <w:t>I-</w:t>
            </w:r>
          </w:p>
        </w:tc>
        <w:tc>
          <w:tcPr>
            <w:tcW w:w="2180" w:type="dxa"/>
            <w:vAlign w:val="bottom"/>
            <w:gridSpan w:val="5"/>
          </w:tcPr>
          <w:p>
            <w:pPr>
              <w:ind w:left="140"/>
              <w:spacing w:after="0" w:line="165" w:lineRule="exact"/>
              <w:rPr>
                <w:sz w:val="20"/>
                <w:szCs w:val="20"/>
                <w:color w:val="auto"/>
              </w:rPr>
            </w:pPr>
            <w:r>
              <w:rPr>
                <w:rFonts w:ascii="Verdana" w:cs="Verdana" w:eastAsia="Verdana" w:hAnsi="Verdana"/>
                <w:sz w:val="17"/>
                <w:szCs w:val="17"/>
                <w:color w:val="auto"/>
              </w:rPr>
              <w:t>гиполипидемических</w:t>
            </w:r>
            <w:r>
              <w:rPr>
                <w:rFonts w:ascii="Verdana" w:cs="Verdana" w:eastAsia="Verdana" w:hAnsi="Verdana"/>
                <w:sz w:val="17"/>
                <w:szCs w:val="17"/>
                <w:color w:val="auto"/>
              </w:rPr>
              <w:t>,</w:t>
            </w:r>
          </w:p>
        </w:tc>
        <w:tc>
          <w:tcPr>
            <w:tcW w:w="1720" w:type="dxa"/>
            <w:vAlign w:val="bottom"/>
            <w:gridSpan w:val="4"/>
          </w:tcPr>
          <w:p>
            <w:pPr>
              <w:jc w:val="right"/>
              <w:ind w:right="77"/>
              <w:spacing w:after="0" w:line="165" w:lineRule="exact"/>
              <w:rPr>
                <w:sz w:val="20"/>
                <w:szCs w:val="20"/>
                <w:color w:val="auto"/>
              </w:rPr>
            </w:pPr>
            <w:r>
              <w:rPr>
                <w:rFonts w:ascii="Verdana" w:cs="Verdana" w:eastAsia="Verdana" w:hAnsi="Verdana"/>
                <w:sz w:val="17"/>
                <w:szCs w:val="17"/>
                <w:color w:val="auto"/>
              </w:rPr>
              <w:t>антиагрегантных</w:t>
            </w:r>
          </w:p>
        </w:tc>
        <w:tc>
          <w:tcPr>
            <w:tcW w:w="3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ind w:left="140"/>
              <w:spacing w:after="0" w:line="165" w:lineRule="exact"/>
              <w:rPr>
                <w:sz w:val="20"/>
                <w:szCs w:val="20"/>
                <w:color w:val="auto"/>
              </w:rPr>
            </w:pPr>
            <w:r>
              <w:rPr>
                <w:rFonts w:ascii="Verdana" w:cs="Verdana" w:eastAsia="Verdana" w:hAnsi="Verdana"/>
                <w:sz w:val="17"/>
                <w:szCs w:val="17"/>
                <w:color w:val="auto"/>
              </w:rPr>
              <w:t>II</w:t>
            </w:r>
          </w:p>
        </w:tc>
        <w:tc>
          <w:tcPr>
            <w:tcW w:w="880" w:type="dxa"/>
            <w:vAlign w:val="bottom"/>
          </w:tcPr>
          <w:p>
            <w:pPr>
              <w:ind w:left="80"/>
              <w:spacing w:after="0" w:line="165" w:lineRule="exact"/>
              <w:rPr>
                <w:sz w:val="20"/>
                <w:szCs w:val="20"/>
                <w:color w:val="auto"/>
              </w:rPr>
            </w:pPr>
            <w:r>
              <w:rPr>
                <w:rFonts w:ascii="Verdana" w:cs="Verdana" w:eastAsia="Verdana" w:hAnsi="Verdana"/>
                <w:sz w:val="17"/>
                <w:szCs w:val="17"/>
                <w:color w:val="auto"/>
              </w:rPr>
              <w:t>степени</w:t>
            </w:r>
          </w:p>
        </w:tc>
        <w:tc>
          <w:tcPr>
            <w:tcW w:w="160" w:type="dxa"/>
            <w:vAlign w:val="bottom"/>
            <w:vMerge w:val="restart"/>
          </w:tcPr>
          <w:p>
            <w:pPr>
              <w:ind w:left="40"/>
              <w:spacing w:after="0"/>
              <w:rPr>
                <w:sz w:val="20"/>
                <w:szCs w:val="20"/>
                <w:color w:val="auto"/>
              </w:rPr>
            </w:pPr>
            <w:r>
              <w:rPr>
                <w:rFonts w:ascii="Verdana" w:cs="Verdana" w:eastAsia="Verdana" w:hAnsi="Verdana"/>
                <w:sz w:val="17"/>
                <w:szCs w:val="17"/>
                <w:color w:val="auto"/>
                <w:w w:val="98"/>
              </w:rPr>
              <w:t>у</w:t>
            </w: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w w:val="99"/>
              </w:rPr>
              <w:t>пациент</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гипогликемических препаратов при наличии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наблюдается</w:t>
            </w:r>
          </w:p>
        </w:tc>
        <w:tc>
          <w:tcPr>
            <w:tcW w:w="160" w:type="dxa"/>
            <w:vAlign w:val="bottom"/>
            <w:vMerge w:val="continue"/>
          </w:tcPr>
          <w:p>
            <w:pPr>
              <w:spacing w:after="0"/>
              <w:rPr>
                <w:sz w:val="14"/>
                <w:szCs w:val="14"/>
                <w:color w:val="auto"/>
              </w:rPr>
            </w:pP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врача</w:t>
            </w:r>
            <w:r>
              <w:rPr>
                <w:rFonts w:ascii="Verdana" w:cs="Verdana" w:eastAsia="Verdana" w:hAnsi="Verdana"/>
                <w:sz w:val="17"/>
                <w:szCs w:val="17"/>
                <w:color w:val="auto"/>
              </w:rPr>
              <w:t>-</w:t>
            </w: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показаний</w:t>
            </w:r>
          </w:p>
        </w:tc>
        <w:tc>
          <w:tcPr>
            <w:tcW w:w="480" w:type="dxa"/>
            <w:vAlign w:val="bottom"/>
          </w:tcPr>
          <w:p>
            <w:pPr>
              <w:ind w:left="280"/>
              <w:spacing w:after="0" w:line="165" w:lineRule="exact"/>
              <w:rPr>
                <w:sz w:val="20"/>
                <w:szCs w:val="20"/>
                <w:color w:val="auto"/>
              </w:rPr>
            </w:pPr>
            <w:r>
              <w:rPr>
                <w:rFonts w:ascii="Verdana" w:cs="Verdana" w:eastAsia="Verdana" w:hAnsi="Verdana"/>
                <w:sz w:val="17"/>
                <w:szCs w:val="17"/>
                <w:color w:val="auto"/>
              </w:rPr>
              <w:t>—</w:t>
            </w:r>
          </w:p>
        </w:tc>
        <w:tc>
          <w:tcPr>
            <w:tcW w:w="300" w:type="dxa"/>
            <w:vAlign w:val="bottom"/>
          </w:tcPr>
          <w:p>
            <w:pPr>
              <w:spacing w:after="0"/>
              <w:rPr>
                <w:sz w:val="14"/>
                <w:szCs w:val="14"/>
                <w:color w:val="auto"/>
              </w:rPr>
            </w:pPr>
          </w:p>
        </w:tc>
        <w:tc>
          <w:tcPr>
            <w:tcW w:w="60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опрос</w:t>
            </w:r>
          </w:p>
        </w:tc>
        <w:tc>
          <w:tcPr>
            <w:tcW w:w="340" w:type="dxa"/>
            <w:vAlign w:val="bottom"/>
          </w:tcPr>
          <w:p>
            <w:pPr>
              <w:spacing w:after="0"/>
              <w:rPr>
                <w:sz w:val="14"/>
                <w:szCs w:val="14"/>
                <w:color w:val="auto"/>
              </w:rPr>
            </w:pPr>
          </w:p>
        </w:tc>
        <w:tc>
          <w:tcPr>
            <w:tcW w:w="420" w:type="dxa"/>
            <w:vAlign w:val="bottom"/>
          </w:tcPr>
          <w:p>
            <w:pPr>
              <w:jc w:val="right"/>
              <w:ind w:right="197"/>
              <w:spacing w:after="0" w:line="165" w:lineRule="exact"/>
              <w:rPr>
                <w:sz w:val="20"/>
                <w:szCs w:val="20"/>
                <w:color w:val="auto"/>
              </w:rPr>
            </w:pPr>
            <w:r>
              <w:rPr>
                <w:rFonts w:ascii="Verdana" w:cs="Verdana" w:eastAsia="Verdana" w:hAnsi="Verdana"/>
                <w:sz w:val="17"/>
                <w:szCs w:val="17"/>
                <w:color w:val="auto"/>
              </w:rPr>
              <w:t>и</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краткое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кардиолога</w:t>
            </w:r>
            <w:r>
              <w:rPr>
                <w:rFonts w:ascii="Verdana" w:cs="Verdana" w:eastAsia="Verdana" w:hAnsi="Verdana"/>
                <w:sz w:val="17"/>
                <w:szCs w:val="17"/>
                <w:color w:val="auto"/>
              </w:rPr>
              <w:t>;</w:t>
            </w:r>
          </w:p>
        </w:tc>
        <w:tc>
          <w:tcPr>
            <w:tcW w:w="160" w:type="dxa"/>
            <w:vAlign w:val="bottom"/>
          </w:tcPr>
          <w:p>
            <w:pPr>
              <w:spacing w:after="0"/>
              <w:rPr>
                <w:sz w:val="14"/>
                <w:szCs w:val="14"/>
                <w:color w:val="auto"/>
              </w:rPr>
            </w:pP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при</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консультирование   по   поводу   курения</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отсутствии возможности</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характера питания</w:t>
            </w:r>
            <w:r>
              <w:rPr>
                <w:rFonts w:ascii="Verdana" w:cs="Verdana" w:eastAsia="Verdana" w:hAnsi="Verdana"/>
                <w:sz w:val="17"/>
                <w:szCs w:val="17"/>
                <w:color w:val="auto"/>
              </w:rPr>
              <w:t>,</w:t>
            </w:r>
            <w:r>
              <w:rPr>
                <w:rFonts w:ascii="Verdana" w:cs="Verdana" w:eastAsia="Verdana" w:hAnsi="Verdana"/>
                <w:sz w:val="17"/>
                <w:szCs w:val="17"/>
                <w:color w:val="auto"/>
              </w:rPr>
              <w:t xml:space="preserve"> физической активности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наблюдения</w:t>
            </w:r>
          </w:p>
        </w:tc>
        <w:tc>
          <w:tcPr>
            <w:tcW w:w="160" w:type="dxa"/>
            <w:vAlign w:val="bottom"/>
          </w:tcPr>
          <w:p>
            <w:pPr>
              <w:ind w:left="20"/>
              <w:spacing w:after="0" w:line="165" w:lineRule="exact"/>
              <w:rPr>
                <w:sz w:val="20"/>
                <w:szCs w:val="20"/>
                <w:color w:val="auto"/>
              </w:rPr>
            </w:pPr>
            <w:r>
              <w:rPr>
                <w:rFonts w:ascii="Verdana" w:cs="Verdana" w:eastAsia="Verdana" w:hAnsi="Verdana"/>
                <w:sz w:val="17"/>
                <w:szCs w:val="17"/>
                <w:color w:val="auto"/>
              </w:rPr>
              <w:t>у</w:t>
            </w:r>
          </w:p>
        </w:tc>
        <w:tc>
          <w:tcPr>
            <w:tcW w:w="92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врача</w:t>
            </w:r>
            <w:r>
              <w:rPr>
                <w:rFonts w:ascii="Verdana" w:cs="Verdana" w:eastAsia="Verdana" w:hAnsi="Verdana"/>
                <w:sz w:val="17"/>
                <w:szCs w:val="17"/>
                <w:color w:val="auto"/>
              </w:rPr>
              <w:t>-</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измерение АД при каждом посещении</w:t>
            </w:r>
            <w:r>
              <w:rPr>
                <w:rFonts w:ascii="Verdana" w:cs="Verdana" w:eastAsia="Verdana" w:hAnsi="Verdana"/>
                <w:sz w:val="17"/>
                <w:szCs w:val="17"/>
                <w:color w:val="auto"/>
              </w:rPr>
              <w:t xml:space="preserve"> —</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 xml:space="preserve">кардиолога </w:t>
            </w:r>
            <w:r>
              <w:rPr>
                <w:rFonts w:ascii="Verdana" w:cs="Verdana" w:eastAsia="Verdana" w:hAnsi="Verdana"/>
                <w:sz w:val="17"/>
                <w:szCs w:val="17"/>
                <w:color w:val="auto"/>
              </w:rPr>
              <w:t>—</w:t>
            </w:r>
            <w:r>
              <w:rPr>
                <w:rFonts w:ascii="Verdana" w:cs="Verdana" w:eastAsia="Verdana" w:hAnsi="Verdana"/>
                <w:sz w:val="17"/>
                <w:szCs w:val="17"/>
                <w:color w:val="auto"/>
              </w:rPr>
              <w:t xml:space="preserve"> у врача</w:t>
            </w:r>
            <w:r>
              <w:rPr>
                <w:rFonts w:ascii="Verdana" w:cs="Verdana" w:eastAsia="Verdana" w:hAnsi="Verdana"/>
                <w:sz w:val="17"/>
                <w:szCs w:val="17"/>
                <w:color w:val="auto"/>
              </w:rPr>
              <w:t>-</w:t>
            </w: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анализ  данных  ДМАД  </w:t>
            </w:r>
            <w:r>
              <w:rPr>
                <w:rFonts w:ascii="Verdana" w:cs="Verdana" w:eastAsia="Verdana" w:hAnsi="Verdana"/>
                <w:sz w:val="17"/>
                <w:szCs w:val="17"/>
                <w:color w:val="auto"/>
              </w:rPr>
              <w:t>—</w:t>
            </w:r>
            <w:r>
              <w:rPr>
                <w:rFonts w:ascii="Verdana" w:cs="Verdana" w:eastAsia="Verdana" w:hAnsi="Verdana"/>
                <w:sz w:val="17"/>
                <w:szCs w:val="17"/>
                <w:color w:val="auto"/>
              </w:rPr>
              <w:t xml:space="preserve">  общий  осмотр  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2480" w:type="dxa"/>
            <w:vAlign w:val="bottom"/>
            <w:tcBorders>
              <w:right w:val="single" w:sz="8" w:color="auto"/>
            </w:tcBorders>
            <w:gridSpan w:val="4"/>
          </w:tcPr>
          <w:p>
            <w:pPr>
              <w:ind w:left="140"/>
              <w:spacing w:after="0" w:line="165" w:lineRule="exact"/>
              <w:rPr>
                <w:sz w:val="20"/>
                <w:szCs w:val="20"/>
                <w:color w:val="auto"/>
              </w:rPr>
            </w:pPr>
            <w:r>
              <w:rPr>
                <w:rFonts w:ascii="Verdana" w:cs="Verdana" w:eastAsia="Verdana" w:hAnsi="Verdana"/>
                <w:sz w:val="17"/>
                <w:szCs w:val="17"/>
                <w:color w:val="auto"/>
              </w:rPr>
              <w:t>терапевта</w:t>
            </w:r>
            <w:r>
              <w:rPr>
                <w:rFonts w:ascii="Verdana" w:cs="Verdana" w:eastAsia="Verdana" w:hAnsi="Verdana"/>
                <w:sz w:val="17"/>
                <w:szCs w:val="17"/>
                <w:color w:val="auto"/>
              </w:rPr>
              <w:t>/</w:t>
            </w:r>
            <w:r>
              <w:rPr>
                <w:rFonts w:ascii="Verdana" w:cs="Verdana" w:eastAsia="Verdana" w:hAnsi="Verdana"/>
                <w:sz w:val="17"/>
                <w:szCs w:val="17"/>
                <w:color w:val="auto"/>
              </w:rPr>
              <w:t>участкового</w:t>
            </w:r>
          </w:p>
        </w:tc>
        <w:tc>
          <w:tcPr>
            <w:tcW w:w="16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объективное</w:t>
            </w:r>
          </w:p>
        </w:tc>
        <w:tc>
          <w:tcPr>
            <w:tcW w:w="1660" w:type="dxa"/>
            <w:vAlign w:val="bottom"/>
            <w:gridSpan w:val="5"/>
          </w:tcPr>
          <w:p>
            <w:pPr>
              <w:ind w:left="20"/>
              <w:spacing w:after="0" w:line="165" w:lineRule="exact"/>
              <w:rPr>
                <w:sz w:val="20"/>
                <w:szCs w:val="20"/>
                <w:color w:val="auto"/>
              </w:rPr>
            </w:pPr>
            <w:r>
              <w:rPr>
                <w:rFonts w:ascii="Verdana" w:cs="Verdana" w:eastAsia="Verdana" w:hAnsi="Verdana"/>
                <w:sz w:val="17"/>
                <w:szCs w:val="17"/>
                <w:color w:val="auto"/>
              </w:rPr>
              <w:t>обследование</w:t>
            </w:r>
            <w:r>
              <w:rPr>
                <w:rFonts w:ascii="Verdana" w:cs="Verdana" w:eastAsia="Verdana" w:hAnsi="Verdana"/>
                <w:sz w:val="17"/>
                <w:szCs w:val="17"/>
                <w:color w:val="auto"/>
              </w:rPr>
              <w:t>,</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включая</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140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врача</w:t>
            </w:r>
            <w:r>
              <w:rPr>
                <w:rFonts w:ascii="Verdana" w:cs="Verdana" w:eastAsia="Verdana" w:hAnsi="Verdana"/>
                <w:sz w:val="17"/>
                <w:szCs w:val="17"/>
                <w:color w:val="auto"/>
              </w:rPr>
              <w:t>.</w:t>
            </w: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пальпацию</w:t>
            </w:r>
          </w:p>
        </w:tc>
        <w:tc>
          <w:tcPr>
            <w:tcW w:w="1720" w:type="dxa"/>
            <w:vAlign w:val="bottom"/>
            <w:gridSpan w:val="5"/>
          </w:tcPr>
          <w:p>
            <w:pPr>
              <w:ind w:left="200"/>
              <w:spacing w:after="0" w:line="165" w:lineRule="exact"/>
              <w:rPr>
                <w:sz w:val="20"/>
                <w:szCs w:val="20"/>
                <w:color w:val="auto"/>
              </w:rPr>
            </w:pPr>
            <w:r>
              <w:rPr>
                <w:rFonts w:ascii="Verdana" w:cs="Verdana" w:eastAsia="Verdana" w:hAnsi="Verdana"/>
                <w:sz w:val="17"/>
                <w:szCs w:val="17"/>
                <w:color w:val="auto"/>
              </w:rPr>
              <w:t>периферических</w:t>
            </w:r>
          </w:p>
        </w:tc>
        <w:tc>
          <w:tcPr>
            <w:tcW w:w="1020" w:type="dxa"/>
            <w:vAlign w:val="bottom"/>
            <w:gridSpan w:val="2"/>
          </w:tcPr>
          <w:p>
            <w:pPr>
              <w:jc w:val="right"/>
              <w:ind w:right="77"/>
              <w:spacing w:after="0" w:line="165" w:lineRule="exact"/>
              <w:rPr>
                <w:sz w:val="20"/>
                <w:szCs w:val="20"/>
                <w:color w:val="auto"/>
              </w:rPr>
            </w:pPr>
            <w:r>
              <w:rPr>
                <w:rFonts w:ascii="Verdana" w:cs="Verdana" w:eastAsia="Verdana" w:hAnsi="Verdana"/>
                <w:sz w:val="17"/>
                <w:szCs w:val="17"/>
                <w:color w:val="auto"/>
              </w:rPr>
              <w:t>сосудов</w:t>
            </w:r>
          </w:p>
        </w:tc>
        <w:tc>
          <w:tcPr>
            <w:tcW w:w="3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6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аускультацию</w:t>
            </w:r>
          </w:p>
        </w:tc>
        <w:tc>
          <w:tcPr>
            <w:tcW w:w="1660" w:type="dxa"/>
            <w:vAlign w:val="bottom"/>
            <w:gridSpan w:val="5"/>
          </w:tcPr>
          <w:p>
            <w:pPr>
              <w:jc w:val="right"/>
              <w:ind w:right="157"/>
              <w:spacing w:after="0" w:line="165" w:lineRule="exact"/>
              <w:rPr>
                <w:sz w:val="20"/>
                <w:szCs w:val="20"/>
                <w:color w:val="auto"/>
              </w:rPr>
            </w:pPr>
            <w:r>
              <w:rPr>
                <w:rFonts w:ascii="Verdana" w:cs="Verdana" w:eastAsia="Verdana" w:hAnsi="Verdana"/>
                <w:sz w:val="17"/>
                <w:szCs w:val="17"/>
                <w:color w:val="auto"/>
              </w:rPr>
              <w:t>подключичных</w:t>
            </w:r>
            <w:r>
              <w:rPr>
                <w:rFonts w:ascii="Verdana" w:cs="Verdana" w:eastAsia="Verdana" w:hAnsi="Verdana"/>
                <w:sz w:val="17"/>
                <w:szCs w:val="17"/>
                <w:color w:val="auto"/>
              </w:rPr>
              <w:t>,</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сонных</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почечных и бедренных артерий</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измерение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индекса массы тела и окружности талии при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каждом посещении </w:t>
            </w:r>
            <w:r>
              <w:rPr>
                <w:rFonts w:ascii="Verdana" w:cs="Verdana" w:eastAsia="Verdana" w:hAnsi="Verdana"/>
                <w:sz w:val="17"/>
                <w:szCs w:val="17"/>
                <w:color w:val="auto"/>
              </w:rPr>
              <w:t>—</w:t>
            </w:r>
            <w:r>
              <w:rPr>
                <w:rFonts w:ascii="Verdana" w:cs="Verdana" w:eastAsia="Verdana" w:hAnsi="Verdana"/>
                <w:sz w:val="17"/>
                <w:szCs w:val="17"/>
                <w:color w:val="auto"/>
              </w:rPr>
              <w:t xml:space="preserve"> глюкоза плазмы крови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натощак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 </w:t>
            </w:r>
            <w:r>
              <w:rPr>
                <w:rFonts w:ascii="Verdana" w:cs="Verdana" w:eastAsia="Verdana" w:hAnsi="Verdana"/>
                <w:sz w:val="17"/>
                <w:szCs w:val="17"/>
                <w:color w:val="auto"/>
              </w:rPr>
              <w:t>(</w:t>
            </w:r>
            <w:r>
              <w:rPr>
                <w:rFonts w:ascii="Verdana" w:cs="Verdana" w:eastAsia="Verdana" w:hAnsi="Verdana"/>
                <w:sz w:val="17"/>
                <w:szCs w:val="17"/>
                <w:color w:val="auto"/>
              </w:rPr>
              <w:t>допускается</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экспресс</w:t>
            </w:r>
            <w:r>
              <w:rPr>
                <w:rFonts w:ascii="Verdana" w:cs="Verdana" w:eastAsia="Verdana" w:hAnsi="Verdana"/>
                <w:sz w:val="17"/>
                <w:szCs w:val="17"/>
                <w:color w:val="auto"/>
              </w:rPr>
              <w:t>-</w:t>
            </w:r>
            <w:r>
              <w:rPr>
                <w:rFonts w:ascii="Verdana" w:cs="Verdana" w:eastAsia="Verdana" w:hAnsi="Verdana"/>
                <w:sz w:val="17"/>
                <w:szCs w:val="17"/>
                <w:color w:val="auto"/>
              </w:rPr>
              <w:t>метод</w:t>
            </w:r>
            <w:r>
              <w:rPr>
                <w:rFonts w:ascii="Verdana" w:cs="Verdana" w:eastAsia="Verdana" w:hAnsi="Verdana"/>
                <w:sz w:val="17"/>
                <w:szCs w:val="17"/>
                <w:color w:val="auto"/>
              </w:rPr>
              <w:t>)  —</w:t>
            </w:r>
            <w:r>
              <w:rPr>
                <w:rFonts w:ascii="Verdana" w:cs="Verdana" w:eastAsia="Verdana" w:hAnsi="Verdana"/>
                <w:sz w:val="17"/>
                <w:szCs w:val="17"/>
                <w:color w:val="auto"/>
              </w:rPr>
              <w:t xml:space="preserve">  общий  холестерин  не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 </w:t>
            </w:r>
            <w:r>
              <w:rPr>
                <w:rFonts w:ascii="Verdana" w:cs="Verdana" w:eastAsia="Verdana" w:hAnsi="Verdana"/>
                <w:sz w:val="17"/>
                <w:szCs w:val="17"/>
                <w:color w:val="auto"/>
              </w:rPr>
              <w:t>(</w:t>
            </w:r>
            <w:r>
              <w:rPr>
                <w:rFonts w:ascii="Verdana" w:cs="Verdana" w:eastAsia="Verdana" w:hAnsi="Verdana"/>
                <w:sz w:val="17"/>
                <w:szCs w:val="17"/>
                <w:color w:val="auto"/>
              </w:rPr>
              <w:t>допускается экспресс</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метод</w:t>
            </w:r>
            <w:r>
              <w:rPr>
                <w:rFonts w:ascii="Verdana" w:cs="Verdana" w:eastAsia="Verdana" w:hAnsi="Verdana"/>
                <w:sz w:val="17"/>
                <w:szCs w:val="17"/>
                <w:color w:val="auto"/>
              </w:rPr>
              <w:t>)   —</w:t>
            </w:r>
            <w:r>
              <w:rPr>
                <w:rFonts w:ascii="Verdana" w:cs="Verdana" w:eastAsia="Verdana" w:hAnsi="Verdana"/>
                <w:sz w:val="17"/>
                <w:szCs w:val="17"/>
                <w:color w:val="auto"/>
              </w:rPr>
              <w:t xml:space="preserve">   оценкасуммарного   сердечно</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сосудистого  риска  по  шкале  </w:t>
            </w:r>
            <w:r>
              <w:rPr>
                <w:rFonts w:ascii="Verdana" w:cs="Verdana" w:eastAsia="Verdana" w:hAnsi="Verdana"/>
                <w:sz w:val="17"/>
                <w:szCs w:val="17"/>
                <w:color w:val="auto"/>
              </w:rPr>
              <w:t>SCORE  —</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8"/>
              </w:rPr>
              <w:t>холестерин</w:t>
            </w:r>
          </w:p>
        </w:tc>
        <w:tc>
          <w:tcPr>
            <w:tcW w:w="480" w:type="dxa"/>
            <w:vAlign w:val="bottom"/>
          </w:tcPr>
          <w:p>
            <w:pPr>
              <w:spacing w:after="0"/>
              <w:rPr>
                <w:sz w:val="14"/>
                <w:szCs w:val="14"/>
                <w:color w:val="auto"/>
              </w:rPr>
            </w:pPr>
          </w:p>
        </w:tc>
        <w:tc>
          <w:tcPr>
            <w:tcW w:w="1660" w:type="dxa"/>
            <w:vAlign w:val="bottom"/>
            <w:gridSpan w:val="5"/>
          </w:tcPr>
          <w:p>
            <w:pPr>
              <w:ind w:left="20"/>
              <w:spacing w:after="0" w:line="165" w:lineRule="exact"/>
              <w:rPr>
                <w:sz w:val="20"/>
                <w:szCs w:val="20"/>
                <w:color w:val="auto"/>
              </w:rPr>
            </w:pPr>
            <w:r>
              <w:rPr>
                <w:rFonts w:ascii="Verdana" w:cs="Verdana" w:eastAsia="Verdana" w:hAnsi="Verdana"/>
                <w:sz w:val="17"/>
                <w:szCs w:val="17"/>
                <w:color w:val="auto"/>
              </w:rPr>
              <w:t>липопротеинов</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низкой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плотности</w:t>
            </w:r>
            <w:r>
              <w:rPr>
                <w:rFonts w:ascii="Verdana" w:cs="Verdana" w:eastAsia="Verdana" w:hAnsi="Verdana"/>
                <w:sz w:val="17"/>
                <w:szCs w:val="17"/>
                <w:color w:val="auto"/>
              </w:rPr>
              <w:t>,</w:t>
            </w:r>
          </w:p>
        </w:tc>
        <w:tc>
          <w:tcPr>
            <w:tcW w:w="1380" w:type="dxa"/>
            <w:vAlign w:val="bottom"/>
            <w:gridSpan w:val="4"/>
          </w:tcPr>
          <w:p>
            <w:pPr>
              <w:jc w:val="right"/>
              <w:ind w:right="37"/>
              <w:spacing w:after="0" w:line="165" w:lineRule="exact"/>
              <w:rPr>
                <w:sz w:val="20"/>
                <w:szCs w:val="20"/>
                <w:color w:val="auto"/>
              </w:rPr>
            </w:pPr>
            <w:r>
              <w:rPr>
                <w:rFonts w:ascii="Verdana" w:cs="Verdana" w:eastAsia="Verdana" w:hAnsi="Verdana"/>
                <w:sz w:val="17"/>
                <w:szCs w:val="17"/>
                <w:color w:val="auto"/>
              </w:rPr>
              <w:t>холестерин</w:t>
            </w:r>
          </w:p>
        </w:tc>
        <w:tc>
          <w:tcPr>
            <w:tcW w:w="17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липопротеинов</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высокой</w:t>
            </w:r>
          </w:p>
        </w:tc>
        <w:tc>
          <w:tcPr>
            <w:tcW w:w="1020" w:type="dxa"/>
            <w:vAlign w:val="bottom"/>
            <w:gridSpan w:val="3"/>
          </w:tcPr>
          <w:p>
            <w:pPr>
              <w:ind w:left="40"/>
              <w:spacing w:after="0" w:line="165" w:lineRule="exact"/>
              <w:rPr>
                <w:sz w:val="20"/>
                <w:szCs w:val="20"/>
                <w:color w:val="auto"/>
              </w:rPr>
            </w:pPr>
            <w:r>
              <w:rPr>
                <w:rFonts w:ascii="Verdana" w:cs="Verdana" w:eastAsia="Verdana" w:hAnsi="Verdana"/>
                <w:sz w:val="17"/>
                <w:szCs w:val="17"/>
                <w:color w:val="auto"/>
              </w:rPr>
              <w:t>плотности</w:t>
            </w:r>
            <w:r>
              <w:rPr>
                <w:rFonts w:ascii="Verdana" w:cs="Verdana" w:eastAsia="Verdana" w:hAnsi="Verdana"/>
                <w:sz w:val="17"/>
                <w:szCs w:val="17"/>
                <w:color w:val="auto"/>
              </w:rPr>
              <w:t>,</w:t>
            </w:r>
          </w:p>
        </w:tc>
        <w:tc>
          <w:tcPr>
            <w:tcW w:w="1720" w:type="dxa"/>
            <w:vAlign w:val="bottom"/>
            <w:gridSpan w:val="4"/>
          </w:tcPr>
          <w:p>
            <w:pPr>
              <w:jc w:val="right"/>
              <w:ind w:right="137"/>
              <w:spacing w:after="0" w:line="165" w:lineRule="exact"/>
              <w:rPr>
                <w:sz w:val="20"/>
                <w:szCs w:val="20"/>
                <w:color w:val="auto"/>
              </w:rPr>
            </w:pPr>
            <w:r>
              <w:rPr>
                <w:rFonts w:ascii="Verdana" w:cs="Verdana" w:eastAsia="Verdana" w:hAnsi="Verdana"/>
                <w:sz w:val="17"/>
                <w:szCs w:val="17"/>
                <w:color w:val="auto"/>
              </w:rPr>
              <w:t>триглицериды</w:t>
            </w:r>
          </w:p>
        </w:tc>
        <w:tc>
          <w:tcPr>
            <w:tcW w:w="38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сыворотке  при  взятии  под  диспансерное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 </w:t>
            </w:r>
            <w:r>
              <w:rPr>
                <w:rFonts w:ascii="Verdana" w:cs="Verdana" w:eastAsia="Verdana" w:hAnsi="Verdana"/>
                <w:sz w:val="17"/>
                <w:szCs w:val="17"/>
                <w:color w:val="auto"/>
              </w:rPr>
              <w:t>—</w:t>
            </w:r>
            <w:r>
              <w:rPr>
                <w:rFonts w:ascii="Verdana" w:cs="Verdana" w:eastAsia="Verdana" w:hAnsi="Verdana"/>
                <w:sz w:val="17"/>
                <w:szCs w:val="17"/>
                <w:color w:val="auto"/>
              </w:rPr>
              <w:t xml:space="preserve"> калий и натрий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сыворотки  при  взятии  под  диспансерное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 </w:t>
            </w:r>
            <w:r>
              <w:rPr>
                <w:rFonts w:ascii="Verdana" w:cs="Verdana" w:eastAsia="Verdana" w:hAnsi="Verdana"/>
                <w:sz w:val="17"/>
                <w:szCs w:val="17"/>
                <w:color w:val="auto"/>
              </w:rPr>
              <w:t>—</w:t>
            </w:r>
            <w:r>
              <w:rPr>
                <w:rFonts w:ascii="Verdana" w:cs="Verdana" w:eastAsia="Verdana" w:hAnsi="Verdana"/>
                <w:sz w:val="17"/>
                <w:szCs w:val="17"/>
                <w:color w:val="auto"/>
              </w:rPr>
              <w:t xml:space="preserve"> креатинин сыворотки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с   расчетом   СКФ</w:t>
            </w:r>
            <w:r>
              <w:rPr>
                <w:rFonts w:ascii="Verdana" w:cs="Verdana" w:eastAsia="Verdana" w:hAnsi="Verdana"/>
                <w:sz w:val="17"/>
                <w:szCs w:val="17"/>
                <w:color w:val="auto"/>
              </w:rPr>
              <w:t xml:space="preserve">)   </w:t>
            </w:r>
            <w:r>
              <w:rPr>
                <w:rFonts w:ascii="Verdana" w:cs="Verdana" w:eastAsia="Verdana" w:hAnsi="Verdana"/>
                <w:sz w:val="17"/>
                <w:szCs w:val="17"/>
                <w:color w:val="auto"/>
              </w:rPr>
              <w:t>при   взятии   под</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 </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анализ  мочи  на  микроальбуминурию  при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взятии 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3900" w:type="dxa"/>
            <w:vAlign w:val="bottom"/>
            <w:gridSpan w:val="9"/>
          </w:tcPr>
          <w:p>
            <w:pPr>
              <w:ind w:left="140"/>
              <w:spacing w:after="0" w:line="165" w:lineRule="exact"/>
              <w:rPr>
                <w:sz w:val="20"/>
                <w:szCs w:val="20"/>
                <w:color w:val="auto"/>
              </w:rPr>
            </w:pPr>
            <w:r>
              <w:rPr>
                <w:rFonts w:ascii="Verdana" w:cs="Verdana" w:eastAsia="Verdana" w:hAnsi="Verdana"/>
                <w:sz w:val="17"/>
                <w:szCs w:val="17"/>
                <w:color w:val="auto"/>
                <w:w w:val="97"/>
              </w:rPr>
              <w:t>по показаниям</w:t>
            </w:r>
            <w:r>
              <w:rPr>
                <w:rFonts w:ascii="Verdana" w:cs="Verdana" w:eastAsia="Verdana" w:hAnsi="Verdana"/>
                <w:sz w:val="17"/>
                <w:szCs w:val="17"/>
                <w:color w:val="auto"/>
                <w:w w:val="97"/>
              </w:rPr>
              <w:t>,</w:t>
            </w:r>
            <w:r>
              <w:rPr>
                <w:rFonts w:ascii="Verdana" w:cs="Verdana" w:eastAsia="Verdana" w:hAnsi="Verdana"/>
                <w:sz w:val="17"/>
                <w:szCs w:val="17"/>
                <w:color w:val="auto"/>
                <w:w w:val="97"/>
              </w:rPr>
              <w:t xml:space="preserve"> но не реже </w:t>
            </w:r>
            <w:r>
              <w:rPr>
                <w:rFonts w:ascii="Verdana" w:cs="Verdana" w:eastAsia="Verdana" w:hAnsi="Verdana"/>
                <w:sz w:val="17"/>
                <w:szCs w:val="17"/>
                <w:color w:val="auto"/>
                <w:w w:val="97"/>
              </w:rPr>
              <w:t>1</w:t>
            </w:r>
            <w:r>
              <w:rPr>
                <w:rFonts w:ascii="Verdana" w:cs="Verdana" w:eastAsia="Verdana" w:hAnsi="Verdana"/>
                <w:sz w:val="17"/>
                <w:szCs w:val="17"/>
                <w:color w:val="auto"/>
                <w:w w:val="97"/>
              </w:rPr>
              <w:t xml:space="preserve"> раза в </w:t>
            </w:r>
            <w:r>
              <w:rPr>
                <w:rFonts w:ascii="Verdana" w:cs="Verdana" w:eastAsia="Verdana" w:hAnsi="Verdana"/>
                <w:sz w:val="17"/>
                <w:szCs w:val="17"/>
                <w:color w:val="auto"/>
                <w:w w:val="97"/>
              </w:rPr>
              <w:t>2</w:t>
            </w:r>
            <w:r>
              <w:rPr>
                <w:rFonts w:ascii="Verdana" w:cs="Verdana" w:eastAsia="Verdana" w:hAnsi="Verdana"/>
                <w:sz w:val="17"/>
                <w:szCs w:val="17"/>
                <w:color w:val="auto"/>
                <w:w w:val="97"/>
              </w:rPr>
              <w:t xml:space="preserve"> года</w:t>
            </w:r>
          </w:p>
        </w:tc>
        <w:tc>
          <w:tcPr>
            <w:tcW w:w="3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ЭКГ в</w:t>
            </w:r>
            <w:r>
              <w:rPr>
                <w:rFonts w:ascii="Verdana" w:cs="Verdana" w:eastAsia="Verdana" w:hAnsi="Verdana"/>
                <w:sz w:val="17"/>
                <w:szCs w:val="17"/>
                <w:color w:val="auto"/>
              </w:rPr>
              <w:t xml:space="preserve"> 12 </w:t>
            </w:r>
            <w:r>
              <w:rPr>
                <w:rFonts w:ascii="Verdana" w:cs="Verdana" w:eastAsia="Verdana" w:hAnsi="Verdana"/>
                <w:sz w:val="17"/>
                <w:szCs w:val="17"/>
                <w:color w:val="auto"/>
              </w:rPr>
              <w:t>отведениях с расчетом индекса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Соколова</w:t>
            </w:r>
            <w:r>
              <w:rPr>
                <w:rFonts w:ascii="Verdana" w:cs="Verdana" w:eastAsia="Verdana" w:hAnsi="Verdana"/>
                <w:sz w:val="17"/>
                <w:szCs w:val="17"/>
                <w:color w:val="auto"/>
              </w:rPr>
              <w:t>-</w:t>
            </w:r>
            <w:r>
              <w:rPr>
                <w:rFonts w:ascii="Verdana" w:cs="Verdana" w:eastAsia="Verdana" w:hAnsi="Verdana"/>
                <w:sz w:val="17"/>
                <w:szCs w:val="17"/>
                <w:color w:val="auto"/>
              </w:rPr>
              <w:t>Лайона и Корнельского показателя</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9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w w:val="96"/>
              </w:rPr>
              <w:t xml:space="preserve">не реже </w:t>
            </w:r>
            <w:r>
              <w:rPr>
                <w:rFonts w:ascii="Verdana" w:cs="Verdana" w:eastAsia="Verdana" w:hAnsi="Verdana"/>
                <w:sz w:val="17"/>
                <w:szCs w:val="17"/>
                <w:color w:val="auto"/>
                <w:w w:val="96"/>
              </w:rPr>
              <w:t>1</w:t>
            </w:r>
            <w:r>
              <w:rPr>
                <w:rFonts w:ascii="Verdana" w:cs="Verdana" w:eastAsia="Verdana" w:hAnsi="Verdana"/>
                <w:sz w:val="17"/>
                <w:szCs w:val="17"/>
                <w:color w:val="auto"/>
                <w:w w:val="96"/>
              </w:rPr>
              <w:t xml:space="preserve"> раза в год</w:t>
            </w:r>
          </w:p>
        </w:tc>
        <w:tc>
          <w:tcPr>
            <w:tcW w:w="240" w:type="dxa"/>
            <w:vAlign w:val="bottom"/>
          </w:tcPr>
          <w:p>
            <w:pPr>
              <w:spacing w:after="0"/>
              <w:rPr>
                <w:sz w:val="14"/>
                <w:szCs w:val="14"/>
                <w:color w:val="auto"/>
              </w:rPr>
            </w:pPr>
          </w:p>
        </w:tc>
        <w:tc>
          <w:tcPr>
            <w:tcW w:w="360" w:type="dxa"/>
            <w:vAlign w:val="bottom"/>
          </w:tcPr>
          <w:p>
            <w:pPr>
              <w:spacing w:after="0"/>
              <w:rPr>
                <w:sz w:val="14"/>
                <w:szCs w:val="14"/>
                <w:color w:val="auto"/>
              </w:rPr>
            </w:pPr>
          </w:p>
        </w:tc>
        <w:tc>
          <w:tcPr>
            <w:tcW w:w="34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600" w:type="dxa"/>
            <w:vAlign w:val="bottom"/>
          </w:tcPr>
          <w:p>
            <w:pPr>
              <w:spacing w:after="0"/>
              <w:rPr>
                <w:sz w:val="14"/>
                <w:szCs w:val="14"/>
                <w:color w:val="auto"/>
              </w:rPr>
            </w:pPr>
          </w:p>
        </w:tc>
        <w:tc>
          <w:tcPr>
            <w:tcW w:w="38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ЭхоКГ   с   определением   ИММЛЖ   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диастолической  функции  при  взятии  под</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в последующем</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менее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660" w:type="dxa"/>
            <w:vAlign w:val="bottom"/>
          </w:tcPr>
          <w:p>
            <w:pPr>
              <w:ind w:left="140"/>
              <w:spacing w:after="0" w:line="165" w:lineRule="exact"/>
              <w:rPr>
                <w:sz w:val="20"/>
                <w:szCs w:val="20"/>
                <w:color w:val="auto"/>
              </w:rPr>
            </w:pPr>
            <w:r>
              <w:rPr>
                <w:rFonts w:ascii="Verdana" w:cs="Verdana" w:eastAsia="Verdana" w:hAnsi="Verdana"/>
                <w:sz w:val="17"/>
                <w:szCs w:val="17"/>
                <w:color w:val="auto"/>
              </w:rPr>
              <w:t>при</w:t>
            </w:r>
          </w:p>
        </w:tc>
        <w:tc>
          <w:tcPr>
            <w:tcW w:w="1280" w:type="dxa"/>
            <w:vAlign w:val="bottom"/>
            <w:gridSpan w:val="3"/>
          </w:tcPr>
          <w:p>
            <w:pPr>
              <w:ind w:left="120"/>
              <w:spacing w:after="0" w:line="165" w:lineRule="exact"/>
              <w:rPr>
                <w:sz w:val="20"/>
                <w:szCs w:val="20"/>
                <w:color w:val="auto"/>
              </w:rPr>
            </w:pPr>
            <w:r>
              <w:rPr>
                <w:rFonts w:ascii="Verdana" w:cs="Verdana" w:eastAsia="Verdana" w:hAnsi="Verdana"/>
                <w:sz w:val="17"/>
                <w:szCs w:val="17"/>
                <w:color w:val="auto"/>
              </w:rPr>
              <w:t>отсутствии</w:t>
            </w:r>
          </w:p>
        </w:tc>
        <w:tc>
          <w:tcPr>
            <w:tcW w:w="1360" w:type="dxa"/>
            <w:vAlign w:val="bottom"/>
            <w:gridSpan w:val="4"/>
          </w:tcPr>
          <w:p>
            <w:pPr>
              <w:jc w:val="right"/>
              <w:ind w:right="177"/>
              <w:spacing w:after="0" w:line="165" w:lineRule="exact"/>
              <w:rPr>
                <w:sz w:val="20"/>
                <w:szCs w:val="20"/>
                <w:color w:val="auto"/>
              </w:rPr>
            </w:pPr>
            <w:r>
              <w:rPr>
                <w:rFonts w:ascii="Verdana" w:cs="Verdana" w:eastAsia="Verdana" w:hAnsi="Verdana"/>
                <w:sz w:val="17"/>
                <w:szCs w:val="17"/>
                <w:color w:val="auto"/>
              </w:rPr>
              <w:t>достижения</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целевых</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значений   АД   и   наличии   признаков</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9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прогрессирования</w:t>
            </w:r>
          </w:p>
        </w:tc>
        <w:tc>
          <w:tcPr>
            <w:tcW w:w="1360" w:type="dxa"/>
            <w:vAlign w:val="bottom"/>
            <w:gridSpan w:val="4"/>
          </w:tcPr>
          <w:p>
            <w:pPr>
              <w:jc w:val="right"/>
              <w:ind w:right="37"/>
              <w:spacing w:after="0" w:line="165" w:lineRule="exact"/>
              <w:rPr>
                <w:sz w:val="20"/>
                <w:szCs w:val="20"/>
                <w:color w:val="auto"/>
              </w:rPr>
            </w:pPr>
            <w:r>
              <w:rPr>
                <w:rFonts w:ascii="Verdana" w:cs="Verdana" w:eastAsia="Verdana" w:hAnsi="Verdana"/>
                <w:sz w:val="17"/>
                <w:szCs w:val="17"/>
                <w:color w:val="auto"/>
              </w:rPr>
              <w:t>гипертрофии</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левого</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желудочка  по  данным  расчета  индекса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9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Соколова</w:t>
            </w:r>
            <w:r>
              <w:rPr>
                <w:rFonts w:ascii="Verdana" w:cs="Verdana" w:eastAsia="Verdana" w:hAnsi="Verdana"/>
                <w:sz w:val="17"/>
                <w:szCs w:val="17"/>
                <w:color w:val="auto"/>
              </w:rPr>
              <w:t>–</w:t>
            </w:r>
            <w:r>
              <w:rPr>
                <w:rFonts w:ascii="Verdana" w:cs="Verdana" w:eastAsia="Verdana" w:hAnsi="Verdana"/>
                <w:sz w:val="17"/>
                <w:szCs w:val="17"/>
                <w:color w:val="auto"/>
              </w:rPr>
              <w:t>Лайона</w:t>
            </w:r>
          </w:p>
        </w:tc>
        <w:tc>
          <w:tcPr>
            <w:tcW w:w="240" w:type="dxa"/>
            <w:vAlign w:val="bottom"/>
          </w:tcPr>
          <w:p>
            <w:pPr>
              <w:spacing w:after="0"/>
              <w:rPr>
                <w:sz w:val="14"/>
                <w:szCs w:val="14"/>
                <w:color w:val="auto"/>
              </w:rPr>
            </w:pPr>
          </w:p>
        </w:tc>
        <w:tc>
          <w:tcPr>
            <w:tcW w:w="360" w:type="dxa"/>
            <w:vAlign w:val="bottom"/>
          </w:tcPr>
          <w:p>
            <w:pPr>
              <w:jc w:val="right"/>
              <w:ind w:right="157"/>
              <w:spacing w:after="0" w:line="165" w:lineRule="exact"/>
              <w:rPr>
                <w:sz w:val="20"/>
                <w:szCs w:val="20"/>
                <w:color w:val="auto"/>
              </w:rPr>
            </w:pPr>
            <w:r>
              <w:rPr>
                <w:rFonts w:ascii="Verdana" w:cs="Verdana" w:eastAsia="Verdana" w:hAnsi="Verdana"/>
                <w:sz w:val="17"/>
                <w:szCs w:val="17"/>
                <w:color w:val="auto"/>
                <w:w w:val="90"/>
              </w:rPr>
              <w:t>и</w:t>
            </w:r>
          </w:p>
        </w:tc>
        <w:tc>
          <w:tcPr>
            <w:tcW w:w="17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Корнелльского</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1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показателя</w:t>
            </w:r>
          </w:p>
        </w:tc>
        <w:tc>
          <w:tcPr>
            <w:tcW w:w="480" w:type="dxa"/>
            <w:vAlign w:val="bottom"/>
          </w:tcPr>
          <w:p>
            <w:pPr>
              <w:ind w:left="160"/>
              <w:spacing w:after="0" w:line="165" w:lineRule="exact"/>
              <w:rPr>
                <w:sz w:val="20"/>
                <w:szCs w:val="20"/>
                <w:color w:val="auto"/>
              </w:rPr>
            </w:pPr>
            <w:r>
              <w:rPr>
                <w:rFonts w:ascii="Verdana" w:cs="Verdana" w:eastAsia="Verdana" w:hAnsi="Verdana"/>
                <w:sz w:val="17"/>
                <w:szCs w:val="17"/>
                <w:color w:val="auto"/>
              </w:rPr>
              <w:t>—</w:t>
            </w:r>
          </w:p>
        </w:tc>
        <w:tc>
          <w:tcPr>
            <w:tcW w:w="1240" w:type="dxa"/>
            <w:vAlign w:val="bottom"/>
            <w:gridSpan w:val="4"/>
          </w:tcPr>
          <w:p>
            <w:pPr>
              <w:ind w:left="60"/>
              <w:spacing w:after="0" w:line="165" w:lineRule="exact"/>
              <w:rPr>
                <w:sz w:val="20"/>
                <w:szCs w:val="20"/>
                <w:color w:val="auto"/>
              </w:rPr>
            </w:pPr>
            <w:r>
              <w:rPr>
                <w:rFonts w:ascii="Verdana" w:cs="Verdana" w:eastAsia="Verdana" w:hAnsi="Verdana"/>
                <w:sz w:val="17"/>
                <w:szCs w:val="17"/>
                <w:color w:val="auto"/>
              </w:rPr>
              <w:t>дуплексное</w:t>
            </w:r>
          </w:p>
        </w:tc>
        <w:tc>
          <w:tcPr>
            <w:tcW w:w="14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6"/>
              </w:rPr>
              <w:t>сканирование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сонных артерий у мужчин старше </w:t>
            </w:r>
            <w:r>
              <w:rPr>
                <w:rFonts w:ascii="Verdana" w:cs="Verdana" w:eastAsia="Verdana" w:hAnsi="Verdana"/>
                <w:sz w:val="17"/>
                <w:szCs w:val="17"/>
                <w:color w:val="auto"/>
              </w:rPr>
              <w:t>40</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женщин старше </w:t>
            </w:r>
            <w:r>
              <w:rPr>
                <w:rFonts w:ascii="Verdana" w:cs="Verdana" w:eastAsia="Verdana" w:hAnsi="Verdana"/>
                <w:sz w:val="17"/>
                <w:szCs w:val="17"/>
                <w:color w:val="auto"/>
              </w:rPr>
              <w:t>50</w:t>
            </w:r>
            <w:r>
              <w:rPr>
                <w:rFonts w:ascii="Verdana" w:cs="Verdana" w:eastAsia="Verdana" w:hAnsi="Verdana"/>
                <w:sz w:val="17"/>
                <w:szCs w:val="17"/>
                <w:color w:val="auto"/>
              </w:rPr>
              <w:t xml:space="preserve"> лет при ИМТ</w:t>
            </w:r>
            <w:r>
              <w:rPr>
                <w:rFonts w:ascii="Verdana" w:cs="Verdana" w:eastAsia="Verdana" w:hAnsi="Verdana"/>
                <w:sz w:val="17"/>
                <w:szCs w:val="17"/>
                <w:color w:val="auto"/>
              </w:rPr>
              <w:t>&gt;30</w:t>
            </w:r>
            <w:r>
              <w:rPr>
                <w:rFonts w:ascii="Verdana" w:cs="Verdana" w:eastAsia="Verdana" w:hAnsi="Verdana"/>
                <w:sz w:val="17"/>
                <w:szCs w:val="17"/>
                <w:color w:val="auto"/>
              </w:rPr>
              <w:t xml:space="preserve"> кг</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17"/>
                <w:szCs w:val="17"/>
                <w:color w:val="auto"/>
              </w:rPr>
              <w:t>2</w:t>
            </w:r>
            <w:r>
              <w:rPr>
                <w:rFonts w:ascii="Verdana" w:cs="Verdana" w:eastAsia="Verdana" w:hAnsi="Verdana"/>
                <w:sz w:val="17"/>
                <w:szCs w:val="17"/>
                <w:color w:val="auto"/>
              </w:rPr>
              <w:t xml:space="preserve"> 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более и общем холестерине </w:t>
            </w:r>
            <w:r>
              <w:rPr>
                <w:rFonts w:ascii="Verdana" w:cs="Verdana" w:eastAsia="Verdana" w:hAnsi="Verdana"/>
                <w:sz w:val="17"/>
                <w:szCs w:val="17"/>
                <w:color w:val="auto"/>
              </w:rPr>
              <w:t>&gt;5</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более   при   взятии   под   диспансерное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 в </w:t>
            </w:r>
            <w:r>
              <w:rPr>
                <w:rFonts w:ascii="Verdana" w:cs="Verdana" w:eastAsia="Verdana" w:hAnsi="Verdana"/>
                <w:sz w:val="17"/>
                <w:szCs w:val="17"/>
                <w:color w:val="auto"/>
              </w:rPr>
              <w:t>3</w:t>
            </w:r>
            <w:r>
              <w:rPr>
                <w:rFonts w:ascii="Verdana" w:cs="Verdana" w:eastAsia="Verdana" w:hAnsi="Verdana"/>
                <w:sz w:val="17"/>
                <w:szCs w:val="17"/>
                <w:color w:val="auto"/>
              </w:rPr>
              <w:t xml:space="preserve"> года с целью определения</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660" w:type="dxa"/>
            <w:vAlign w:val="bottom"/>
          </w:tcPr>
          <w:p>
            <w:pPr>
              <w:ind w:left="140"/>
              <w:spacing w:after="0" w:line="165" w:lineRule="exact"/>
              <w:rPr>
                <w:sz w:val="20"/>
                <w:szCs w:val="20"/>
                <w:color w:val="auto"/>
              </w:rPr>
            </w:pPr>
            <w:r>
              <w:rPr>
                <w:rFonts w:ascii="Verdana" w:cs="Verdana" w:eastAsia="Verdana" w:hAnsi="Verdana"/>
                <w:sz w:val="17"/>
                <w:szCs w:val="17"/>
                <w:color w:val="auto"/>
              </w:rPr>
              <w:t>ТИМ</w:t>
            </w:r>
          </w:p>
        </w:tc>
        <w:tc>
          <w:tcPr>
            <w:tcW w:w="500" w:type="dxa"/>
            <w:vAlign w:val="bottom"/>
          </w:tcPr>
          <w:p>
            <w:pPr>
              <w:ind w:left="160"/>
              <w:spacing w:after="0" w:line="165" w:lineRule="exact"/>
              <w:rPr>
                <w:sz w:val="20"/>
                <w:szCs w:val="20"/>
                <w:color w:val="auto"/>
              </w:rPr>
            </w:pPr>
            <w:r>
              <w:rPr>
                <w:rFonts w:ascii="Verdana" w:cs="Verdana" w:eastAsia="Verdana" w:hAnsi="Verdana"/>
                <w:sz w:val="17"/>
                <w:szCs w:val="17"/>
                <w:color w:val="auto"/>
              </w:rPr>
              <w:t>и</w:t>
            </w:r>
          </w:p>
        </w:tc>
        <w:tc>
          <w:tcPr>
            <w:tcW w:w="780" w:type="dxa"/>
            <w:vAlign w:val="bottom"/>
            <w:gridSpan w:val="2"/>
          </w:tcPr>
          <w:p>
            <w:pPr>
              <w:ind w:left="60"/>
              <w:spacing w:after="0" w:line="165" w:lineRule="exact"/>
              <w:rPr>
                <w:sz w:val="20"/>
                <w:szCs w:val="20"/>
                <w:color w:val="auto"/>
              </w:rPr>
            </w:pPr>
            <w:r>
              <w:rPr>
                <w:rFonts w:ascii="Verdana" w:cs="Verdana" w:eastAsia="Verdana" w:hAnsi="Verdana"/>
                <w:sz w:val="17"/>
                <w:szCs w:val="17"/>
                <w:color w:val="auto"/>
                <w:w w:val="94"/>
              </w:rPr>
              <w:t>наличия</w:t>
            </w:r>
          </w:p>
        </w:tc>
        <w:tc>
          <w:tcPr>
            <w:tcW w:w="240" w:type="dxa"/>
            <w:vAlign w:val="bottom"/>
          </w:tcPr>
          <w:p>
            <w:pPr>
              <w:spacing w:after="0"/>
              <w:rPr>
                <w:sz w:val="14"/>
                <w:szCs w:val="14"/>
                <w:color w:val="auto"/>
              </w:rPr>
            </w:pPr>
          </w:p>
        </w:tc>
        <w:tc>
          <w:tcPr>
            <w:tcW w:w="2100" w:type="dxa"/>
            <w:vAlign w:val="bottom"/>
            <w:tcBorders>
              <w:right w:val="single" w:sz="8" w:color="auto"/>
            </w:tcBorders>
            <w:gridSpan w:val="5"/>
          </w:tcPr>
          <w:p>
            <w:pPr>
              <w:jc w:val="right"/>
              <w:ind w:right="97"/>
              <w:spacing w:after="0" w:line="165" w:lineRule="exact"/>
              <w:rPr>
                <w:sz w:val="20"/>
                <w:szCs w:val="20"/>
                <w:color w:val="auto"/>
              </w:rPr>
            </w:pPr>
            <w:r>
              <w:rPr>
                <w:rFonts w:ascii="Verdana" w:cs="Verdana" w:eastAsia="Verdana" w:hAnsi="Verdana"/>
                <w:sz w:val="17"/>
                <w:szCs w:val="17"/>
                <w:color w:val="auto"/>
                <w:w w:val="99"/>
              </w:rPr>
              <w:t>атеросклеротических</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бляшек</w:t>
            </w:r>
            <w:r>
              <w:rPr>
                <w:rFonts w:ascii="Verdana" w:cs="Verdana" w:eastAsia="Verdana" w:hAnsi="Verdana"/>
                <w:sz w:val="17"/>
                <w:szCs w:val="17"/>
                <w:color w:val="auto"/>
              </w:rPr>
              <w:t>* —</w:t>
            </w:r>
            <w:r>
              <w:rPr>
                <w:rFonts w:ascii="Verdana" w:cs="Verdana" w:eastAsia="Verdana" w:hAnsi="Verdana"/>
                <w:sz w:val="17"/>
                <w:szCs w:val="17"/>
                <w:color w:val="auto"/>
              </w:rPr>
              <w:t xml:space="preserve"> измерение скорости пульсовой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волны  на  каротидно</w:t>
            </w:r>
            <w:r>
              <w:rPr>
                <w:rFonts w:ascii="Verdana" w:cs="Verdana" w:eastAsia="Verdana" w:hAnsi="Verdana"/>
                <w:sz w:val="17"/>
                <w:szCs w:val="17"/>
                <w:color w:val="auto"/>
              </w:rPr>
              <w:t>-</w:t>
            </w:r>
            <w:r>
              <w:rPr>
                <w:rFonts w:ascii="Verdana" w:cs="Verdana" w:eastAsia="Verdana" w:hAnsi="Verdana"/>
                <w:sz w:val="17"/>
                <w:szCs w:val="17"/>
                <w:color w:val="auto"/>
              </w:rPr>
              <w:t>феморальном  участке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артериального   русла   при   взятии   под</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в последующем</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3</w:t>
            </w:r>
            <w:r>
              <w:rPr>
                <w:rFonts w:ascii="Verdana" w:cs="Verdana" w:eastAsia="Verdana" w:hAnsi="Verdana"/>
                <w:sz w:val="17"/>
                <w:szCs w:val="17"/>
                <w:color w:val="auto"/>
              </w:rPr>
              <w:t xml:space="preserve"> года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660" w:type="dxa"/>
            <w:vAlign w:val="bottom"/>
          </w:tcPr>
          <w:p>
            <w:pPr>
              <w:ind w:left="140"/>
              <w:spacing w:after="0" w:line="165" w:lineRule="exact"/>
              <w:rPr>
                <w:sz w:val="20"/>
                <w:szCs w:val="20"/>
                <w:color w:val="auto"/>
              </w:rPr>
            </w:pPr>
            <w:r>
              <w:rPr>
                <w:rFonts w:ascii="Verdana" w:cs="Verdana" w:eastAsia="Verdana" w:hAnsi="Verdana"/>
                <w:sz w:val="17"/>
                <w:szCs w:val="17"/>
                <w:color w:val="auto"/>
              </w:rPr>
              <w:t>при</w:t>
            </w:r>
          </w:p>
        </w:tc>
        <w:tc>
          <w:tcPr>
            <w:tcW w:w="1280" w:type="dxa"/>
            <w:vAlign w:val="bottom"/>
            <w:gridSpan w:val="3"/>
          </w:tcPr>
          <w:p>
            <w:pPr>
              <w:ind w:left="120"/>
              <w:spacing w:after="0" w:line="165" w:lineRule="exact"/>
              <w:rPr>
                <w:sz w:val="20"/>
                <w:szCs w:val="20"/>
                <w:color w:val="auto"/>
              </w:rPr>
            </w:pPr>
            <w:r>
              <w:rPr>
                <w:rFonts w:ascii="Verdana" w:cs="Verdana" w:eastAsia="Verdana" w:hAnsi="Verdana"/>
                <w:sz w:val="17"/>
                <w:szCs w:val="17"/>
                <w:color w:val="auto"/>
              </w:rPr>
              <w:t>отсутствии</w:t>
            </w:r>
          </w:p>
        </w:tc>
        <w:tc>
          <w:tcPr>
            <w:tcW w:w="1360" w:type="dxa"/>
            <w:vAlign w:val="bottom"/>
            <w:gridSpan w:val="4"/>
          </w:tcPr>
          <w:p>
            <w:pPr>
              <w:jc w:val="right"/>
              <w:ind w:right="177"/>
              <w:spacing w:after="0" w:line="165" w:lineRule="exact"/>
              <w:rPr>
                <w:sz w:val="20"/>
                <w:szCs w:val="20"/>
                <w:color w:val="auto"/>
              </w:rPr>
            </w:pPr>
            <w:r>
              <w:rPr>
                <w:rFonts w:ascii="Verdana" w:cs="Verdana" w:eastAsia="Verdana" w:hAnsi="Verdana"/>
                <w:sz w:val="17"/>
                <w:szCs w:val="17"/>
                <w:color w:val="auto"/>
              </w:rPr>
              <w:t>достижения</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целевых</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3300" w:type="dxa"/>
            <w:vAlign w:val="bottom"/>
            <w:gridSpan w:val="8"/>
          </w:tcPr>
          <w:p>
            <w:pPr>
              <w:ind w:left="140"/>
              <w:spacing w:after="0" w:line="165" w:lineRule="exact"/>
              <w:rPr>
                <w:sz w:val="20"/>
                <w:szCs w:val="20"/>
                <w:color w:val="auto"/>
              </w:rPr>
            </w:pPr>
            <w:r>
              <w:rPr>
                <w:rFonts w:ascii="Verdana" w:cs="Verdana" w:eastAsia="Verdana" w:hAnsi="Verdana"/>
                <w:sz w:val="17"/>
                <w:szCs w:val="17"/>
                <w:color w:val="auto"/>
              </w:rPr>
              <w:t>значений  АД</w:t>
            </w:r>
            <w:r>
              <w:rPr>
                <w:rFonts w:ascii="Verdana" w:cs="Verdana" w:eastAsia="Verdana" w:hAnsi="Verdana"/>
                <w:sz w:val="17"/>
                <w:szCs w:val="17"/>
                <w:color w:val="auto"/>
              </w:rPr>
              <w:t>*  —</w:t>
            </w:r>
            <w:r>
              <w:rPr>
                <w:rFonts w:ascii="Verdana" w:cs="Verdana" w:eastAsia="Verdana" w:hAnsi="Verdana"/>
                <w:sz w:val="17"/>
                <w:szCs w:val="17"/>
                <w:color w:val="auto"/>
              </w:rPr>
              <w:t xml:space="preserve">  корректировка</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терапии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6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при</w:t>
            </w:r>
          </w:p>
        </w:tc>
        <w:tc>
          <w:tcPr>
            <w:tcW w:w="1880" w:type="dxa"/>
            <w:vAlign w:val="bottom"/>
            <w:gridSpan w:val="5"/>
          </w:tcPr>
          <w:p>
            <w:pPr>
              <w:jc w:val="right"/>
              <w:ind w:right="217"/>
              <w:spacing w:after="0" w:line="165" w:lineRule="exact"/>
              <w:rPr>
                <w:sz w:val="20"/>
                <w:szCs w:val="20"/>
                <w:color w:val="auto"/>
              </w:rPr>
            </w:pPr>
            <w:r>
              <w:rPr>
                <w:rFonts w:ascii="Verdana" w:cs="Verdana" w:eastAsia="Verdana" w:hAnsi="Verdana"/>
                <w:sz w:val="17"/>
                <w:szCs w:val="17"/>
                <w:color w:val="auto"/>
              </w:rPr>
              <w:t>необходимости</w:t>
            </w:r>
            <w:r>
              <w:rPr>
                <w:rFonts w:ascii="Verdana" w:cs="Verdana" w:eastAsia="Verdana" w:hAnsi="Verdana"/>
                <w:sz w:val="17"/>
                <w:szCs w:val="17"/>
                <w:color w:val="auto"/>
              </w:rPr>
              <w:t>)</w:t>
            </w:r>
          </w:p>
        </w:tc>
        <w:tc>
          <w:tcPr>
            <w:tcW w:w="340" w:type="dxa"/>
            <w:vAlign w:val="bottom"/>
          </w:tcPr>
          <w:p>
            <w:pPr>
              <w:ind w:left="40"/>
              <w:spacing w:after="0" w:line="165" w:lineRule="exact"/>
              <w:rPr>
                <w:sz w:val="20"/>
                <w:szCs w:val="20"/>
                <w:color w:val="auto"/>
              </w:rPr>
            </w:pPr>
            <w:r>
              <w:rPr>
                <w:rFonts w:ascii="Verdana" w:cs="Verdana" w:eastAsia="Verdana" w:hAnsi="Verdana"/>
                <w:sz w:val="17"/>
                <w:szCs w:val="17"/>
                <w:color w:val="auto"/>
              </w:rPr>
              <w:t>—</w:t>
            </w:r>
          </w:p>
        </w:tc>
        <w:tc>
          <w:tcPr>
            <w:tcW w:w="14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объяснение</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пациенту и</w:t>
            </w:r>
            <w:r>
              <w:rPr>
                <w:rFonts w:ascii="Verdana" w:cs="Verdana" w:eastAsia="Verdana" w:hAnsi="Verdana"/>
                <w:sz w:val="17"/>
                <w:szCs w:val="17"/>
                <w:color w:val="auto"/>
              </w:rPr>
              <w:t>/</w:t>
            </w:r>
            <w:r>
              <w:rPr>
                <w:rFonts w:ascii="Verdana" w:cs="Verdana" w:eastAsia="Verdana" w:hAnsi="Verdana"/>
                <w:sz w:val="17"/>
                <w:szCs w:val="17"/>
                <w:color w:val="auto"/>
              </w:rPr>
              <w:t>или обеспечение его памяткой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по  алгоритму  неотложных  действий  при</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19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жизнеугрожающем</w:t>
            </w:r>
          </w:p>
        </w:tc>
        <w:tc>
          <w:tcPr>
            <w:tcW w:w="940" w:type="dxa"/>
            <w:vAlign w:val="bottom"/>
            <w:gridSpan w:val="3"/>
          </w:tcPr>
          <w:p>
            <w:pPr>
              <w:spacing w:after="0" w:line="165" w:lineRule="exact"/>
              <w:rPr>
                <w:sz w:val="20"/>
                <w:szCs w:val="20"/>
                <w:color w:val="auto"/>
              </w:rPr>
            </w:pPr>
            <w:r>
              <w:rPr>
                <w:rFonts w:ascii="Verdana" w:cs="Verdana" w:eastAsia="Verdana" w:hAnsi="Verdana"/>
                <w:sz w:val="17"/>
                <w:szCs w:val="17"/>
                <w:color w:val="auto"/>
                <w:w w:val="95"/>
              </w:rPr>
              <w:t>состоянии</w:t>
            </w:r>
            <w:r>
              <w:rPr>
                <w:rFonts w:ascii="Verdana" w:cs="Verdana" w:eastAsia="Verdana" w:hAnsi="Verdana"/>
                <w:sz w:val="17"/>
                <w:szCs w:val="17"/>
                <w:color w:val="auto"/>
                <w:w w:val="95"/>
              </w:rPr>
              <w:t>,</w:t>
            </w:r>
          </w:p>
        </w:tc>
        <w:tc>
          <w:tcPr>
            <w:tcW w:w="140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вероятность</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tcPr>
          <w:p>
            <w:pPr>
              <w:spacing w:after="0"/>
              <w:rPr>
                <w:sz w:val="14"/>
                <w:szCs w:val="14"/>
                <w:color w:val="auto"/>
              </w:rPr>
            </w:pPr>
          </w:p>
        </w:tc>
        <w:tc>
          <w:tcPr>
            <w:tcW w:w="520" w:type="dxa"/>
            <w:vAlign w:val="bottom"/>
          </w:tcPr>
          <w:p>
            <w:pPr>
              <w:spacing w:after="0"/>
              <w:rPr>
                <w:sz w:val="14"/>
                <w:szCs w:val="14"/>
                <w:color w:val="auto"/>
              </w:rPr>
            </w:pPr>
          </w:p>
        </w:tc>
        <w:tc>
          <w:tcPr>
            <w:tcW w:w="880" w:type="dxa"/>
            <w:vAlign w:val="bottom"/>
          </w:tcPr>
          <w:p>
            <w:pPr>
              <w:spacing w:after="0"/>
              <w:rPr>
                <w:sz w:val="14"/>
                <w:szCs w:val="14"/>
                <w:color w:val="auto"/>
              </w:rPr>
            </w:pPr>
          </w:p>
        </w:tc>
        <w:tc>
          <w:tcPr>
            <w:tcW w:w="160" w:type="dxa"/>
            <w:vAlign w:val="bottom"/>
          </w:tcPr>
          <w:p>
            <w:pPr>
              <w:spacing w:after="0"/>
              <w:rPr>
                <w:sz w:val="14"/>
                <w:szCs w:val="14"/>
                <w:color w:val="auto"/>
              </w:rPr>
            </w:pPr>
          </w:p>
        </w:tc>
        <w:tc>
          <w:tcPr>
            <w:tcW w:w="92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10"/>
          </w:tcPr>
          <w:p>
            <w:pPr>
              <w:ind w:left="140"/>
              <w:spacing w:after="0" w:line="165" w:lineRule="exact"/>
              <w:rPr>
                <w:sz w:val="20"/>
                <w:szCs w:val="20"/>
                <w:color w:val="auto"/>
              </w:rPr>
            </w:pPr>
            <w:r>
              <w:rPr>
                <w:rFonts w:ascii="Verdana" w:cs="Verdana" w:eastAsia="Verdana" w:hAnsi="Verdana"/>
                <w:sz w:val="17"/>
                <w:szCs w:val="17"/>
                <w:color w:val="auto"/>
              </w:rPr>
              <w:t>развития  которого  у  пациента  наиболее</w:t>
            </w:r>
          </w:p>
        </w:tc>
        <w:tc>
          <w:tcPr>
            <w:tcW w:w="0" w:type="dxa"/>
            <w:vAlign w:val="bottom"/>
          </w:tcPr>
          <w:p>
            <w:pPr>
              <w:spacing w:after="0"/>
              <w:rPr>
                <w:sz w:val="1"/>
                <w:szCs w:val="1"/>
                <w:color w:val="auto"/>
              </w:rPr>
            </w:pPr>
          </w:p>
        </w:tc>
      </w:tr>
      <w:tr>
        <w:trPr>
          <w:trHeight w:val="220"/>
        </w:trPr>
        <w:tc>
          <w:tcPr>
            <w:tcW w:w="1700" w:type="dxa"/>
            <w:vAlign w:val="bottom"/>
            <w:tcBorders>
              <w:left w:val="single" w:sz="8" w:color="auto"/>
              <w:right w:val="single" w:sz="8" w:color="auto"/>
            </w:tcBorders>
          </w:tcPr>
          <w:p>
            <w:pPr>
              <w:spacing w:after="0"/>
              <w:rPr>
                <w:sz w:val="19"/>
                <w:szCs w:val="19"/>
                <w:color w:val="auto"/>
              </w:rPr>
            </w:pPr>
          </w:p>
        </w:tc>
        <w:tc>
          <w:tcPr>
            <w:tcW w:w="520" w:type="dxa"/>
            <w:vAlign w:val="bottom"/>
          </w:tcPr>
          <w:p>
            <w:pPr>
              <w:spacing w:after="0"/>
              <w:rPr>
                <w:sz w:val="19"/>
                <w:szCs w:val="19"/>
                <w:color w:val="auto"/>
              </w:rPr>
            </w:pPr>
          </w:p>
        </w:tc>
        <w:tc>
          <w:tcPr>
            <w:tcW w:w="880" w:type="dxa"/>
            <w:vAlign w:val="bottom"/>
          </w:tcPr>
          <w:p>
            <w:pPr>
              <w:spacing w:after="0"/>
              <w:rPr>
                <w:sz w:val="19"/>
                <w:szCs w:val="19"/>
                <w:color w:val="auto"/>
              </w:rPr>
            </w:pPr>
          </w:p>
        </w:tc>
        <w:tc>
          <w:tcPr>
            <w:tcW w:w="160" w:type="dxa"/>
            <w:vAlign w:val="bottom"/>
          </w:tcPr>
          <w:p>
            <w:pPr>
              <w:spacing w:after="0"/>
              <w:rPr>
                <w:sz w:val="19"/>
                <w:szCs w:val="19"/>
                <w:color w:val="auto"/>
              </w:rPr>
            </w:pPr>
          </w:p>
        </w:tc>
        <w:tc>
          <w:tcPr>
            <w:tcW w:w="920" w:type="dxa"/>
            <w:vAlign w:val="bottom"/>
            <w:tcBorders>
              <w:right w:val="single" w:sz="8" w:color="auto"/>
            </w:tcBorders>
          </w:tcPr>
          <w:p>
            <w:pPr>
              <w:spacing w:after="0"/>
              <w:rPr>
                <w:sz w:val="19"/>
                <w:szCs w:val="19"/>
                <w:color w:val="auto"/>
              </w:rPr>
            </w:pPr>
          </w:p>
        </w:tc>
        <w:tc>
          <w:tcPr>
            <w:tcW w:w="1160" w:type="dxa"/>
            <w:vAlign w:val="bottom"/>
            <w:gridSpan w:val="2"/>
          </w:tcPr>
          <w:p>
            <w:pPr>
              <w:ind w:left="140"/>
              <w:spacing w:after="0"/>
              <w:rPr>
                <w:sz w:val="20"/>
                <w:szCs w:val="20"/>
                <w:color w:val="auto"/>
              </w:rPr>
            </w:pPr>
            <w:r>
              <w:rPr>
                <w:rFonts w:ascii="Verdana" w:cs="Verdana" w:eastAsia="Verdana" w:hAnsi="Verdana"/>
                <w:sz w:val="17"/>
                <w:szCs w:val="17"/>
                <w:color w:val="auto"/>
              </w:rPr>
              <w:t>высокая</w:t>
            </w:r>
          </w:p>
        </w:tc>
        <w:tc>
          <w:tcPr>
            <w:tcW w:w="480" w:type="dxa"/>
            <w:vAlign w:val="bottom"/>
          </w:tcPr>
          <w:p>
            <w:pPr>
              <w:spacing w:after="0"/>
              <w:rPr>
                <w:sz w:val="19"/>
                <w:szCs w:val="19"/>
                <w:color w:val="auto"/>
              </w:rPr>
            </w:pPr>
          </w:p>
        </w:tc>
        <w:tc>
          <w:tcPr>
            <w:tcW w:w="300" w:type="dxa"/>
            <w:vAlign w:val="bottom"/>
          </w:tcPr>
          <w:p>
            <w:pPr>
              <w:spacing w:after="0"/>
              <w:rPr>
                <w:sz w:val="19"/>
                <w:szCs w:val="19"/>
                <w:color w:val="auto"/>
              </w:rPr>
            </w:pPr>
          </w:p>
        </w:tc>
        <w:tc>
          <w:tcPr>
            <w:tcW w:w="240" w:type="dxa"/>
            <w:vAlign w:val="bottom"/>
          </w:tcPr>
          <w:p>
            <w:pPr>
              <w:spacing w:after="0"/>
              <w:rPr>
                <w:sz w:val="19"/>
                <w:szCs w:val="19"/>
                <w:color w:val="auto"/>
              </w:rPr>
            </w:pPr>
          </w:p>
        </w:tc>
        <w:tc>
          <w:tcPr>
            <w:tcW w:w="360" w:type="dxa"/>
            <w:vAlign w:val="bottom"/>
          </w:tcPr>
          <w:p>
            <w:pPr>
              <w:spacing w:after="0"/>
              <w:rPr>
                <w:sz w:val="19"/>
                <w:szCs w:val="19"/>
                <w:color w:val="auto"/>
              </w:rPr>
            </w:pPr>
          </w:p>
        </w:tc>
        <w:tc>
          <w:tcPr>
            <w:tcW w:w="34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600" w:type="dxa"/>
            <w:vAlign w:val="bottom"/>
          </w:tcPr>
          <w:p>
            <w:pPr>
              <w:spacing w:after="0"/>
              <w:rPr>
                <w:sz w:val="19"/>
                <w:szCs w:val="19"/>
                <w:color w:val="auto"/>
              </w:rPr>
            </w:pPr>
          </w:p>
        </w:tc>
        <w:tc>
          <w:tcPr>
            <w:tcW w:w="38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275"/>
        </w:trPr>
        <w:tc>
          <w:tcPr>
            <w:tcW w:w="1700" w:type="dxa"/>
            <w:vAlign w:val="bottom"/>
            <w:tcBorders>
              <w:left w:val="single" w:sz="8" w:color="auto"/>
              <w:bottom w:val="single" w:sz="8" w:color="auto"/>
              <w:right w:val="single" w:sz="8" w:color="auto"/>
            </w:tcBorders>
          </w:tcPr>
          <w:p>
            <w:pPr>
              <w:spacing w:after="0"/>
              <w:rPr>
                <w:sz w:val="23"/>
                <w:szCs w:val="23"/>
                <w:color w:val="auto"/>
              </w:rPr>
            </w:pPr>
          </w:p>
        </w:tc>
        <w:tc>
          <w:tcPr>
            <w:tcW w:w="520" w:type="dxa"/>
            <w:vAlign w:val="bottom"/>
            <w:tcBorders>
              <w:bottom w:val="single" w:sz="8" w:color="auto"/>
            </w:tcBorders>
          </w:tcPr>
          <w:p>
            <w:pPr>
              <w:spacing w:after="0"/>
              <w:rPr>
                <w:sz w:val="23"/>
                <w:szCs w:val="23"/>
                <w:color w:val="auto"/>
              </w:rPr>
            </w:pPr>
          </w:p>
        </w:tc>
        <w:tc>
          <w:tcPr>
            <w:tcW w:w="880" w:type="dxa"/>
            <w:vAlign w:val="bottom"/>
            <w:tcBorders>
              <w:bottom w:val="single" w:sz="8" w:color="auto"/>
            </w:tcBorders>
          </w:tcPr>
          <w:p>
            <w:pPr>
              <w:spacing w:after="0"/>
              <w:rPr>
                <w:sz w:val="23"/>
                <w:szCs w:val="23"/>
                <w:color w:val="auto"/>
              </w:rPr>
            </w:pPr>
          </w:p>
        </w:tc>
        <w:tc>
          <w:tcPr>
            <w:tcW w:w="160" w:type="dxa"/>
            <w:vAlign w:val="bottom"/>
            <w:tcBorders>
              <w:bottom w:val="single" w:sz="8" w:color="auto"/>
            </w:tcBorders>
          </w:tcPr>
          <w:p>
            <w:pPr>
              <w:spacing w:after="0"/>
              <w:rPr>
                <w:sz w:val="23"/>
                <w:szCs w:val="23"/>
                <w:color w:val="auto"/>
              </w:rPr>
            </w:pPr>
          </w:p>
        </w:tc>
        <w:tc>
          <w:tcPr>
            <w:tcW w:w="920" w:type="dxa"/>
            <w:vAlign w:val="bottom"/>
            <w:tcBorders>
              <w:bottom w:val="single" w:sz="8" w:color="auto"/>
              <w:right w:val="single" w:sz="8" w:color="auto"/>
            </w:tcBorders>
          </w:tcPr>
          <w:p>
            <w:pPr>
              <w:spacing w:after="0"/>
              <w:rPr>
                <w:sz w:val="23"/>
                <w:szCs w:val="23"/>
                <w:color w:val="auto"/>
              </w:rPr>
            </w:pPr>
          </w:p>
        </w:tc>
        <w:tc>
          <w:tcPr>
            <w:tcW w:w="660" w:type="dxa"/>
            <w:vAlign w:val="bottom"/>
            <w:tcBorders>
              <w:bottom w:val="single" w:sz="8" w:color="auto"/>
            </w:tcBorders>
          </w:tcPr>
          <w:p>
            <w:pPr>
              <w:spacing w:after="0"/>
              <w:rPr>
                <w:sz w:val="23"/>
                <w:szCs w:val="23"/>
                <w:color w:val="auto"/>
              </w:rPr>
            </w:pPr>
          </w:p>
        </w:tc>
        <w:tc>
          <w:tcPr>
            <w:tcW w:w="500" w:type="dxa"/>
            <w:vAlign w:val="bottom"/>
            <w:tcBorders>
              <w:bottom w:val="single" w:sz="8" w:color="auto"/>
            </w:tcBorders>
          </w:tcPr>
          <w:p>
            <w:pPr>
              <w:spacing w:after="0"/>
              <w:rPr>
                <w:sz w:val="23"/>
                <w:szCs w:val="23"/>
                <w:color w:val="auto"/>
              </w:rPr>
            </w:pPr>
          </w:p>
        </w:tc>
        <w:tc>
          <w:tcPr>
            <w:tcW w:w="480" w:type="dxa"/>
            <w:vAlign w:val="bottom"/>
            <w:tcBorders>
              <w:bottom w:val="single" w:sz="8" w:color="auto"/>
            </w:tcBorders>
          </w:tcPr>
          <w:p>
            <w:pPr>
              <w:spacing w:after="0"/>
              <w:rPr>
                <w:sz w:val="23"/>
                <w:szCs w:val="23"/>
                <w:color w:val="auto"/>
              </w:rPr>
            </w:pPr>
          </w:p>
        </w:tc>
        <w:tc>
          <w:tcPr>
            <w:tcW w:w="300" w:type="dxa"/>
            <w:vAlign w:val="bottom"/>
            <w:tcBorders>
              <w:bottom w:val="single" w:sz="8" w:color="auto"/>
            </w:tcBorders>
          </w:tcPr>
          <w:p>
            <w:pPr>
              <w:spacing w:after="0"/>
              <w:rPr>
                <w:sz w:val="23"/>
                <w:szCs w:val="23"/>
                <w:color w:val="auto"/>
              </w:rPr>
            </w:pPr>
          </w:p>
        </w:tc>
        <w:tc>
          <w:tcPr>
            <w:tcW w:w="240" w:type="dxa"/>
            <w:vAlign w:val="bottom"/>
            <w:tcBorders>
              <w:bottom w:val="single" w:sz="8" w:color="auto"/>
            </w:tcBorders>
          </w:tcPr>
          <w:p>
            <w:pPr>
              <w:spacing w:after="0"/>
              <w:rPr>
                <w:sz w:val="23"/>
                <w:szCs w:val="23"/>
                <w:color w:val="auto"/>
              </w:rPr>
            </w:pPr>
          </w:p>
        </w:tc>
        <w:tc>
          <w:tcPr>
            <w:tcW w:w="360" w:type="dxa"/>
            <w:vAlign w:val="bottom"/>
            <w:tcBorders>
              <w:bottom w:val="single" w:sz="8" w:color="auto"/>
            </w:tcBorders>
          </w:tcPr>
          <w:p>
            <w:pPr>
              <w:spacing w:after="0"/>
              <w:rPr>
                <w:sz w:val="23"/>
                <w:szCs w:val="23"/>
                <w:color w:val="auto"/>
              </w:rPr>
            </w:pPr>
          </w:p>
        </w:tc>
        <w:tc>
          <w:tcPr>
            <w:tcW w:w="340" w:type="dxa"/>
            <w:vAlign w:val="bottom"/>
            <w:tcBorders>
              <w:bottom w:val="single" w:sz="8" w:color="auto"/>
            </w:tcBorders>
          </w:tcPr>
          <w:p>
            <w:pPr>
              <w:spacing w:after="0"/>
              <w:rPr>
                <w:sz w:val="23"/>
                <w:szCs w:val="23"/>
                <w:color w:val="auto"/>
              </w:rPr>
            </w:pPr>
          </w:p>
        </w:tc>
        <w:tc>
          <w:tcPr>
            <w:tcW w:w="420" w:type="dxa"/>
            <w:vAlign w:val="bottom"/>
            <w:tcBorders>
              <w:bottom w:val="single" w:sz="8" w:color="auto"/>
            </w:tcBorders>
          </w:tcPr>
          <w:p>
            <w:pPr>
              <w:spacing w:after="0"/>
              <w:rPr>
                <w:sz w:val="23"/>
                <w:szCs w:val="23"/>
                <w:color w:val="auto"/>
              </w:rPr>
            </w:pPr>
          </w:p>
        </w:tc>
        <w:tc>
          <w:tcPr>
            <w:tcW w:w="600" w:type="dxa"/>
            <w:vAlign w:val="bottom"/>
            <w:tcBorders>
              <w:bottom w:val="single" w:sz="8" w:color="auto"/>
            </w:tcBorders>
          </w:tcPr>
          <w:p>
            <w:pPr>
              <w:spacing w:after="0"/>
              <w:rPr>
                <w:sz w:val="23"/>
                <w:szCs w:val="23"/>
                <w:color w:val="auto"/>
              </w:rPr>
            </w:pPr>
          </w:p>
        </w:tc>
        <w:tc>
          <w:tcPr>
            <w:tcW w:w="380" w:type="dxa"/>
            <w:vAlign w:val="bottom"/>
            <w:tcBorders>
              <w:bottom w:val="single" w:sz="8" w:color="auto"/>
              <w:right w:val="single" w:sz="8" w:color="auto"/>
            </w:tcBorders>
          </w:tcPr>
          <w:p>
            <w:pPr>
              <w:spacing w:after="0"/>
              <w:rPr>
                <w:sz w:val="23"/>
                <w:szCs w:val="23"/>
                <w:color w:val="auto"/>
              </w:rPr>
            </w:pPr>
          </w:p>
        </w:tc>
        <w:tc>
          <w:tcPr>
            <w:tcW w:w="0" w:type="dxa"/>
            <w:vAlign w:val="bottom"/>
          </w:tcPr>
          <w:p>
            <w:pPr>
              <w:spacing w:after="0"/>
              <w:rPr>
                <w:sz w:val="1"/>
                <w:szCs w:val="1"/>
                <w:color w:val="auto"/>
              </w:rPr>
            </w:pPr>
          </w:p>
        </w:tc>
      </w:tr>
    </w:tbl>
    <w:p>
      <w:pPr>
        <w:spacing w:after="0" w:line="20" w:lineRule="exact"/>
        <w:rPr>
          <w:sz w:val="20"/>
          <w:szCs w:val="20"/>
          <w:color w:val="auto"/>
        </w:rPr>
      </w:pPr>
    </w:p>
    <w:p>
      <w:pPr>
        <w:sectPr>
          <w:pgSz w:w="11900" w:h="16840" w:orient="portrait"/>
          <w:cols w:equalWidth="0" w:num="1">
            <w:col w:w="9020"/>
          </w:cols>
          <w:pgMar w:left="1440" w:top="0" w:right="1440" w:bottom="1440" w:gutter="0" w:footer="0" w:header="0"/>
        </w:sectPr>
      </w:pPr>
    </w:p>
    <w:bookmarkStart w:id="157" w:name="page158"/>
    <w:bookmarkEnd w:id="157"/>
    <w:p>
      <w:pPr>
        <w:spacing w:after="0" w:line="197" w:lineRule="exact"/>
        <w:rPr>
          <w:sz w:val="20"/>
          <w:szCs w:val="20"/>
          <w:color w:val="auto"/>
        </w:rPr>
      </w:pPr>
    </w:p>
    <w:tbl>
      <w:tblPr>
        <w:tblLayout w:type="fixed"/>
        <w:tblInd w:w="370" w:type="dxa"/>
        <w:tblCellMar>
          <w:top w:w="0" w:type="dxa"/>
          <w:left w:w="0" w:type="dxa"/>
          <w:bottom w:w="0" w:type="dxa"/>
          <w:right w:w="0" w:type="dxa"/>
        </w:tblCellMar>
      </w:tblPr>
      <w:tr>
        <w:trPr>
          <w:trHeight w:val="295"/>
        </w:trPr>
        <w:tc>
          <w:tcPr>
            <w:tcW w:w="50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color w:val="auto"/>
              </w:rPr>
              <w:t>АГ</w:t>
            </w:r>
          </w:p>
        </w:tc>
        <w:tc>
          <w:tcPr>
            <w:tcW w:w="1200" w:type="dxa"/>
            <w:vAlign w:val="bottom"/>
            <w:tcBorders>
              <w:top w:val="single" w:sz="8" w:color="auto"/>
              <w:right w:val="single" w:sz="8" w:color="auto"/>
            </w:tcBorders>
          </w:tcPr>
          <w:p>
            <w:pPr>
              <w:jc w:val="right"/>
              <w:ind w:right="97"/>
              <w:spacing w:after="0"/>
              <w:rPr>
                <w:sz w:val="20"/>
                <w:szCs w:val="20"/>
                <w:color w:val="auto"/>
              </w:rPr>
            </w:pPr>
            <w:r>
              <w:rPr>
                <w:rFonts w:ascii="Verdana" w:cs="Verdana" w:eastAsia="Verdana" w:hAnsi="Verdana"/>
                <w:sz w:val="17"/>
                <w:szCs w:val="17"/>
                <w:color w:val="auto"/>
              </w:rPr>
              <w:t>2–3-</w:t>
            </w:r>
            <w:r>
              <w:rPr>
                <w:rFonts w:ascii="Verdana" w:cs="Verdana" w:eastAsia="Verdana" w:hAnsi="Verdana"/>
                <w:sz w:val="17"/>
                <w:szCs w:val="17"/>
                <w:color w:val="auto"/>
              </w:rPr>
              <w:t>й</w:t>
            </w:r>
          </w:p>
        </w:tc>
        <w:tc>
          <w:tcPr>
            <w:tcW w:w="248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color w:val="auto"/>
              </w:rPr>
              <w:t xml:space="preserve">Не менее </w:t>
            </w:r>
            <w:r>
              <w:rPr>
                <w:rFonts w:ascii="Verdana" w:cs="Verdana" w:eastAsia="Verdana" w:hAnsi="Verdana"/>
                <w:sz w:val="17"/>
                <w:szCs w:val="17"/>
                <w:color w:val="auto"/>
              </w:rPr>
              <w:t>2</w:t>
            </w:r>
            <w:r>
              <w:rPr>
                <w:rFonts w:ascii="Verdana" w:cs="Verdana" w:eastAsia="Verdana" w:hAnsi="Verdana"/>
                <w:sz w:val="17"/>
                <w:szCs w:val="17"/>
                <w:color w:val="auto"/>
              </w:rPr>
              <w:t xml:space="preserve"> раз в год</w:t>
            </w:r>
          </w:p>
        </w:tc>
        <w:tc>
          <w:tcPr>
            <w:tcW w:w="4280" w:type="dxa"/>
            <w:vAlign w:val="bottom"/>
            <w:tcBorders>
              <w:top w:val="single" w:sz="8" w:color="auto"/>
              <w:right w:val="single" w:sz="8" w:color="auto"/>
            </w:tcBorders>
            <w:gridSpan w:val="8"/>
          </w:tcPr>
          <w:p>
            <w:pPr>
              <w:ind w:left="140"/>
              <w:spacing w:after="0"/>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сбор жалоб и анамнеза</w:t>
            </w:r>
            <w:r>
              <w:rPr>
                <w:rFonts w:ascii="Verdana" w:cs="Verdana" w:eastAsia="Verdana" w:hAnsi="Verdana"/>
                <w:sz w:val="17"/>
                <w:szCs w:val="17"/>
                <w:color w:val="auto"/>
              </w:rPr>
              <w:t xml:space="preserve">, </w:t>
            </w:r>
            <w:r>
              <w:rPr>
                <w:rFonts w:ascii="Verdana" w:cs="Verdana" w:eastAsia="Verdana" w:hAnsi="Verdana"/>
                <w:sz w:val="17"/>
                <w:szCs w:val="17"/>
                <w:color w:val="auto"/>
              </w:rPr>
              <w:t>активный опрос на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степени с ПОМ</w:t>
            </w:r>
            <w:r>
              <w:rPr>
                <w:rFonts w:ascii="Verdana" w:cs="Verdana" w:eastAsia="Verdana" w:hAnsi="Verdana"/>
                <w:sz w:val="17"/>
                <w:szCs w:val="17"/>
                <w:color w:val="auto"/>
              </w:rPr>
              <w:t>,</w:t>
            </w: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наличие</w:t>
            </w:r>
            <w:r>
              <w:rPr>
                <w:rFonts w:ascii="Verdana" w:cs="Verdana" w:eastAsia="Verdana" w:hAnsi="Verdana"/>
                <w:sz w:val="17"/>
                <w:szCs w:val="17"/>
                <w:color w:val="auto"/>
              </w:rPr>
              <w:t>,</w:t>
            </w:r>
            <w:r>
              <w:rPr>
                <w:rFonts w:ascii="Verdana" w:cs="Verdana" w:eastAsia="Verdana" w:hAnsi="Verdana"/>
                <w:sz w:val="17"/>
                <w:szCs w:val="17"/>
                <w:color w:val="auto"/>
              </w:rPr>
              <w:t xml:space="preserve"> характер и выраженность боли в</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но</w:t>
            </w:r>
          </w:p>
        </w:tc>
        <w:tc>
          <w:tcPr>
            <w:tcW w:w="12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без  ССЗ</w:t>
            </w:r>
            <w:r>
              <w:rPr>
                <w:rFonts w:ascii="Verdana" w:cs="Verdana" w:eastAsia="Verdana" w:hAnsi="Verdana"/>
                <w:sz w:val="17"/>
                <w:szCs w:val="17"/>
                <w:color w:val="auto"/>
              </w:rPr>
              <w:t>,</w:t>
            </w: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грудной клетке и одышки при физической</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ЦВБ и ХБП</w:t>
            </w: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нагрузке</w:t>
            </w:r>
            <w:r>
              <w:rPr>
                <w:rFonts w:ascii="Verdana" w:cs="Verdana" w:eastAsia="Verdana" w:hAnsi="Verdana"/>
                <w:sz w:val="17"/>
                <w:szCs w:val="17"/>
                <w:color w:val="auto"/>
              </w:rPr>
              <w:t>,</w:t>
            </w:r>
          </w:p>
        </w:tc>
        <w:tc>
          <w:tcPr>
            <w:tcW w:w="1260" w:type="dxa"/>
            <w:vAlign w:val="bottom"/>
            <w:gridSpan w:val="2"/>
          </w:tcPr>
          <w:p>
            <w:pPr>
              <w:jc w:val="right"/>
              <w:ind w:right="177"/>
              <w:spacing w:after="0" w:line="165" w:lineRule="exact"/>
              <w:rPr>
                <w:sz w:val="20"/>
                <w:szCs w:val="20"/>
                <w:color w:val="auto"/>
              </w:rPr>
            </w:pPr>
            <w:r>
              <w:rPr>
                <w:rFonts w:ascii="Verdana" w:cs="Verdana" w:eastAsia="Verdana" w:hAnsi="Verdana"/>
                <w:sz w:val="17"/>
                <w:szCs w:val="17"/>
                <w:color w:val="auto"/>
              </w:rPr>
              <w:t>эпизодов</w:t>
            </w:r>
          </w:p>
        </w:tc>
        <w:tc>
          <w:tcPr>
            <w:tcW w:w="18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кратковременной</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слабости в конечностях</w:t>
            </w:r>
            <w:r>
              <w:rPr>
                <w:rFonts w:ascii="Verdana" w:cs="Verdana" w:eastAsia="Verdana" w:hAnsi="Verdana"/>
                <w:sz w:val="17"/>
                <w:szCs w:val="17"/>
                <w:color w:val="auto"/>
              </w:rPr>
              <w:t>,</w:t>
            </w:r>
            <w:r>
              <w:rPr>
                <w:rFonts w:ascii="Verdana" w:cs="Verdana" w:eastAsia="Verdana" w:hAnsi="Verdana"/>
                <w:sz w:val="17"/>
                <w:szCs w:val="17"/>
                <w:color w:val="auto"/>
              </w:rPr>
              <w:t xml:space="preserve"> онемения половины</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w w:val="99"/>
              </w:rPr>
              <w:t>лица или конечностей</w:t>
            </w:r>
            <w:r>
              <w:rPr>
                <w:rFonts w:ascii="Verdana" w:cs="Verdana" w:eastAsia="Verdana" w:hAnsi="Verdana"/>
                <w:sz w:val="17"/>
                <w:szCs w:val="17"/>
                <w:color w:val="auto"/>
                <w:w w:val="99"/>
              </w:rPr>
              <w:t>,</w:t>
            </w:r>
            <w:r>
              <w:rPr>
                <w:rFonts w:ascii="Verdana" w:cs="Verdana" w:eastAsia="Verdana" w:hAnsi="Verdana"/>
                <w:sz w:val="17"/>
                <w:szCs w:val="17"/>
                <w:color w:val="auto"/>
                <w:w w:val="99"/>
              </w:rPr>
              <w:t xml:space="preserve"> об объеме диуреза</w:t>
            </w: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уточнение  факта  и  характера  приема</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3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антигипертензивных препаратов</w:t>
            </w:r>
          </w:p>
        </w:tc>
        <w:tc>
          <w:tcPr>
            <w:tcW w:w="980" w:type="dxa"/>
            <w:vAlign w:val="bottom"/>
            <w:tcBorders>
              <w:right w:val="single" w:sz="8" w:color="auto"/>
            </w:tcBorders>
            <w:gridSpan w:val="2"/>
            <w:vMerge w:val="restart"/>
          </w:tcPr>
          <w:p>
            <w:pPr>
              <w:jc w:val="right"/>
              <w:ind w:right="97"/>
              <w:spacing w:after="0"/>
              <w:rPr>
                <w:sz w:val="20"/>
                <w:szCs w:val="20"/>
                <w:color w:val="auto"/>
              </w:rPr>
            </w:pPr>
            <w:r>
              <w:rPr>
                <w:rFonts w:ascii="Verdana" w:cs="Verdana" w:eastAsia="Verdana" w:hAnsi="Verdana"/>
                <w:sz w:val="17"/>
                <w:szCs w:val="17"/>
                <w:color w:val="auto"/>
              </w:rPr>
              <w:t>приема</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1380" w:type="dxa"/>
            <w:vAlign w:val="bottom"/>
            <w:gridSpan w:val="2"/>
          </w:tcPr>
          <w:p>
            <w:pPr>
              <w:ind w:left="480"/>
              <w:spacing w:after="0" w:line="165" w:lineRule="exact"/>
              <w:rPr>
                <w:sz w:val="20"/>
                <w:szCs w:val="20"/>
                <w:color w:val="auto"/>
              </w:rPr>
            </w:pPr>
            <w:r>
              <w:rPr>
                <w:rFonts w:ascii="Verdana" w:cs="Verdana" w:eastAsia="Verdana" w:hAnsi="Verdana"/>
                <w:sz w:val="17"/>
                <w:szCs w:val="17"/>
                <w:color w:val="auto"/>
                <w:w w:val="95"/>
              </w:rPr>
              <w:t>уточнение</w:t>
            </w:r>
          </w:p>
        </w:tc>
        <w:tc>
          <w:tcPr>
            <w:tcW w:w="1560" w:type="dxa"/>
            <w:vAlign w:val="bottom"/>
            <w:gridSpan w:val="3"/>
          </w:tcPr>
          <w:p>
            <w:pPr>
              <w:ind w:left="600"/>
              <w:spacing w:after="0" w:line="165" w:lineRule="exact"/>
              <w:rPr>
                <w:sz w:val="20"/>
                <w:szCs w:val="20"/>
                <w:color w:val="auto"/>
              </w:rPr>
            </w:pPr>
            <w:r>
              <w:rPr>
                <w:rFonts w:ascii="Verdana" w:cs="Verdana" w:eastAsia="Verdana" w:hAnsi="Verdana"/>
                <w:sz w:val="17"/>
                <w:szCs w:val="17"/>
                <w:color w:val="auto"/>
              </w:rPr>
              <w:t>факта</w:t>
            </w:r>
          </w:p>
        </w:tc>
        <w:tc>
          <w:tcPr>
            <w:tcW w:w="980" w:type="dxa"/>
            <w:vAlign w:val="bottom"/>
            <w:tcBorders>
              <w:right w:val="single" w:sz="8" w:color="auto"/>
            </w:tcBorders>
            <w:gridSpan w:val="2"/>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rPr>
              <w:t>гиполипидемических</w:t>
            </w:r>
            <w:r>
              <w:rPr>
                <w:rFonts w:ascii="Verdana" w:cs="Verdana" w:eastAsia="Verdana" w:hAnsi="Verdana"/>
                <w:sz w:val="17"/>
                <w:szCs w:val="17"/>
                <w:color w:val="auto"/>
              </w:rPr>
              <w:t>,</w:t>
            </w:r>
            <w:r>
              <w:rPr>
                <w:rFonts w:ascii="Verdana" w:cs="Verdana" w:eastAsia="Verdana" w:hAnsi="Verdana"/>
                <w:sz w:val="17"/>
                <w:szCs w:val="17"/>
                <w:color w:val="auto"/>
              </w:rPr>
              <w:t xml:space="preserve">   антиагрегантных</w:t>
            </w:r>
          </w:p>
        </w:tc>
        <w:tc>
          <w:tcPr>
            <w:tcW w:w="3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гипогликемических препаратов при наличии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показаний</w:t>
            </w:r>
          </w:p>
        </w:tc>
        <w:tc>
          <w:tcPr>
            <w:tcW w:w="560" w:type="dxa"/>
            <w:vAlign w:val="bottom"/>
          </w:tcPr>
          <w:p>
            <w:pPr>
              <w:spacing w:after="0"/>
              <w:rPr>
                <w:sz w:val="14"/>
                <w:szCs w:val="14"/>
                <w:color w:val="auto"/>
              </w:rPr>
            </w:pPr>
          </w:p>
        </w:tc>
        <w:tc>
          <w:tcPr>
            <w:tcW w:w="700" w:type="dxa"/>
            <w:vAlign w:val="bottom"/>
          </w:tcPr>
          <w:p>
            <w:pPr>
              <w:spacing w:after="0"/>
              <w:rPr>
                <w:sz w:val="14"/>
                <w:szCs w:val="14"/>
                <w:color w:val="auto"/>
              </w:rPr>
            </w:pP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опрос  и  краткое  консультирование  по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поводу   курения</w:t>
            </w:r>
            <w:r>
              <w:rPr>
                <w:rFonts w:ascii="Verdana" w:cs="Verdana" w:eastAsia="Verdana" w:hAnsi="Verdana"/>
                <w:sz w:val="17"/>
                <w:szCs w:val="17"/>
                <w:color w:val="auto"/>
              </w:rPr>
              <w:t>,</w:t>
            </w:r>
            <w:r>
              <w:rPr>
                <w:rFonts w:ascii="Verdana" w:cs="Verdana" w:eastAsia="Verdana" w:hAnsi="Verdana"/>
                <w:sz w:val="17"/>
                <w:szCs w:val="17"/>
                <w:color w:val="auto"/>
              </w:rPr>
              <w:t xml:space="preserve">   характера   питания</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физической активности </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измерение АД 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4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каждом посещении</w:t>
            </w: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4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анализ данных ДМАД</w:t>
            </w:r>
          </w:p>
        </w:tc>
        <w:tc>
          <w:tcPr>
            <w:tcW w:w="320" w:type="dxa"/>
            <w:vAlign w:val="bottom"/>
            <w:vMerge w:val="restart"/>
          </w:tcPr>
          <w:p>
            <w:pPr>
              <w:ind w:left="80"/>
              <w:spacing w:after="0"/>
              <w:rPr>
                <w:sz w:val="20"/>
                <w:szCs w:val="20"/>
                <w:color w:val="auto"/>
              </w:rPr>
            </w:pPr>
            <w:r>
              <w:rPr>
                <w:rFonts w:ascii="Verdana" w:cs="Verdana" w:eastAsia="Verdana" w:hAnsi="Verdana"/>
                <w:sz w:val="17"/>
                <w:szCs w:val="17"/>
                <w:color w:val="auto"/>
              </w:rPr>
              <w:t>и</w:t>
            </w:r>
          </w:p>
        </w:tc>
        <w:tc>
          <w:tcPr>
            <w:tcW w:w="1520" w:type="dxa"/>
            <w:vAlign w:val="bottom"/>
            <w:tcBorders>
              <w:right w:val="single" w:sz="8" w:color="auto"/>
            </w:tcBorders>
            <w:gridSpan w:val="3"/>
            <w:vMerge w:val="restart"/>
          </w:tcPr>
          <w:p>
            <w:pPr>
              <w:jc w:val="right"/>
              <w:ind w:right="97"/>
              <w:spacing w:after="0"/>
              <w:rPr>
                <w:sz w:val="20"/>
                <w:szCs w:val="20"/>
                <w:color w:val="auto"/>
              </w:rPr>
            </w:pPr>
            <w:r>
              <w:rPr>
                <w:rFonts w:ascii="Verdana" w:cs="Verdana" w:eastAsia="Verdana" w:hAnsi="Verdana"/>
                <w:sz w:val="17"/>
                <w:szCs w:val="17"/>
                <w:color w:val="auto"/>
              </w:rPr>
              <w:t>объективное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820" w:type="dxa"/>
            <w:vAlign w:val="bottom"/>
          </w:tcPr>
          <w:p>
            <w:pPr>
              <w:jc w:val="right"/>
              <w:spacing w:after="0" w:line="165" w:lineRule="exact"/>
              <w:rPr>
                <w:sz w:val="20"/>
                <w:szCs w:val="20"/>
                <w:color w:val="auto"/>
              </w:rPr>
            </w:pPr>
            <w:r>
              <w:rPr>
                <w:rFonts w:ascii="Verdana" w:cs="Verdana" w:eastAsia="Verdana" w:hAnsi="Verdana"/>
                <w:sz w:val="17"/>
                <w:szCs w:val="17"/>
                <w:color w:val="auto"/>
              </w:rPr>
              <w:t>общий</w:t>
            </w:r>
          </w:p>
        </w:tc>
        <w:tc>
          <w:tcPr>
            <w:tcW w:w="1260" w:type="dxa"/>
            <w:vAlign w:val="bottom"/>
            <w:gridSpan w:val="2"/>
          </w:tcPr>
          <w:p>
            <w:pPr>
              <w:jc w:val="right"/>
              <w:ind w:right="217"/>
              <w:spacing w:after="0" w:line="165" w:lineRule="exact"/>
              <w:rPr>
                <w:sz w:val="20"/>
                <w:szCs w:val="20"/>
                <w:color w:val="auto"/>
              </w:rPr>
            </w:pPr>
            <w:r>
              <w:rPr>
                <w:rFonts w:ascii="Verdana" w:cs="Verdana" w:eastAsia="Verdana" w:hAnsi="Verdana"/>
                <w:sz w:val="17"/>
                <w:szCs w:val="17"/>
                <w:color w:val="auto"/>
              </w:rPr>
              <w:t>осмотр</w:t>
            </w:r>
          </w:p>
        </w:tc>
        <w:tc>
          <w:tcPr>
            <w:tcW w:w="320" w:type="dxa"/>
            <w:vAlign w:val="bottom"/>
            <w:vMerge w:val="continue"/>
          </w:tcPr>
          <w:p>
            <w:pPr>
              <w:spacing w:after="0"/>
              <w:rPr>
                <w:sz w:val="14"/>
                <w:szCs w:val="14"/>
                <w:color w:val="auto"/>
              </w:rPr>
            </w:pPr>
          </w:p>
        </w:tc>
        <w:tc>
          <w:tcPr>
            <w:tcW w:w="1520" w:type="dxa"/>
            <w:vAlign w:val="bottom"/>
            <w:tcBorders>
              <w:right w:val="single" w:sz="8" w:color="auto"/>
            </w:tcBorders>
            <w:gridSpan w:val="3"/>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обследование</w:t>
            </w:r>
            <w:r>
              <w:rPr>
                <w:rFonts w:ascii="Verdana" w:cs="Verdana" w:eastAsia="Verdana" w:hAnsi="Verdana"/>
                <w:sz w:val="17"/>
                <w:szCs w:val="17"/>
                <w:color w:val="auto"/>
              </w:rPr>
              <w:t>,</w:t>
            </w:r>
          </w:p>
        </w:tc>
        <w:tc>
          <w:tcPr>
            <w:tcW w:w="1020" w:type="dxa"/>
            <w:vAlign w:val="bottom"/>
            <w:gridSpan w:val="2"/>
          </w:tcPr>
          <w:p>
            <w:pPr>
              <w:ind w:left="160"/>
              <w:spacing w:after="0" w:line="165" w:lineRule="exact"/>
              <w:rPr>
                <w:sz w:val="20"/>
                <w:szCs w:val="20"/>
                <w:color w:val="auto"/>
              </w:rPr>
            </w:pPr>
            <w:r>
              <w:rPr>
                <w:rFonts w:ascii="Verdana" w:cs="Verdana" w:eastAsia="Verdana" w:hAnsi="Verdana"/>
                <w:sz w:val="17"/>
                <w:szCs w:val="17"/>
                <w:color w:val="auto"/>
              </w:rPr>
              <w:t>включая</w:t>
            </w:r>
          </w:p>
        </w:tc>
        <w:tc>
          <w:tcPr>
            <w:tcW w:w="152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пальпацию</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периферических</w:t>
            </w:r>
          </w:p>
        </w:tc>
        <w:tc>
          <w:tcPr>
            <w:tcW w:w="700" w:type="dxa"/>
            <w:vAlign w:val="bottom"/>
          </w:tcPr>
          <w:p>
            <w:pPr>
              <w:jc w:val="right"/>
              <w:spacing w:after="0" w:line="165" w:lineRule="exact"/>
              <w:rPr>
                <w:sz w:val="20"/>
                <w:szCs w:val="20"/>
                <w:color w:val="auto"/>
              </w:rPr>
            </w:pPr>
            <w:r>
              <w:rPr>
                <w:rFonts w:ascii="Verdana" w:cs="Verdana" w:eastAsia="Verdana" w:hAnsi="Verdana"/>
                <w:sz w:val="17"/>
                <w:szCs w:val="17"/>
                <w:color w:val="auto"/>
                <w:w w:val="97"/>
              </w:rPr>
              <w:t>сосудов</w:t>
            </w:r>
          </w:p>
        </w:tc>
        <w:tc>
          <w:tcPr>
            <w:tcW w:w="320" w:type="dxa"/>
            <w:vAlign w:val="bottom"/>
          </w:tcPr>
          <w:p>
            <w:pPr>
              <w:ind w:left="160"/>
              <w:spacing w:after="0" w:line="165" w:lineRule="exact"/>
              <w:rPr>
                <w:sz w:val="20"/>
                <w:szCs w:val="20"/>
                <w:color w:val="auto"/>
              </w:rPr>
            </w:pPr>
            <w:r>
              <w:rPr>
                <w:rFonts w:ascii="Verdana" w:cs="Verdana" w:eastAsia="Verdana" w:hAnsi="Verdana"/>
                <w:sz w:val="17"/>
                <w:szCs w:val="17"/>
                <w:color w:val="auto"/>
              </w:rPr>
              <w:t>и</w:t>
            </w:r>
          </w:p>
        </w:tc>
        <w:tc>
          <w:tcPr>
            <w:tcW w:w="152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rPr>
              <w:t>аускультацию</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подключичных</w:t>
            </w:r>
            <w:r>
              <w:rPr>
                <w:rFonts w:ascii="Verdana" w:cs="Verdana" w:eastAsia="Verdana" w:hAnsi="Verdana"/>
                <w:sz w:val="17"/>
                <w:szCs w:val="17"/>
                <w:color w:val="auto"/>
              </w:rPr>
              <w:t>,</w:t>
            </w:r>
          </w:p>
        </w:tc>
        <w:tc>
          <w:tcPr>
            <w:tcW w:w="1020" w:type="dxa"/>
            <w:vAlign w:val="bottom"/>
            <w:gridSpan w:val="2"/>
          </w:tcPr>
          <w:p>
            <w:pPr>
              <w:ind w:left="80"/>
              <w:spacing w:after="0" w:line="165" w:lineRule="exact"/>
              <w:rPr>
                <w:sz w:val="20"/>
                <w:szCs w:val="20"/>
                <w:color w:val="auto"/>
              </w:rPr>
            </w:pPr>
            <w:r>
              <w:rPr>
                <w:rFonts w:ascii="Verdana" w:cs="Verdana" w:eastAsia="Verdana" w:hAnsi="Verdana"/>
                <w:sz w:val="17"/>
                <w:szCs w:val="17"/>
                <w:color w:val="auto"/>
              </w:rPr>
              <w:t>сонных</w:t>
            </w:r>
            <w:r>
              <w:rPr>
                <w:rFonts w:ascii="Verdana" w:cs="Verdana" w:eastAsia="Verdana" w:hAnsi="Verdana"/>
                <w:sz w:val="17"/>
                <w:szCs w:val="17"/>
                <w:color w:val="auto"/>
              </w:rPr>
              <w:t>,</w:t>
            </w:r>
          </w:p>
        </w:tc>
        <w:tc>
          <w:tcPr>
            <w:tcW w:w="1160" w:type="dxa"/>
            <w:vAlign w:val="bottom"/>
            <w:gridSpan w:val="2"/>
          </w:tcPr>
          <w:p>
            <w:pPr>
              <w:jc w:val="right"/>
              <w:ind w:right="157"/>
              <w:spacing w:after="0" w:line="165" w:lineRule="exact"/>
              <w:rPr>
                <w:sz w:val="20"/>
                <w:szCs w:val="20"/>
                <w:color w:val="auto"/>
              </w:rPr>
            </w:pPr>
            <w:r>
              <w:rPr>
                <w:rFonts w:ascii="Verdana" w:cs="Verdana" w:eastAsia="Verdana" w:hAnsi="Verdana"/>
                <w:sz w:val="17"/>
                <w:szCs w:val="17"/>
                <w:color w:val="auto"/>
              </w:rPr>
              <w:t>почечных</w:t>
            </w:r>
          </w:p>
        </w:tc>
        <w:tc>
          <w:tcPr>
            <w:tcW w:w="3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бедренных  артерий</w:t>
            </w:r>
            <w:r>
              <w:rPr>
                <w:rFonts w:ascii="Verdana" w:cs="Verdana" w:eastAsia="Verdana" w:hAnsi="Verdana"/>
                <w:sz w:val="17"/>
                <w:szCs w:val="17"/>
                <w:color w:val="auto"/>
              </w:rPr>
              <w:t>,</w:t>
            </w:r>
            <w:r>
              <w:rPr>
                <w:rFonts w:ascii="Verdana" w:cs="Verdana" w:eastAsia="Verdana" w:hAnsi="Verdana"/>
                <w:sz w:val="17"/>
                <w:szCs w:val="17"/>
                <w:color w:val="auto"/>
              </w:rPr>
              <w:t xml:space="preserve">  измерение  индекса</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массы тела и окружности талии при каждом</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посещении</w:t>
            </w:r>
          </w:p>
        </w:tc>
        <w:tc>
          <w:tcPr>
            <w:tcW w:w="560" w:type="dxa"/>
            <w:vAlign w:val="bottom"/>
          </w:tcPr>
          <w:p>
            <w:pPr>
              <w:spacing w:after="0"/>
              <w:rPr>
                <w:sz w:val="14"/>
                <w:szCs w:val="14"/>
                <w:color w:val="auto"/>
              </w:rPr>
            </w:pPr>
          </w:p>
        </w:tc>
        <w:tc>
          <w:tcPr>
            <w:tcW w:w="700" w:type="dxa"/>
            <w:vAlign w:val="bottom"/>
          </w:tcPr>
          <w:p>
            <w:pPr>
              <w:spacing w:after="0"/>
              <w:rPr>
                <w:sz w:val="14"/>
                <w:szCs w:val="14"/>
                <w:color w:val="auto"/>
              </w:rPr>
            </w:pP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гемоглобин и</w:t>
            </w:r>
            <w:r>
              <w:rPr>
                <w:rFonts w:ascii="Verdana" w:cs="Verdana" w:eastAsia="Verdana" w:hAnsi="Verdana"/>
                <w:sz w:val="17"/>
                <w:szCs w:val="17"/>
                <w:color w:val="auto"/>
              </w:rPr>
              <w:t>/</w:t>
            </w:r>
            <w:r>
              <w:rPr>
                <w:rFonts w:ascii="Verdana" w:cs="Verdana" w:eastAsia="Verdana" w:hAnsi="Verdana"/>
                <w:sz w:val="17"/>
                <w:szCs w:val="17"/>
                <w:color w:val="auto"/>
              </w:rPr>
              <w:t>или гематокрит при взятии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глюкоза плазмы натощак не реже</w:t>
            </w:r>
            <w:r>
              <w:rPr>
                <w:rFonts w:ascii="Verdana" w:cs="Verdana" w:eastAsia="Verdana" w:hAnsi="Verdana"/>
                <w:sz w:val="17"/>
                <w:szCs w:val="17"/>
                <w:color w:val="auto"/>
              </w:rPr>
              <w:t xml:space="preserve"> 1 </w:t>
            </w:r>
            <w:r>
              <w:rPr>
                <w:rFonts w:ascii="Verdana" w:cs="Verdana" w:eastAsia="Verdana" w:hAnsi="Verdana"/>
                <w:sz w:val="17"/>
                <w:szCs w:val="17"/>
                <w:color w:val="auto"/>
              </w:rPr>
              <w:t>раза в</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3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 xml:space="preserve">год </w:t>
            </w:r>
            <w:r>
              <w:rPr>
                <w:rFonts w:ascii="Verdana" w:cs="Verdana" w:eastAsia="Verdana" w:hAnsi="Verdana"/>
                <w:sz w:val="17"/>
                <w:szCs w:val="17"/>
                <w:color w:val="auto"/>
              </w:rPr>
              <w:t>(</w:t>
            </w:r>
            <w:r>
              <w:rPr>
                <w:rFonts w:ascii="Verdana" w:cs="Verdana" w:eastAsia="Verdana" w:hAnsi="Verdana"/>
                <w:sz w:val="17"/>
                <w:szCs w:val="17"/>
                <w:color w:val="auto"/>
              </w:rPr>
              <w:t>допускается экспресс</w:t>
            </w:r>
            <w:r>
              <w:rPr>
                <w:rFonts w:ascii="Verdana" w:cs="Verdana" w:eastAsia="Verdana" w:hAnsi="Verdana"/>
                <w:sz w:val="17"/>
                <w:szCs w:val="17"/>
                <w:color w:val="auto"/>
              </w:rPr>
              <w:t>-</w:t>
            </w:r>
            <w:r>
              <w:rPr>
                <w:rFonts w:ascii="Verdana" w:cs="Verdana" w:eastAsia="Verdana" w:hAnsi="Verdana"/>
                <w:sz w:val="17"/>
                <w:szCs w:val="17"/>
                <w:color w:val="auto"/>
              </w:rPr>
              <w:t>метод</w:t>
            </w:r>
            <w:r>
              <w:rPr>
                <w:rFonts w:ascii="Verdana" w:cs="Verdana" w:eastAsia="Verdana" w:hAnsi="Verdana"/>
                <w:sz w:val="17"/>
                <w:szCs w:val="17"/>
                <w:color w:val="auto"/>
              </w:rPr>
              <w:t>)</w:t>
            </w: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общий холестерин не реже</w:t>
            </w:r>
            <w:r>
              <w:rPr>
                <w:rFonts w:ascii="Verdana" w:cs="Verdana" w:eastAsia="Verdana" w:hAnsi="Verdana"/>
                <w:sz w:val="17"/>
                <w:szCs w:val="17"/>
                <w:color w:val="auto"/>
              </w:rPr>
              <w:t xml:space="preserve"> 1 </w:t>
            </w:r>
            <w:r>
              <w:rPr>
                <w:rFonts w:ascii="Verdana" w:cs="Verdana" w:eastAsia="Verdana" w:hAnsi="Verdana"/>
                <w:sz w:val="17"/>
                <w:szCs w:val="17"/>
                <w:color w:val="auto"/>
              </w:rPr>
              <w:t>раза в год</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760" w:type="dxa"/>
            <w:vAlign w:val="bottom"/>
            <w:gridSpan w:val="5"/>
          </w:tcPr>
          <w:p>
            <w:pPr>
              <w:ind w:left="140"/>
              <w:spacing w:after="0" w:line="165" w:lineRule="exact"/>
              <w:rPr>
                <w:sz w:val="20"/>
                <w:szCs w:val="20"/>
                <w:color w:val="auto"/>
              </w:rPr>
            </w:pPr>
            <w:r>
              <w:rPr>
                <w:rFonts w:ascii="Verdana" w:cs="Verdana" w:eastAsia="Verdana" w:hAnsi="Verdana"/>
                <w:sz w:val="17"/>
                <w:szCs w:val="17"/>
                <w:color w:val="auto"/>
                <w:w w:val="97"/>
              </w:rPr>
              <w:t>(</w:t>
            </w:r>
            <w:r>
              <w:rPr>
                <w:rFonts w:ascii="Verdana" w:cs="Verdana" w:eastAsia="Verdana" w:hAnsi="Verdana"/>
                <w:sz w:val="17"/>
                <w:szCs w:val="17"/>
                <w:color w:val="auto"/>
                <w:w w:val="97"/>
              </w:rPr>
              <w:t>допускается экспресс</w:t>
            </w:r>
            <w:r>
              <w:rPr>
                <w:rFonts w:ascii="Verdana" w:cs="Verdana" w:eastAsia="Verdana" w:hAnsi="Verdana"/>
                <w:sz w:val="17"/>
                <w:szCs w:val="17"/>
                <w:color w:val="auto"/>
                <w:w w:val="97"/>
              </w:rPr>
              <w:t>-</w:t>
            </w:r>
            <w:r>
              <w:rPr>
                <w:rFonts w:ascii="Verdana" w:cs="Verdana" w:eastAsia="Verdana" w:hAnsi="Verdana"/>
                <w:sz w:val="17"/>
                <w:szCs w:val="17"/>
                <w:color w:val="auto"/>
                <w:w w:val="97"/>
              </w:rPr>
              <w:t>метод</w:t>
            </w:r>
            <w:r>
              <w:rPr>
                <w:rFonts w:ascii="Verdana" w:cs="Verdana" w:eastAsia="Verdana" w:hAnsi="Verdana"/>
                <w:sz w:val="17"/>
                <w:szCs w:val="17"/>
                <w:color w:val="auto"/>
                <w:w w:val="97"/>
              </w:rPr>
              <w:t>)</w:t>
            </w:r>
          </w:p>
        </w:tc>
        <w:tc>
          <w:tcPr>
            <w:tcW w:w="540" w:type="dxa"/>
            <w:vAlign w:val="bottom"/>
          </w:tcPr>
          <w:p>
            <w:pPr>
              <w:spacing w:after="0"/>
              <w:rPr>
                <w:sz w:val="14"/>
                <w:szCs w:val="14"/>
                <w:color w:val="auto"/>
              </w:rPr>
            </w:pPr>
          </w:p>
        </w:tc>
        <w:tc>
          <w:tcPr>
            <w:tcW w:w="980" w:type="dxa"/>
            <w:vAlign w:val="bottom"/>
            <w:tcBorders>
              <w:right w:val="single" w:sz="8" w:color="auto"/>
            </w:tcBorders>
            <w:gridSpan w:val="2"/>
            <w:vMerge w:val="restart"/>
          </w:tcPr>
          <w:p>
            <w:pPr>
              <w:jc w:val="right"/>
              <w:ind w:right="97"/>
              <w:spacing w:after="0"/>
              <w:rPr>
                <w:sz w:val="20"/>
                <w:szCs w:val="20"/>
                <w:color w:val="auto"/>
              </w:rPr>
            </w:pPr>
            <w:r>
              <w:rPr>
                <w:rFonts w:ascii="Verdana" w:cs="Verdana" w:eastAsia="Verdana" w:hAnsi="Verdana"/>
                <w:sz w:val="17"/>
                <w:szCs w:val="17"/>
                <w:color w:val="auto"/>
              </w:rPr>
              <w:t>низкой</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1380" w:type="dxa"/>
            <w:vAlign w:val="bottom"/>
            <w:gridSpan w:val="2"/>
          </w:tcPr>
          <w:p>
            <w:pPr>
              <w:ind w:left="180"/>
              <w:spacing w:after="0" w:line="165" w:lineRule="exact"/>
              <w:rPr>
                <w:sz w:val="20"/>
                <w:szCs w:val="20"/>
                <w:color w:val="auto"/>
              </w:rPr>
            </w:pPr>
            <w:r>
              <w:rPr>
                <w:rFonts w:ascii="Verdana" w:cs="Verdana" w:eastAsia="Verdana" w:hAnsi="Verdana"/>
                <w:sz w:val="17"/>
                <w:szCs w:val="17"/>
                <w:color w:val="auto"/>
              </w:rPr>
              <w:t>холестерин</w:t>
            </w:r>
          </w:p>
        </w:tc>
        <w:tc>
          <w:tcPr>
            <w:tcW w:w="1560" w:type="dxa"/>
            <w:vAlign w:val="bottom"/>
            <w:gridSpan w:val="3"/>
          </w:tcPr>
          <w:p>
            <w:pPr>
              <w:ind w:left="120"/>
              <w:spacing w:after="0" w:line="165" w:lineRule="exact"/>
              <w:rPr>
                <w:sz w:val="20"/>
                <w:szCs w:val="20"/>
                <w:color w:val="auto"/>
              </w:rPr>
            </w:pPr>
            <w:r>
              <w:rPr>
                <w:rFonts w:ascii="Verdana" w:cs="Verdana" w:eastAsia="Verdana" w:hAnsi="Verdana"/>
                <w:sz w:val="17"/>
                <w:szCs w:val="17"/>
                <w:color w:val="auto"/>
              </w:rPr>
              <w:t>липопротеинов</w:t>
            </w:r>
          </w:p>
        </w:tc>
        <w:tc>
          <w:tcPr>
            <w:tcW w:w="980" w:type="dxa"/>
            <w:vAlign w:val="bottom"/>
            <w:tcBorders>
              <w:right w:val="single" w:sz="8" w:color="auto"/>
            </w:tcBorders>
            <w:gridSpan w:val="2"/>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плотности</w:t>
            </w:r>
            <w:r>
              <w:rPr>
                <w:rFonts w:ascii="Verdana" w:cs="Verdana" w:eastAsia="Verdana" w:hAnsi="Verdana"/>
                <w:sz w:val="17"/>
                <w:szCs w:val="17"/>
                <w:color w:val="auto"/>
              </w:rPr>
              <w:t>,</w:t>
            </w:r>
          </w:p>
        </w:tc>
        <w:tc>
          <w:tcPr>
            <w:tcW w:w="126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rPr>
              <w:t>холестерин</w:t>
            </w:r>
          </w:p>
        </w:tc>
        <w:tc>
          <w:tcPr>
            <w:tcW w:w="320" w:type="dxa"/>
            <w:vAlign w:val="bottom"/>
          </w:tcPr>
          <w:p>
            <w:pPr>
              <w:spacing w:after="0"/>
              <w:rPr>
                <w:sz w:val="14"/>
                <w:szCs w:val="14"/>
                <w:color w:val="auto"/>
              </w:rPr>
            </w:pPr>
          </w:p>
        </w:tc>
        <w:tc>
          <w:tcPr>
            <w:tcW w:w="152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7"/>
              </w:rPr>
              <w:t>липопротеинов</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высокой</w:t>
            </w:r>
          </w:p>
        </w:tc>
        <w:tc>
          <w:tcPr>
            <w:tcW w:w="1260" w:type="dxa"/>
            <w:vAlign w:val="bottom"/>
            <w:gridSpan w:val="2"/>
          </w:tcPr>
          <w:p>
            <w:pPr>
              <w:jc w:val="right"/>
              <w:ind w:right="237"/>
              <w:spacing w:after="0" w:line="165" w:lineRule="exact"/>
              <w:rPr>
                <w:sz w:val="20"/>
                <w:szCs w:val="20"/>
                <w:color w:val="auto"/>
              </w:rPr>
            </w:pPr>
            <w:r>
              <w:rPr>
                <w:rFonts w:ascii="Verdana" w:cs="Verdana" w:eastAsia="Verdana" w:hAnsi="Verdana"/>
                <w:sz w:val="17"/>
                <w:szCs w:val="17"/>
                <w:color w:val="auto"/>
                <w:w w:val="95"/>
              </w:rPr>
              <w:t>плотности</w:t>
            </w:r>
            <w:r>
              <w:rPr>
                <w:rFonts w:ascii="Verdana" w:cs="Verdana" w:eastAsia="Verdana" w:hAnsi="Verdana"/>
                <w:sz w:val="17"/>
                <w:szCs w:val="17"/>
                <w:color w:val="auto"/>
                <w:w w:val="95"/>
              </w:rPr>
              <w:t>,</w:t>
            </w:r>
          </w:p>
        </w:tc>
        <w:tc>
          <w:tcPr>
            <w:tcW w:w="1480" w:type="dxa"/>
            <w:vAlign w:val="bottom"/>
            <w:gridSpan w:val="3"/>
          </w:tcPr>
          <w:p>
            <w:pPr>
              <w:jc w:val="right"/>
              <w:ind w:right="157"/>
              <w:spacing w:after="0" w:line="165" w:lineRule="exact"/>
              <w:rPr>
                <w:sz w:val="20"/>
                <w:szCs w:val="20"/>
                <w:color w:val="auto"/>
              </w:rPr>
            </w:pPr>
            <w:r>
              <w:rPr>
                <w:rFonts w:ascii="Verdana" w:cs="Verdana" w:eastAsia="Verdana" w:hAnsi="Verdana"/>
                <w:sz w:val="17"/>
                <w:szCs w:val="17"/>
                <w:color w:val="auto"/>
                <w:w w:val="96"/>
              </w:rPr>
              <w:t>триглицериды</w:t>
            </w:r>
          </w:p>
        </w:tc>
        <w:tc>
          <w:tcPr>
            <w:tcW w:w="36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в</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сыворотке  при  взятии  под  диспансерное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4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калий и натрий сыворотки при взятии под</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мочевая кислота сыворотки при взятии под</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7"/>
              </w:rPr>
              <w:t>показаниям</w:t>
            </w:r>
          </w:p>
        </w:tc>
        <w:tc>
          <w:tcPr>
            <w:tcW w:w="560" w:type="dxa"/>
            <w:vAlign w:val="bottom"/>
          </w:tcPr>
          <w:p>
            <w:pPr>
              <w:spacing w:after="0"/>
              <w:rPr>
                <w:sz w:val="14"/>
                <w:szCs w:val="14"/>
                <w:color w:val="auto"/>
              </w:rPr>
            </w:pPr>
          </w:p>
        </w:tc>
        <w:tc>
          <w:tcPr>
            <w:tcW w:w="700" w:type="dxa"/>
            <w:vAlign w:val="bottom"/>
          </w:tcPr>
          <w:p>
            <w:pPr>
              <w:spacing w:after="0"/>
              <w:rPr>
                <w:sz w:val="14"/>
                <w:szCs w:val="14"/>
                <w:color w:val="auto"/>
              </w:rPr>
            </w:pP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креатинин сыворотки</w:t>
            </w:r>
            <w:r>
              <w:rPr>
                <w:rFonts w:ascii="Verdana" w:cs="Verdana" w:eastAsia="Verdana" w:hAnsi="Verdana"/>
                <w:sz w:val="17"/>
                <w:szCs w:val="17"/>
                <w:color w:val="auto"/>
              </w:rPr>
              <w:t xml:space="preserve"> (</w:t>
            </w:r>
            <w:r>
              <w:rPr>
                <w:rFonts w:ascii="Verdana" w:cs="Verdana" w:eastAsia="Verdana" w:hAnsi="Verdana"/>
                <w:sz w:val="17"/>
                <w:szCs w:val="17"/>
                <w:color w:val="auto"/>
              </w:rPr>
              <w:t>с расчетом СКФ</w:t>
            </w:r>
            <w:r>
              <w:rPr>
                <w:rFonts w:ascii="Verdana" w:cs="Verdana" w:eastAsia="Verdana" w:hAnsi="Verdana"/>
                <w:sz w:val="17"/>
                <w:szCs w:val="17"/>
                <w:color w:val="auto"/>
              </w:rPr>
              <w:t xml:space="preserve">) </w:t>
            </w:r>
            <w:r>
              <w:rPr>
                <w:rFonts w:ascii="Verdana" w:cs="Verdana" w:eastAsia="Verdana" w:hAnsi="Verdana"/>
                <w:sz w:val="17"/>
                <w:szCs w:val="17"/>
                <w:color w:val="auto"/>
              </w:rPr>
              <w:t>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взятии 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w w:val="98"/>
              </w:rPr>
              <w:t>по показаниям</w:t>
            </w:r>
            <w:r>
              <w:rPr>
                <w:rFonts w:ascii="Verdana" w:cs="Verdana" w:eastAsia="Verdana" w:hAnsi="Verdana"/>
                <w:sz w:val="17"/>
                <w:szCs w:val="17"/>
                <w:color w:val="auto"/>
                <w:w w:val="98"/>
              </w:rPr>
              <w:t>,</w:t>
            </w:r>
            <w:r>
              <w:rPr>
                <w:rFonts w:ascii="Verdana" w:cs="Verdana" w:eastAsia="Verdana" w:hAnsi="Verdana"/>
                <w:sz w:val="17"/>
                <w:szCs w:val="17"/>
                <w:color w:val="auto"/>
                <w:w w:val="98"/>
              </w:rPr>
              <w:t xml:space="preserve"> но не реже </w:t>
            </w:r>
            <w:r>
              <w:rPr>
                <w:rFonts w:ascii="Verdana" w:cs="Verdana" w:eastAsia="Verdana" w:hAnsi="Verdana"/>
                <w:sz w:val="17"/>
                <w:szCs w:val="17"/>
                <w:color w:val="auto"/>
                <w:w w:val="98"/>
              </w:rPr>
              <w:t>1</w:t>
            </w:r>
            <w:r>
              <w:rPr>
                <w:rFonts w:ascii="Verdana" w:cs="Verdana" w:eastAsia="Verdana" w:hAnsi="Verdana"/>
                <w:sz w:val="17"/>
                <w:szCs w:val="17"/>
                <w:color w:val="auto"/>
                <w:w w:val="98"/>
              </w:rPr>
              <w:t xml:space="preserve"> раза в </w:t>
            </w:r>
            <w:r>
              <w:rPr>
                <w:rFonts w:ascii="Verdana" w:cs="Verdana" w:eastAsia="Verdana" w:hAnsi="Verdana"/>
                <w:sz w:val="17"/>
                <w:szCs w:val="17"/>
                <w:color w:val="auto"/>
                <w:w w:val="98"/>
              </w:rPr>
              <w:t>2</w:t>
            </w:r>
            <w:r>
              <w:rPr>
                <w:rFonts w:ascii="Verdana" w:cs="Verdana" w:eastAsia="Verdana" w:hAnsi="Verdana"/>
                <w:sz w:val="17"/>
                <w:szCs w:val="17"/>
                <w:color w:val="auto"/>
                <w:w w:val="98"/>
              </w:rPr>
              <w:t xml:space="preserve"> года</w:t>
            </w: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анализ мочи на микроальбуминурию 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взятии 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920" w:type="dxa"/>
            <w:vAlign w:val="bottom"/>
            <w:gridSpan w:val="7"/>
          </w:tcPr>
          <w:p>
            <w:pPr>
              <w:ind w:left="140"/>
              <w:spacing w:after="0" w:line="165" w:lineRule="exact"/>
              <w:rPr>
                <w:sz w:val="20"/>
                <w:szCs w:val="20"/>
                <w:color w:val="auto"/>
              </w:rPr>
            </w:pPr>
            <w:r>
              <w:rPr>
                <w:rFonts w:ascii="Verdana" w:cs="Verdana" w:eastAsia="Verdana" w:hAnsi="Verdana"/>
                <w:sz w:val="17"/>
                <w:szCs w:val="17"/>
                <w:color w:val="auto"/>
                <w:w w:val="98"/>
              </w:rPr>
              <w:t>по показаниям</w:t>
            </w:r>
            <w:r>
              <w:rPr>
                <w:rFonts w:ascii="Verdana" w:cs="Verdana" w:eastAsia="Verdana" w:hAnsi="Verdana"/>
                <w:sz w:val="17"/>
                <w:szCs w:val="17"/>
                <w:color w:val="auto"/>
                <w:w w:val="98"/>
              </w:rPr>
              <w:t>,</w:t>
            </w:r>
            <w:r>
              <w:rPr>
                <w:rFonts w:ascii="Verdana" w:cs="Verdana" w:eastAsia="Verdana" w:hAnsi="Verdana"/>
                <w:sz w:val="17"/>
                <w:szCs w:val="17"/>
                <w:color w:val="auto"/>
                <w:w w:val="98"/>
              </w:rPr>
              <w:t xml:space="preserve"> но не реже </w:t>
            </w:r>
            <w:r>
              <w:rPr>
                <w:rFonts w:ascii="Verdana" w:cs="Verdana" w:eastAsia="Verdana" w:hAnsi="Verdana"/>
                <w:sz w:val="17"/>
                <w:szCs w:val="17"/>
                <w:color w:val="auto"/>
                <w:w w:val="98"/>
              </w:rPr>
              <w:t>1</w:t>
            </w:r>
            <w:r>
              <w:rPr>
                <w:rFonts w:ascii="Verdana" w:cs="Verdana" w:eastAsia="Verdana" w:hAnsi="Verdana"/>
                <w:sz w:val="17"/>
                <w:szCs w:val="17"/>
                <w:color w:val="auto"/>
                <w:w w:val="98"/>
              </w:rPr>
              <w:t xml:space="preserve"> раза в </w:t>
            </w:r>
            <w:r>
              <w:rPr>
                <w:rFonts w:ascii="Verdana" w:cs="Verdana" w:eastAsia="Verdana" w:hAnsi="Verdana"/>
                <w:sz w:val="17"/>
                <w:szCs w:val="17"/>
                <w:color w:val="auto"/>
                <w:w w:val="98"/>
              </w:rPr>
              <w:t>2</w:t>
            </w:r>
            <w:r>
              <w:rPr>
                <w:rFonts w:ascii="Verdana" w:cs="Verdana" w:eastAsia="Verdana" w:hAnsi="Verdana"/>
                <w:sz w:val="17"/>
                <w:szCs w:val="17"/>
                <w:color w:val="auto"/>
                <w:w w:val="98"/>
              </w:rPr>
              <w:t xml:space="preserve"> года</w:t>
            </w: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ЭКГ в</w:t>
            </w:r>
            <w:r>
              <w:rPr>
                <w:rFonts w:ascii="Verdana" w:cs="Verdana" w:eastAsia="Verdana" w:hAnsi="Verdana"/>
                <w:sz w:val="17"/>
                <w:szCs w:val="17"/>
                <w:color w:val="auto"/>
              </w:rPr>
              <w:t xml:space="preserve"> 12 </w:t>
            </w:r>
            <w:r>
              <w:rPr>
                <w:rFonts w:ascii="Verdana" w:cs="Verdana" w:eastAsia="Verdana" w:hAnsi="Verdana"/>
                <w:sz w:val="17"/>
                <w:szCs w:val="17"/>
                <w:color w:val="auto"/>
              </w:rPr>
              <w:t>отведениях с расчетом индекса</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w w:val="98"/>
              </w:rPr>
              <w:t>Соколова</w:t>
            </w:r>
            <w:r>
              <w:rPr>
                <w:rFonts w:ascii="Verdana" w:cs="Verdana" w:eastAsia="Verdana" w:hAnsi="Verdana"/>
                <w:sz w:val="17"/>
                <w:szCs w:val="17"/>
                <w:color w:val="auto"/>
                <w:w w:val="98"/>
              </w:rPr>
              <w:t>–</w:t>
            </w:r>
            <w:r>
              <w:rPr>
                <w:rFonts w:ascii="Verdana" w:cs="Verdana" w:eastAsia="Verdana" w:hAnsi="Verdana"/>
                <w:sz w:val="17"/>
                <w:szCs w:val="17"/>
                <w:color w:val="auto"/>
                <w:w w:val="98"/>
              </w:rPr>
              <w:t>Лайона</w:t>
            </w:r>
          </w:p>
        </w:tc>
        <w:tc>
          <w:tcPr>
            <w:tcW w:w="700" w:type="dxa"/>
            <w:vAlign w:val="bottom"/>
          </w:tcPr>
          <w:p>
            <w:pPr>
              <w:jc w:val="right"/>
              <w:ind w:right="57"/>
              <w:spacing w:after="0" w:line="165" w:lineRule="exact"/>
              <w:rPr>
                <w:sz w:val="20"/>
                <w:szCs w:val="20"/>
                <w:color w:val="auto"/>
              </w:rPr>
            </w:pPr>
            <w:r>
              <w:rPr>
                <w:rFonts w:ascii="Verdana" w:cs="Verdana" w:eastAsia="Verdana" w:hAnsi="Verdana"/>
                <w:sz w:val="17"/>
                <w:szCs w:val="17"/>
                <w:color w:val="auto"/>
              </w:rPr>
              <w:t>и</w:t>
            </w:r>
          </w:p>
        </w:tc>
        <w:tc>
          <w:tcPr>
            <w:tcW w:w="320" w:type="dxa"/>
            <w:vAlign w:val="bottom"/>
          </w:tcPr>
          <w:p>
            <w:pPr>
              <w:spacing w:after="0"/>
              <w:rPr>
                <w:sz w:val="14"/>
                <w:szCs w:val="14"/>
                <w:color w:val="auto"/>
              </w:rPr>
            </w:pPr>
          </w:p>
        </w:tc>
        <w:tc>
          <w:tcPr>
            <w:tcW w:w="1520" w:type="dxa"/>
            <w:vAlign w:val="bottom"/>
            <w:tcBorders>
              <w:right w:val="single" w:sz="8" w:color="auto"/>
            </w:tcBorders>
            <w:gridSpan w:val="3"/>
          </w:tcPr>
          <w:p>
            <w:pPr>
              <w:jc w:val="right"/>
              <w:ind w:right="97"/>
              <w:spacing w:after="0" w:line="165" w:lineRule="exact"/>
              <w:rPr>
                <w:sz w:val="20"/>
                <w:szCs w:val="20"/>
                <w:color w:val="auto"/>
              </w:rPr>
            </w:pPr>
            <w:r>
              <w:rPr>
                <w:rFonts w:ascii="Verdana" w:cs="Verdana" w:eastAsia="Verdana" w:hAnsi="Verdana"/>
                <w:sz w:val="17"/>
                <w:szCs w:val="17"/>
                <w:color w:val="auto"/>
                <w:w w:val="99"/>
              </w:rPr>
              <w:t>Корнелльского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3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 xml:space="preserve">показателя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w:t>
            </w: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ЭхоКГ   с   определением   ИММЛЖ   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диастолической  функции  при  взятии  под</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в последующем</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 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отсутствии достижения целевых значений АД</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60" w:type="dxa"/>
            <w:vAlign w:val="bottom"/>
          </w:tcPr>
          <w:p>
            <w:pPr>
              <w:ind w:left="140"/>
              <w:spacing w:after="0" w:line="165" w:lineRule="exact"/>
              <w:rPr>
                <w:sz w:val="20"/>
                <w:szCs w:val="20"/>
                <w:color w:val="auto"/>
              </w:rPr>
            </w:pPr>
            <w:r>
              <w:rPr>
                <w:rFonts w:ascii="Verdana" w:cs="Verdana" w:eastAsia="Verdana" w:hAnsi="Verdana"/>
                <w:sz w:val="17"/>
                <w:szCs w:val="17"/>
                <w:color w:val="auto"/>
              </w:rPr>
              <w:t>и</w:t>
            </w:r>
          </w:p>
        </w:tc>
        <w:tc>
          <w:tcPr>
            <w:tcW w:w="820" w:type="dxa"/>
            <w:vAlign w:val="bottom"/>
          </w:tcPr>
          <w:p>
            <w:pPr>
              <w:jc w:val="right"/>
              <w:spacing w:after="0" w:line="165" w:lineRule="exact"/>
              <w:rPr>
                <w:sz w:val="20"/>
                <w:szCs w:val="20"/>
                <w:color w:val="auto"/>
              </w:rPr>
            </w:pPr>
            <w:r>
              <w:rPr>
                <w:rFonts w:ascii="Verdana" w:cs="Verdana" w:eastAsia="Verdana" w:hAnsi="Verdana"/>
                <w:sz w:val="17"/>
                <w:szCs w:val="17"/>
                <w:color w:val="auto"/>
              </w:rPr>
              <w:t>наличии</w:t>
            </w:r>
          </w:p>
        </w:tc>
        <w:tc>
          <w:tcPr>
            <w:tcW w:w="1260" w:type="dxa"/>
            <w:vAlign w:val="bottom"/>
            <w:gridSpan w:val="2"/>
          </w:tcPr>
          <w:p>
            <w:pPr>
              <w:jc w:val="right"/>
              <w:ind w:right="57"/>
              <w:spacing w:after="0" w:line="165" w:lineRule="exact"/>
              <w:rPr>
                <w:sz w:val="20"/>
                <w:szCs w:val="20"/>
                <w:color w:val="auto"/>
              </w:rPr>
            </w:pPr>
            <w:r>
              <w:rPr>
                <w:rFonts w:ascii="Verdana" w:cs="Verdana" w:eastAsia="Verdana" w:hAnsi="Verdana"/>
                <w:sz w:val="17"/>
                <w:szCs w:val="17"/>
                <w:color w:val="auto"/>
              </w:rPr>
              <w:t>признаков</w:t>
            </w:r>
          </w:p>
        </w:tc>
        <w:tc>
          <w:tcPr>
            <w:tcW w:w="18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прогрессирования</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гипертрофии левого желудочка по данным</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расчета   индекса   Соколова</w:t>
            </w:r>
            <w:r>
              <w:rPr>
                <w:rFonts w:ascii="Verdana" w:cs="Verdana" w:eastAsia="Verdana" w:hAnsi="Verdana"/>
                <w:sz w:val="17"/>
                <w:szCs w:val="17"/>
                <w:color w:val="auto"/>
              </w:rPr>
              <w:t>–</w:t>
            </w:r>
            <w:r>
              <w:rPr>
                <w:rFonts w:ascii="Verdana" w:cs="Verdana" w:eastAsia="Verdana" w:hAnsi="Verdana"/>
                <w:sz w:val="17"/>
                <w:szCs w:val="17"/>
                <w:color w:val="auto"/>
              </w:rPr>
              <w:t>Лайона   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4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Корнельского показателя</w:t>
            </w: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дуплексное сканирование сонных артерий</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у мужчин старше </w:t>
            </w:r>
            <w:r>
              <w:rPr>
                <w:rFonts w:ascii="Verdana" w:cs="Verdana" w:eastAsia="Verdana" w:hAnsi="Verdana"/>
                <w:sz w:val="17"/>
                <w:szCs w:val="17"/>
                <w:color w:val="auto"/>
              </w:rPr>
              <w:t>40</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r>
              <w:rPr>
                <w:rFonts w:ascii="Verdana" w:cs="Verdana" w:eastAsia="Verdana" w:hAnsi="Verdana"/>
                <w:sz w:val="17"/>
                <w:szCs w:val="17"/>
                <w:color w:val="auto"/>
              </w:rPr>
              <w:t xml:space="preserve"> женщин старше </w:t>
            </w:r>
            <w:r>
              <w:rPr>
                <w:rFonts w:ascii="Verdana" w:cs="Verdana" w:eastAsia="Verdana" w:hAnsi="Verdana"/>
                <w:sz w:val="17"/>
                <w:szCs w:val="17"/>
                <w:color w:val="auto"/>
              </w:rPr>
              <w:t>50</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лет при ИМТ</w:t>
            </w:r>
            <w:r>
              <w:rPr>
                <w:rFonts w:ascii="Verdana" w:cs="Verdana" w:eastAsia="Verdana" w:hAnsi="Verdana"/>
                <w:sz w:val="17"/>
                <w:szCs w:val="17"/>
                <w:color w:val="auto"/>
              </w:rPr>
              <w:t>&gt;30</w:t>
            </w:r>
            <w:r>
              <w:rPr>
                <w:rFonts w:ascii="Verdana" w:cs="Verdana" w:eastAsia="Verdana" w:hAnsi="Verdana"/>
                <w:sz w:val="17"/>
                <w:szCs w:val="17"/>
                <w:color w:val="auto"/>
              </w:rPr>
              <w:t xml:space="preserve"> кг</w:t>
            </w:r>
            <w:r>
              <w:rPr>
                <w:rFonts w:ascii="Verdana" w:cs="Verdana" w:eastAsia="Verdana" w:hAnsi="Verdana"/>
                <w:sz w:val="17"/>
                <w:szCs w:val="17"/>
                <w:color w:val="auto"/>
              </w:rPr>
              <w:t>/</w:t>
            </w:r>
            <w:r>
              <w:rPr>
                <w:rFonts w:ascii="Verdana" w:cs="Verdana" w:eastAsia="Verdana" w:hAnsi="Verdana"/>
                <w:sz w:val="17"/>
                <w:szCs w:val="17"/>
                <w:color w:val="auto"/>
              </w:rPr>
              <w:t>м</w:t>
            </w:r>
            <w:r>
              <w:rPr>
                <w:rFonts w:ascii="Verdana" w:cs="Verdana" w:eastAsia="Verdana" w:hAnsi="Verdana"/>
                <w:sz w:val="17"/>
                <w:szCs w:val="17"/>
                <w:color w:val="auto"/>
              </w:rPr>
              <w:t>2</w:t>
            </w:r>
            <w:r>
              <w:rPr>
                <w:rFonts w:ascii="Verdana" w:cs="Verdana" w:eastAsia="Verdana" w:hAnsi="Verdana"/>
                <w:sz w:val="17"/>
                <w:szCs w:val="17"/>
                <w:color w:val="auto"/>
              </w:rPr>
              <w:t xml:space="preserve"> и более и общем</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холестерине </w:t>
            </w:r>
            <w:r>
              <w:rPr>
                <w:rFonts w:ascii="Verdana" w:cs="Verdana" w:eastAsia="Verdana" w:hAnsi="Verdana"/>
                <w:sz w:val="17"/>
                <w:szCs w:val="17"/>
                <w:color w:val="auto"/>
              </w:rPr>
              <w:t>&gt;5</w:t>
            </w:r>
            <w:r>
              <w:rPr>
                <w:rFonts w:ascii="Verdana" w:cs="Verdana" w:eastAsia="Verdana" w:hAnsi="Verdana"/>
                <w:sz w:val="17"/>
                <w:szCs w:val="17"/>
                <w:color w:val="auto"/>
              </w:rPr>
              <w:t xml:space="preserve"> ммоль</w:t>
            </w:r>
            <w:r>
              <w:rPr>
                <w:rFonts w:ascii="Verdana" w:cs="Verdana" w:eastAsia="Verdana" w:hAnsi="Verdana"/>
                <w:sz w:val="17"/>
                <w:szCs w:val="17"/>
                <w:color w:val="auto"/>
              </w:rPr>
              <w:t>/</w:t>
            </w:r>
            <w:r>
              <w:rPr>
                <w:rFonts w:ascii="Verdana" w:cs="Verdana" w:eastAsia="Verdana" w:hAnsi="Verdana"/>
                <w:sz w:val="17"/>
                <w:szCs w:val="17"/>
                <w:color w:val="auto"/>
              </w:rPr>
              <w:t>л и более при взятии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 с</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целью   определения   ТИМ   и   наличия</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3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атеросклеротических бляшек</w:t>
            </w:r>
            <w:r>
              <w:rPr>
                <w:rFonts w:ascii="Verdana" w:cs="Verdana" w:eastAsia="Verdana" w:hAnsi="Verdana"/>
                <w:sz w:val="17"/>
                <w:szCs w:val="17"/>
                <w:color w:val="auto"/>
              </w:rPr>
              <w:t>*</w:t>
            </w: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УЗИ  почек  и  дуплексное  сканирование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почечных</w:t>
            </w:r>
          </w:p>
        </w:tc>
        <w:tc>
          <w:tcPr>
            <w:tcW w:w="1260" w:type="dxa"/>
            <w:vAlign w:val="bottom"/>
            <w:gridSpan w:val="2"/>
          </w:tcPr>
          <w:p>
            <w:pPr>
              <w:jc w:val="right"/>
              <w:ind w:right="217"/>
              <w:spacing w:after="0" w:line="165" w:lineRule="exact"/>
              <w:rPr>
                <w:sz w:val="20"/>
                <w:szCs w:val="20"/>
                <w:color w:val="auto"/>
              </w:rPr>
            </w:pPr>
            <w:r>
              <w:rPr>
                <w:rFonts w:ascii="Verdana" w:cs="Verdana" w:eastAsia="Verdana" w:hAnsi="Verdana"/>
                <w:sz w:val="17"/>
                <w:szCs w:val="17"/>
                <w:color w:val="auto"/>
              </w:rPr>
              <w:t>артерий</w:t>
            </w:r>
          </w:p>
        </w:tc>
        <w:tc>
          <w:tcPr>
            <w:tcW w:w="860" w:type="dxa"/>
            <w:vAlign w:val="bottom"/>
            <w:gridSpan w:val="2"/>
          </w:tcPr>
          <w:p>
            <w:pPr>
              <w:ind w:left="160"/>
              <w:spacing w:after="0" w:line="165" w:lineRule="exact"/>
              <w:rPr>
                <w:sz w:val="20"/>
                <w:szCs w:val="20"/>
                <w:color w:val="auto"/>
              </w:rPr>
            </w:pPr>
            <w:r>
              <w:rPr>
                <w:rFonts w:ascii="Verdana" w:cs="Verdana" w:eastAsia="Verdana" w:hAnsi="Verdana"/>
                <w:sz w:val="17"/>
                <w:szCs w:val="17"/>
                <w:color w:val="auto"/>
              </w:rPr>
              <w:t>при</w:t>
            </w:r>
          </w:p>
        </w:tc>
        <w:tc>
          <w:tcPr>
            <w:tcW w:w="98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наличии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обоснованного подозрения на их патологию</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лодыжечно</w:t>
            </w:r>
            <w:r>
              <w:rPr>
                <w:rFonts w:ascii="Verdana" w:cs="Verdana" w:eastAsia="Verdana" w:hAnsi="Verdana"/>
                <w:sz w:val="17"/>
                <w:szCs w:val="17"/>
                <w:color w:val="auto"/>
              </w:rPr>
              <w:t>-</w:t>
            </w:r>
            <w:r>
              <w:rPr>
                <w:rFonts w:ascii="Verdana" w:cs="Verdana" w:eastAsia="Verdana" w:hAnsi="Verdana"/>
                <w:sz w:val="17"/>
                <w:szCs w:val="17"/>
                <w:color w:val="auto"/>
              </w:rPr>
              <w:t>плечевой индекс при наличии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обоснованного подозрения на стеноз сосудов</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2440" w:type="dxa"/>
            <w:vAlign w:val="bottom"/>
            <w:gridSpan w:val="4"/>
          </w:tcPr>
          <w:p>
            <w:pPr>
              <w:ind w:left="140"/>
              <w:spacing w:after="0" w:line="165" w:lineRule="exact"/>
              <w:rPr>
                <w:sz w:val="20"/>
                <w:szCs w:val="20"/>
                <w:color w:val="auto"/>
              </w:rPr>
            </w:pPr>
            <w:r>
              <w:rPr>
                <w:rFonts w:ascii="Verdana" w:cs="Verdana" w:eastAsia="Verdana" w:hAnsi="Verdana"/>
                <w:sz w:val="17"/>
                <w:szCs w:val="17"/>
                <w:color w:val="auto"/>
              </w:rPr>
              <w:t>нижних конечностей</w:t>
            </w:r>
            <w:r>
              <w:rPr>
                <w:rFonts w:ascii="Verdana" w:cs="Verdana" w:eastAsia="Verdana" w:hAnsi="Verdana"/>
                <w:sz w:val="17"/>
                <w:szCs w:val="17"/>
                <w:color w:val="auto"/>
              </w:rPr>
              <w:t>*</w:t>
            </w: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консультация окулиста на предмет наличия</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кровоизлияний  или  экссудата  на  глазном</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дне</w:t>
            </w:r>
            <w:r>
              <w:rPr>
                <w:rFonts w:ascii="Verdana" w:cs="Verdana" w:eastAsia="Verdana" w:hAnsi="Verdana"/>
                <w:sz w:val="17"/>
                <w:szCs w:val="17"/>
                <w:color w:val="auto"/>
              </w:rPr>
              <w:t>,</w:t>
            </w:r>
            <w:r>
              <w:rPr>
                <w:rFonts w:ascii="Verdana" w:cs="Verdana" w:eastAsia="Verdana" w:hAnsi="Verdana"/>
                <w:sz w:val="17"/>
                <w:szCs w:val="17"/>
                <w:color w:val="auto"/>
              </w:rPr>
              <w:t xml:space="preserve">  отека  соска  зрительного  нерва  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300" w:type="dxa"/>
            <w:vAlign w:val="bottom"/>
            <w:gridSpan w:val="6"/>
          </w:tcPr>
          <w:p>
            <w:pPr>
              <w:ind w:left="140"/>
              <w:spacing w:after="0" w:line="165" w:lineRule="exact"/>
              <w:rPr>
                <w:sz w:val="20"/>
                <w:szCs w:val="20"/>
                <w:color w:val="auto"/>
              </w:rPr>
            </w:pPr>
            <w:r>
              <w:rPr>
                <w:rFonts w:ascii="Verdana" w:cs="Verdana" w:eastAsia="Verdana" w:hAnsi="Verdana"/>
                <w:sz w:val="17"/>
                <w:szCs w:val="17"/>
                <w:color w:val="auto"/>
              </w:rPr>
              <w:t>взятии под ДН и по показаниям</w:t>
            </w: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оценка суммарного 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сосудистого</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риска по таблице величины риска при АГ 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по шкале </w:t>
            </w:r>
            <w:r>
              <w:rPr>
                <w:rFonts w:ascii="Verdana" w:cs="Verdana" w:eastAsia="Verdana" w:hAnsi="Verdana"/>
                <w:sz w:val="17"/>
                <w:szCs w:val="17"/>
                <w:color w:val="auto"/>
              </w:rPr>
              <w:t>SCORE (</w:t>
            </w:r>
            <w:r>
              <w:rPr>
                <w:rFonts w:ascii="Verdana" w:cs="Verdana" w:eastAsia="Verdana" w:hAnsi="Verdana"/>
                <w:sz w:val="17"/>
                <w:szCs w:val="17"/>
                <w:color w:val="auto"/>
              </w:rPr>
              <w:t>при интерпретации уровня</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риска приоритет отдается более высокому</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показателю</w:t>
            </w:r>
            <w:r>
              <w:rPr>
                <w:rFonts w:ascii="Verdana" w:cs="Verdana" w:eastAsia="Verdana" w:hAnsi="Verdana"/>
                <w:sz w:val="17"/>
                <w:szCs w:val="17"/>
                <w:color w:val="auto"/>
              </w:rPr>
              <w:t>)</w:t>
            </w:r>
          </w:p>
        </w:tc>
        <w:tc>
          <w:tcPr>
            <w:tcW w:w="700" w:type="dxa"/>
            <w:vAlign w:val="bottom"/>
          </w:tcPr>
          <w:p>
            <w:pPr>
              <w:spacing w:after="0"/>
              <w:rPr>
                <w:sz w:val="14"/>
                <w:szCs w:val="14"/>
                <w:color w:val="auto"/>
              </w:rPr>
            </w:pPr>
          </w:p>
        </w:tc>
        <w:tc>
          <w:tcPr>
            <w:tcW w:w="860" w:type="dxa"/>
            <w:vAlign w:val="bottom"/>
            <w:gridSpan w:val="2"/>
            <w:vMerge w:val="restart"/>
          </w:tcPr>
          <w:p>
            <w:pPr>
              <w:ind w:left="60"/>
              <w:spacing w:after="0"/>
              <w:rPr>
                <w:sz w:val="20"/>
                <w:szCs w:val="20"/>
                <w:color w:val="auto"/>
              </w:rPr>
            </w:pPr>
            <w:r>
              <w:rPr>
                <w:rFonts w:ascii="Verdana" w:cs="Verdana" w:eastAsia="Verdana" w:hAnsi="Verdana"/>
                <w:sz w:val="17"/>
                <w:szCs w:val="17"/>
                <w:color w:val="auto"/>
              </w:rPr>
              <w:t>терапии</w:t>
            </w:r>
          </w:p>
        </w:tc>
        <w:tc>
          <w:tcPr>
            <w:tcW w:w="980" w:type="dxa"/>
            <w:vAlign w:val="bottom"/>
            <w:tcBorders>
              <w:right w:val="single" w:sz="8" w:color="auto"/>
            </w:tcBorders>
            <w:gridSpan w:val="2"/>
            <w:vMerge w:val="restart"/>
          </w:tcPr>
          <w:p>
            <w:pPr>
              <w:jc w:val="right"/>
              <w:ind w:right="97"/>
              <w:spacing w:after="0"/>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при</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360" w:type="dxa"/>
            <w:vAlign w:val="bottom"/>
          </w:tcPr>
          <w:p>
            <w:pPr>
              <w:ind w:left="140"/>
              <w:spacing w:after="0" w:line="165" w:lineRule="exact"/>
              <w:rPr>
                <w:sz w:val="20"/>
                <w:szCs w:val="20"/>
                <w:color w:val="auto"/>
              </w:rPr>
            </w:pPr>
            <w:r>
              <w:rPr>
                <w:rFonts w:ascii="Verdana" w:cs="Verdana" w:eastAsia="Verdana" w:hAnsi="Verdana"/>
                <w:sz w:val="17"/>
                <w:szCs w:val="17"/>
                <w:color w:val="auto"/>
              </w:rPr>
              <w:t>-</w:t>
            </w:r>
          </w:p>
        </w:tc>
        <w:tc>
          <w:tcPr>
            <w:tcW w:w="2080" w:type="dxa"/>
            <w:vAlign w:val="bottom"/>
            <w:gridSpan w:val="3"/>
          </w:tcPr>
          <w:p>
            <w:pPr>
              <w:jc w:val="right"/>
              <w:ind w:right="357"/>
              <w:spacing w:after="0" w:line="165" w:lineRule="exact"/>
              <w:rPr>
                <w:sz w:val="20"/>
                <w:szCs w:val="20"/>
                <w:color w:val="auto"/>
              </w:rPr>
            </w:pPr>
            <w:r>
              <w:rPr>
                <w:rFonts w:ascii="Verdana" w:cs="Verdana" w:eastAsia="Verdana" w:hAnsi="Verdana"/>
                <w:sz w:val="17"/>
                <w:szCs w:val="17"/>
                <w:color w:val="auto"/>
              </w:rPr>
              <w:t>корректировка</w:t>
            </w:r>
          </w:p>
        </w:tc>
        <w:tc>
          <w:tcPr>
            <w:tcW w:w="860" w:type="dxa"/>
            <w:vAlign w:val="bottom"/>
            <w:gridSpan w:val="2"/>
            <w:vMerge w:val="continue"/>
          </w:tcPr>
          <w:p>
            <w:pPr>
              <w:spacing w:after="0"/>
              <w:rPr>
                <w:sz w:val="14"/>
                <w:szCs w:val="14"/>
                <w:color w:val="auto"/>
              </w:rPr>
            </w:pPr>
          </w:p>
        </w:tc>
        <w:tc>
          <w:tcPr>
            <w:tcW w:w="980" w:type="dxa"/>
            <w:vAlign w:val="bottom"/>
            <w:tcBorders>
              <w:right w:val="single" w:sz="8" w:color="auto"/>
            </w:tcBorders>
            <w:gridSpan w:val="2"/>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740" w:type="dxa"/>
            <w:vAlign w:val="bottom"/>
            <w:gridSpan w:val="3"/>
          </w:tcPr>
          <w:p>
            <w:pPr>
              <w:ind w:left="140"/>
              <w:spacing w:after="0" w:line="165" w:lineRule="exact"/>
              <w:rPr>
                <w:sz w:val="20"/>
                <w:szCs w:val="20"/>
                <w:color w:val="auto"/>
              </w:rPr>
            </w:pPr>
            <w:r>
              <w:rPr>
                <w:rFonts w:ascii="Verdana" w:cs="Verdana" w:eastAsia="Verdana" w:hAnsi="Verdana"/>
                <w:sz w:val="17"/>
                <w:szCs w:val="17"/>
                <w:color w:val="auto"/>
              </w:rPr>
              <w:t>необходимости</w:t>
            </w:r>
            <w:r>
              <w:rPr>
                <w:rFonts w:ascii="Verdana" w:cs="Verdana" w:eastAsia="Verdana" w:hAnsi="Verdana"/>
                <w:sz w:val="17"/>
                <w:szCs w:val="17"/>
                <w:color w:val="auto"/>
              </w:rPr>
              <w:t>)</w:t>
            </w:r>
          </w:p>
        </w:tc>
        <w:tc>
          <w:tcPr>
            <w:tcW w:w="700" w:type="dxa"/>
            <w:vAlign w:val="bottom"/>
          </w:tcPr>
          <w:p>
            <w:pPr>
              <w:spacing w:after="0"/>
              <w:rPr>
                <w:sz w:val="14"/>
                <w:szCs w:val="14"/>
                <w:color w:val="auto"/>
              </w:rPr>
            </w:pPr>
          </w:p>
        </w:tc>
        <w:tc>
          <w:tcPr>
            <w:tcW w:w="32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620" w:type="dxa"/>
            <w:vAlign w:val="bottom"/>
          </w:tcPr>
          <w:p>
            <w:pPr>
              <w:spacing w:after="0"/>
              <w:rPr>
                <w:sz w:val="14"/>
                <w:szCs w:val="14"/>
                <w:color w:val="auto"/>
              </w:rPr>
            </w:pPr>
          </w:p>
        </w:tc>
        <w:tc>
          <w:tcPr>
            <w:tcW w:w="36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объяснение пациенту и</w:t>
            </w:r>
            <w:r>
              <w:rPr>
                <w:rFonts w:ascii="Verdana" w:cs="Verdana" w:eastAsia="Verdana" w:hAnsi="Verdana"/>
                <w:sz w:val="17"/>
                <w:szCs w:val="17"/>
                <w:color w:val="auto"/>
              </w:rPr>
              <w:t>/</w:t>
            </w:r>
            <w:r>
              <w:rPr>
                <w:rFonts w:ascii="Verdana" w:cs="Verdana" w:eastAsia="Verdana" w:hAnsi="Verdana"/>
                <w:sz w:val="17"/>
                <w:szCs w:val="17"/>
                <w:color w:val="auto"/>
              </w:rPr>
              <w:t>или обеспечение</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его  памяткой  по  алгоритму  неотложных</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действий при жизнеугрожающем состоянии</w:t>
            </w:r>
            <w:r>
              <w:rPr>
                <w:rFonts w:ascii="Verdana" w:cs="Verdana" w:eastAsia="Verdana" w:hAnsi="Verdana"/>
                <w:sz w:val="17"/>
                <w:szCs w:val="17"/>
                <w:color w:val="auto"/>
              </w:rPr>
              <w:t>,</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вероятность развития которого у пациента</w:t>
            </w:r>
          </w:p>
        </w:tc>
        <w:tc>
          <w:tcPr>
            <w:tcW w:w="0" w:type="dxa"/>
            <w:vAlign w:val="bottom"/>
          </w:tcPr>
          <w:p>
            <w:pPr>
              <w:spacing w:after="0"/>
              <w:rPr>
                <w:sz w:val="1"/>
                <w:szCs w:val="1"/>
                <w:color w:val="auto"/>
              </w:rPr>
            </w:pPr>
          </w:p>
        </w:tc>
      </w:tr>
      <w:tr>
        <w:trPr>
          <w:trHeight w:val="220"/>
        </w:trPr>
        <w:tc>
          <w:tcPr>
            <w:tcW w:w="500" w:type="dxa"/>
            <w:vAlign w:val="bottom"/>
            <w:tcBorders>
              <w:left w:val="single" w:sz="8" w:color="auto"/>
            </w:tcBorders>
          </w:tcPr>
          <w:p>
            <w:pPr>
              <w:spacing w:after="0"/>
              <w:rPr>
                <w:sz w:val="19"/>
                <w:szCs w:val="19"/>
                <w:color w:val="auto"/>
              </w:rPr>
            </w:pPr>
          </w:p>
        </w:tc>
        <w:tc>
          <w:tcPr>
            <w:tcW w:w="1200" w:type="dxa"/>
            <w:vAlign w:val="bottom"/>
            <w:tcBorders>
              <w:right w:val="single" w:sz="8" w:color="auto"/>
            </w:tcBorders>
          </w:tcPr>
          <w:p>
            <w:pPr>
              <w:spacing w:after="0"/>
              <w:rPr>
                <w:sz w:val="19"/>
                <w:szCs w:val="19"/>
                <w:color w:val="auto"/>
              </w:rPr>
            </w:pPr>
          </w:p>
        </w:tc>
        <w:tc>
          <w:tcPr>
            <w:tcW w:w="2480" w:type="dxa"/>
            <w:vAlign w:val="bottom"/>
            <w:tcBorders>
              <w:right w:val="single" w:sz="8" w:color="auto"/>
            </w:tcBorders>
          </w:tcPr>
          <w:p>
            <w:pPr>
              <w:spacing w:after="0"/>
              <w:rPr>
                <w:sz w:val="19"/>
                <w:szCs w:val="19"/>
                <w:color w:val="auto"/>
              </w:rPr>
            </w:pPr>
          </w:p>
        </w:tc>
        <w:tc>
          <w:tcPr>
            <w:tcW w:w="1740" w:type="dxa"/>
            <w:vAlign w:val="bottom"/>
            <w:gridSpan w:val="3"/>
          </w:tcPr>
          <w:p>
            <w:pPr>
              <w:ind w:left="140"/>
              <w:spacing w:after="0"/>
              <w:rPr>
                <w:sz w:val="20"/>
                <w:szCs w:val="20"/>
                <w:color w:val="auto"/>
              </w:rPr>
            </w:pPr>
            <w:r>
              <w:rPr>
                <w:rFonts w:ascii="Verdana" w:cs="Verdana" w:eastAsia="Verdana" w:hAnsi="Verdana"/>
                <w:sz w:val="17"/>
                <w:szCs w:val="17"/>
                <w:color w:val="auto"/>
                <w:w w:val="96"/>
              </w:rPr>
              <w:t>наиболее высокая</w:t>
            </w:r>
          </w:p>
        </w:tc>
        <w:tc>
          <w:tcPr>
            <w:tcW w:w="700" w:type="dxa"/>
            <w:vAlign w:val="bottom"/>
          </w:tcPr>
          <w:p>
            <w:pPr>
              <w:spacing w:after="0"/>
              <w:rPr>
                <w:sz w:val="19"/>
                <w:szCs w:val="19"/>
                <w:color w:val="auto"/>
              </w:rPr>
            </w:pPr>
          </w:p>
        </w:tc>
        <w:tc>
          <w:tcPr>
            <w:tcW w:w="320" w:type="dxa"/>
            <w:vAlign w:val="bottom"/>
          </w:tcPr>
          <w:p>
            <w:pPr>
              <w:spacing w:after="0"/>
              <w:rPr>
                <w:sz w:val="19"/>
                <w:szCs w:val="19"/>
                <w:color w:val="auto"/>
              </w:rPr>
            </w:pPr>
          </w:p>
        </w:tc>
        <w:tc>
          <w:tcPr>
            <w:tcW w:w="540" w:type="dxa"/>
            <w:vAlign w:val="bottom"/>
          </w:tcPr>
          <w:p>
            <w:pPr>
              <w:spacing w:after="0"/>
              <w:rPr>
                <w:sz w:val="19"/>
                <w:szCs w:val="19"/>
                <w:color w:val="auto"/>
              </w:rPr>
            </w:pPr>
          </w:p>
        </w:tc>
        <w:tc>
          <w:tcPr>
            <w:tcW w:w="620" w:type="dxa"/>
            <w:vAlign w:val="bottom"/>
          </w:tcPr>
          <w:p>
            <w:pPr>
              <w:spacing w:after="0"/>
              <w:rPr>
                <w:sz w:val="19"/>
                <w:szCs w:val="19"/>
                <w:color w:val="auto"/>
              </w:rPr>
            </w:pPr>
          </w:p>
        </w:tc>
        <w:tc>
          <w:tcPr>
            <w:tcW w:w="36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275"/>
        </w:trPr>
        <w:tc>
          <w:tcPr>
            <w:tcW w:w="500" w:type="dxa"/>
            <w:vAlign w:val="bottom"/>
            <w:tcBorders>
              <w:left w:val="single" w:sz="8" w:color="auto"/>
              <w:bottom w:val="single" w:sz="8" w:color="auto"/>
            </w:tcBorders>
          </w:tcPr>
          <w:p>
            <w:pPr>
              <w:spacing w:after="0"/>
              <w:rPr>
                <w:sz w:val="23"/>
                <w:szCs w:val="23"/>
                <w:color w:val="auto"/>
              </w:rPr>
            </w:pPr>
          </w:p>
        </w:tc>
        <w:tc>
          <w:tcPr>
            <w:tcW w:w="1200" w:type="dxa"/>
            <w:vAlign w:val="bottom"/>
            <w:tcBorders>
              <w:bottom w:val="single" w:sz="8" w:color="auto"/>
              <w:right w:val="single" w:sz="8" w:color="auto"/>
            </w:tcBorders>
          </w:tcPr>
          <w:p>
            <w:pPr>
              <w:spacing w:after="0"/>
              <w:rPr>
                <w:sz w:val="23"/>
                <w:szCs w:val="23"/>
                <w:color w:val="auto"/>
              </w:rPr>
            </w:pPr>
          </w:p>
        </w:tc>
        <w:tc>
          <w:tcPr>
            <w:tcW w:w="2480" w:type="dxa"/>
            <w:vAlign w:val="bottom"/>
            <w:tcBorders>
              <w:bottom w:val="single" w:sz="8" w:color="auto"/>
              <w:right w:val="single" w:sz="8" w:color="auto"/>
            </w:tcBorders>
          </w:tcPr>
          <w:p>
            <w:pPr>
              <w:spacing w:after="0"/>
              <w:rPr>
                <w:sz w:val="23"/>
                <w:szCs w:val="23"/>
                <w:color w:val="auto"/>
              </w:rPr>
            </w:pPr>
          </w:p>
        </w:tc>
        <w:tc>
          <w:tcPr>
            <w:tcW w:w="4280" w:type="dxa"/>
            <w:vAlign w:val="bottom"/>
            <w:tcBorders>
              <w:bottom w:val="single" w:sz="8" w:color="auto"/>
              <w:right w:val="single" w:sz="8" w:color="auto"/>
            </w:tcBorders>
            <w:gridSpan w:val="8"/>
          </w:tcPr>
          <w:p>
            <w:pPr>
              <w:spacing w:after="0"/>
              <w:rPr>
                <w:sz w:val="23"/>
                <w:szCs w:val="23"/>
                <w:color w:val="auto"/>
              </w:rPr>
            </w:pPr>
          </w:p>
        </w:tc>
        <w:tc>
          <w:tcPr>
            <w:tcW w:w="0" w:type="dxa"/>
            <w:vAlign w:val="bottom"/>
          </w:tcPr>
          <w:p>
            <w:pPr>
              <w:spacing w:after="0"/>
              <w:rPr>
                <w:sz w:val="1"/>
                <w:szCs w:val="1"/>
                <w:color w:val="auto"/>
              </w:rPr>
            </w:pPr>
          </w:p>
        </w:tc>
      </w:tr>
      <w:tr>
        <w:trPr>
          <w:trHeight w:val="295"/>
        </w:trPr>
        <w:tc>
          <w:tcPr>
            <w:tcW w:w="50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АГ</w:t>
            </w:r>
          </w:p>
        </w:tc>
        <w:tc>
          <w:tcPr>
            <w:tcW w:w="12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1–3-</w:t>
            </w:r>
            <w:r>
              <w:rPr>
                <w:rFonts w:ascii="Verdana" w:cs="Verdana" w:eastAsia="Verdana" w:hAnsi="Verdana"/>
                <w:sz w:val="17"/>
                <w:szCs w:val="17"/>
                <w:color w:val="auto"/>
              </w:rPr>
              <w:t>й</w:t>
            </w:r>
          </w:p>
        </w:tc>
        <w:tc>
          <w:tcPr>
            <w:tcW w:w="24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 xml:space="preserve">Не менее </w:t>
            </w:r>
            <w:r>
              <w:rPr>
                <w:rFonts w:ascii="Verdana" w:cs="Verdana" w:eastAsia="Verdana" w:hAnsi="Verdana"/>
                <w:sz w:val="17"/>
                <w:szCs w:val="17"/>
                <w:color w:val="auto"/>
              </w:rPr>
              <w:t>2</w:t>
            </w:r>
            <w:r>
              <w:rPr>
                <w:rFonts w:ascii="Verdana" w:cs="Verdana" w:eastAsia="Verdana" w:hAnsi="Verdana"/>
                <w:sz w:val="17"/>
                <w:szCs w:val="17"/>
                <w:color w:val="auto"/>
              </w:rPr>
              <w:t xml:space="preserve"> раз в год</w:t>
            </w:r>
          </w:p>
        </w:tc>
        <w:tc>
          <w:tcPr>
            <w:tcW w:w="4280" w:type="dxa"/>
            <w:vAlign w:val="bottom"/>
            <w:tcBorders>
              <w:right w:val="single" w:sz="8" w:color="auto"/>
            </w:tcBorders>
            <w:gridSpan w:val="8"/>
          </w:tcPr>
          <w:p>
            <w:pPr>
              <w:ind w:left="140"/>
              <w:spacing w:after="0"/>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сбор жалоб и анамнеза</w:t>
            </w:r>
            <w:r>
              <w:rPr>
                <w:rFonts w:ascii="Verdana" w:cs="Verdana" w:eastAsia="Verdana" w:hAnsi="Verdana"/>
                <w:sz w:val="17"/>
                <w:szCs w:val="17"/>
                <w:color w:val="auto"/>
              </w:rPr>
              <w:t xml:space="preserve">, </w:t>
            </w:r>
            <w:r>
              <w:rPr>
                <w:rFonts w:ascii="Verdana" w:cs="Verdana" w:eastAsia="Verdana" w:hAnsi="Verdana"/>
                <w:sz w:val="17"/>
                <w:szCs w:val="17"/>
                <w:color w:val="auto"/>
              </w:rPr>
              <w:t>активный опрос на</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степени с ССЗ</w:t>
            </w:r>
            <w:r>
              <w:rPr>
                <w:rFonts w:ascii="Verdana" w:cs="Verdana" w:eastAsia="Verdana" w:hAnsi="Verdana"/>
                <w:sz w:val="17"/>
                <w:szCs w:val="17"/>
                <w:color w:val="auto"/>
              </w:rPr>
              <w:t>,</w:t>
            </w: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наличие</w:t>
            </w:r>
            <w:r>
              <w:rPr>
                <w:rFonts w:ascii="Verdana" w:cs="Verdana" w:eastAsia="Verdana" w:hAnsi="Verdana"/>
                <w:sz w:val="17"/>
                <w:szCs w:val="17"/>
                <w:color w:val="auto"/>
              </w:rPr>
              <w:t>,</w:t>
            </w:r>
            <w:r>
              <w:rPr>
                <w:rFonts w:ascii="Verdana" w:cs="Verdana" w:eastAsia="Verdana" w:hAnsi="Verdana"/>
                <w:sz w:val="17"/>
                <w:szCs w:val="17"/>
                <w:color w:val="auto"/>
              </w:rPr>
              <w:t xml:space="preserve"> характер и выраженность боли в</w:t>
            </w:r>
          </w:p>
        </w:tc>
        <w:tc>
          <w:tcPr>
            <w:tcW w:w="0" w:type="dxa"/>
            <w:vAlign w:val="bottom"/>
          </w:tcPr>
          <w:p>
            <w:pPr>
              <w:spacing w:after="0"/>
              <w:rPr>
                <w:sz w:val="1"/>
                <w:szCs w:val="1"/>
                <w:color w:val="auto"/>
              </w:rPr>
            </w:pPr>
          </w:p>
        </w:tc>
      </w:tr>
      <w:tr>
        <w:trPr>
          <w:trHeight w:val="165"/>
        </w:trPr>
        <w:tc>
          <w:tcPr>
            <w:tcW w:w="170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ЦВБ и ХБП</w:t>
            </w: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грудной клетке и одышки при физической</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11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нагрузке</w:t>
            </w:r>
            <w:r>
              <w:rPr>
                <w:rFonts w:ascii="Verdana" w:cs="Verdana" w:eastAsia="Verdana" w:hAnsi="Verdana"/>
                <w:sz w:val="17"/>
                <w:szCs w:val="17"/>
                <w:color w:val="auto"/>
              </w:rPr>
              <w:t>,</w:t>
            </w:r>
          </w:p>
        </w:tc>
        <w:tc>
          <w:tcPr>
            <w:tcW w:w="1260" w:type="dxa"/>
            <w:vAlign w:val="bottom"/>
            <w:gridSpan w:val="2"/>
          </w:tcPr>
          <w:p>
            <w:pPr>
              <w:jc w:val="right"/>
              <w:ind w:right="177"/>
              <w:spacing w:after="0" w:line="165" w:lineRule="exact"/>
              <w:rPr>
                <w:sz w:val="20"/>
                <w:szCs w:val="20"/>
                <w:color w:val="auto"/>
              </w:rPr>
            </w:pPr>
            <w:r>
              <w:rPr>
                <w:rFonts w:ascii="Verdana" w:cs="Verdana" w:eastAsia="Verdana" w:hAnsi="Verdana"/>
                <w:sz w:val="17"/>
                <w:szCs w:val="17"/>
                <w:color w:val="auto"/>
              </w:rPr>
              <w:t>эпизодов</w:t>
            </w:r>
          </w:p>
        </w:tc>
        <w:tc>
          <w:tcPr>
            <w:tcW w:w="1840" w:type="dxa"/>
            <w:vAlign w:val="bottom"/>
            <w:tcBorders>
              <w:right w:val="single" w:sz="8" w:color="auto"/>
            </w:tcBorders>
            <w:gridSpan w:val="4"/>
          </w:tcPr>
          <w:p>
            <w:pPr>
              <w:jc w:val="right"/>
              <w:ind w:right="97"/>
              <w:spacing w:after="0" w:line="165" w:lineRule="exact"/>
              <w:rPr>
                <w:sz w:val="20"/>
                <w:szCs w:val="20"/>
                <w:color w:val="auto"/>
              </w:rPr>
            </w:pPr>
            <w:r>
              <w:rPr>
                <w:rFonts w:ascii="Verdana" w:cs="Verdana" w:eastAsia="Verdana" w:hAnsi="Verdana"/>
                <w:sz w:val="17"/>
                <w:szCs w:val="17"/>
                <w:color w:val="auto"/>
              </w:rPr>
              <w:t>кратковременной</w:t>
            </w:r>
          </w:p>
        </w:tc>
        <w:tc>
          <w:tcPr>
            <w:tcW w:w="0" w:type="dxa"/>
            <w:vAlign w:val="bottom"/>
          </w:tcPr>
          <w:p>
            <w:pPr>
              <w:spacing w:after="0"/>
              <w:rPr>
                <w:sz w:val="1"/>
                <w:szCs w:val="1"/>
                <w:color w:val="auto"/>
              </w:rPr>
            </w:pPr>
          </w:p>
        </w:tc>
      </w:tr>
      <w:tr>
        <w:trPr>
          <w:trHeight w:val="165"/>
        </w:trPr>
        <w:tc>
          <w:tcPr>
            <w:tcW w:w="500" w:type="dxa"/>
            <w:vAlign w:val="bottom"/>
            <w:tcBorders>
              <w:left w:val="single" w:sz="8" w:color="auto"/>
            </w:tcBorders>
          </w:tcPr>
          <w:p>
            <w:pPr>
              <w:spacing w:after="0"/>
              <w:rPr>
                <w:sz w:val="14"/>
                <w:szCs w:val="14"/>
                <w:color w:val="auto"/>
              </w:rPr>
            </w:pPr>
          </w:p>
        </w:tc>
        <w:tc>
          <w:tcPr>
            <w:tcW w:w="1200" w:type="dxa"/>
            <w:vAlign w:val="bottom"/>
            <w:tcBorders>
              <w:right w:val="single" w:sz="8" w:color="auto"/>
            </w:tcBorders>
          </w:tcPr>
          <w:p>
            <w:pPr>
              <w:spacing w:after="0"/>
              <w:rPr>
                <w:sz w:val="14"/>
                <w:szCs w:val="14"/>
                <w:color w:val="auto"/>
              </w:rPr>
            </w:pPr>
          </w:p>
        </w:tc>
        <w:tc>
          <w:tcPr>
            <w:tcW w:w="2480" w:type="dxa"/>
            <w:vAlign w:val="bottom"/>
            <w:tcBorders>
              <w:right w:val="single" w:sz="8" w:color="auto"/>
            </w:tcBorders>
          </w:tcPr>
          <w:p>
            <w:pPr>
              <w:spacing w:after="0"/>
              <w:rPr>
                <w:sz w:val="14"/>
                <w:szCs w:val="14"/>
                <w:color w:val="auto"/>
              </w:rPr>
            </w:pPr>
          </w:p>
        </w:tc>
        <w:tc>
          <w:tcPr>
            <w:tcW w:w="4280" w:type="dxa"/>
            <w:vAlign w:val="bottom"/>
            <w:tcBorders>
              <w:right w:val="single" w:sz="8" w:color="auto"/>
            </w:tcBorders>
            <w:gridSpan w:val="8"/>
          </w:tcPr>
          <w:p>
            <w:pPr>
              <w:ind w:left="140"/>
              <w:spacing w:after="0" w:line="165" w:lineRule="exact"/>
              <w:rPr>
                <w:sz w:val="20"/>
                <w:szCs w:val="20"/>
                <w:color w:val="auto"/>
              </w:rPr>
            </w:pPr>
            <w:r>
              <w:rPr>
                <w:rFonts w:ascii="Verdana" w:cs="Verdana" w:eastAsia="Verdana" w:hAnsi="Verdana"/>
                <w:sz w:val="17"/>
                <w:szCs w:val="17"/>
                <w:color w:val="auto"/>
              </w:rPr>
              <w:t>слабости в конечностях</w:t>
            </w:r>
            <w:r>
              <w:rPr>
                <w:rFonts w:ascii="Verdana" w:cs="Verdana" w:eastAsia="Verdana" w:hAnsi="Verdana"/>
                <w:sz w:val="17"/>
                <w:szCs w:val="17"/>
                <w:color w:val="auto"/>
              </w:rPr>
              <w:t>,</w:t>
            </w:r>
            <w:r>
              <w:rPr>
                <w:rFonts w:ascii="Verdana" w:cs="Verdana" w:eastAsia="Verdana" w:hAnsi="Verdana"/>
                <w:sz w:val="17"/>
                <w:szCs w:val="17"/>
                <w:color w:val="auto"/>
              </w:rPr>
              <w:t xml:space="preserve"> онемения половины</w:t>
            </w:r>
          </w:p>
        </w:tc>
        <w:tc>
          <w:tcPr>
            <w:tcW w:w="0" w:type="dxa"/>
            <w:vAlign w:val="bottom"/>
          </w:tcPr>
          <w:p>
            <w:pPr>
              <w:spacing w:after="0"/>
              <w:rPr>
                <w:sz w:val="1"/>
                <w:szCs w:val="1"/>
                <w:color w:val="auto"/>
              </w:rPr>
            </w:pPr>
          </w:p>
        </w:tc>
      </w:tr>
      <w:tr>
        <w:trPr>
          <w:trHeight w:val="220"/>
        </w:trPr>
        <w:tc>
          <w:tcPr>
            <w:tcW w:w="500" w:type="dxa"/>
            <w:vAlign w:val="bottom"/>
            <w:tcBorders>
              <w:left w:val="single" w:sz="8" w:color="auto"/>
            </w:tcBorders>
          </w:tcPr>
          <w:p>
            <w:pPr>
              <w:spacing w:after="0"/>
              <w:rPr>
                <w:sz w:val="19"/>
                <w:szCs w:val="19"/>
                <w:color w:val="auto"/>
              </w:rPr>
            </w:pPr>
          </w:p>
        </w:tc>
        <w:tc>
          <w:tcPr>
            <w:tcW w:w="1200" w:type="dxa"/>
            <w:vAlign w:val="bottom"/>
            <w:tcBorders>
              <w:right w:val="single" w:sz="8" w:color="auto"/>
            </w:tcBorders>
          </w:tcPr>
          <w:p>
            <w:pPr>
              <w:spacing w:after="0"/>
              <w:rPr>
                <w:sz w:val="19"/>
                <w:szCs w:val="19"/>
                <w:color w:val="auto"/>
              </w:rPr>
            </w:pPr>
          </w:p>
        </w:tc>
        <w:tc>
          <w:tcPr>
            <w:tcW w:w="2480" w:type="dxa"/>
            <w:vAlign w:val="bottom"/>
            <w:tcBorders>
              <w:right w:val="single" w:sz="8" w:color="auto"/>
            </w:tcBorders>
          </w:tcPr>
          <w:p>
            <w:pPr>
              <w:spacing w:after="0"/>
              <w:rPr>
                <w:sz w:val="19"/>
                <w:szCs w:val="19"/>
                <w:color w:val="auto"/>
              </w:rPr>
            </w:pPr>
          </w:p>
        </w:tc>
        <w:tc>
          <w:tcPr>
            <w:tcW w:w="3920" w:type="dxa"/>
            <w:vAlign w:val="bottom"/>
            <w:gridSpan w:val="7"/>
          </w:tcPr>
          <w:p>
            <w:pPr>
              <w:ind w:left="140"/>
              <w:spacing w:after="0"/>
              <w:rPr>
                <w:sz w:val="20"/>
                <w:szCs w:val="20"/>
                <w:color w:val="auto"/>
              </w:rPr>
            </w:pPr>
            <w:r>
              <w:rPr>
                <w:rFonts w:ascii="Verdana" w:cs="Verdana" w:eastAsia="Verdana" w:hAnsi="Verdana"/>
                <w:sz w:val="17"/>
                <w:szCs w:val="17"/>
                <w:color w:val="auto"/>
                <w:w w:val="99"/>
              </w:rPr>
              <w:t>лица или конечностей</w:t>
            </w:r>
            <w:r>
              <w:rPr>
                <w:rFonts w:ascii="Verdana" w:cs="Verdana" w:eastAsia="Verdana" w:hAnsi="Verdana"/>
                <w:sz w:val="17"/>
                <w:szCs w:val="17"/>
                <w:color w:val="auto"/>
                <w:w w:val="99"/>
              </w:rPr>
              <w:t>,</w:t>
            </w:r>
            <w:r>
              <w:rPr>
                <w:rFonts w:ascii="Verdana" w:cs="Verdana" w:eastAsia="Verdana" w:hAnsi="Verdana"/>
                <w:sz w:val="17"/>
                <w:szCs w:val="17"/>
                <w:color w:val="auto"/>
                <w:w w:val="99"/>
              </w:rPr>
              <w:t xml:space="preserve"> об объеме диуреза</w:t>
            </w:r>
          </w:p>
        </w:tc>
        <w:tc>
          <w:tcPr>
            <w:tcW w:w="36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40"/>
        </w:trPr>
        <w:tc>
          <w:tcPr>
            <w:tcW w:w="500" w:type="dxa"/>
            <w:vAlign w:val="bottom"/>
            <w:tcBorders>
              <w:left w:val="single" w:sz="8" w:color="auto"/>
            </w:tcBorders>
          </w:tcPr>
          <w:p>
            <w:pPr>
              <w:spacing w:after="0"/>
              <w:rPr>
                <w:sz w:val="12"/>
                <w:szCs w:val="12"/>
                <w:color w:val="auto"/>
              </w:rPr>
            </w:pPr>
          </w:p>
        </w:tc>
        <w:tc>
          <w:tcPr>
            <w:tcW w:w="1200" w:type="dxa"/>
            <w:vAlign w:val="bottom"/>
            <w:tcBorders>
              <w:right w:val="single" w:sz="8" w:color="auto"/>
            </w:tcBorders>
          </w:tcPr>
          <w:p>
            <w:pPr>
              <w:spacing w:after="0"/>
              <w:rPr>
                <w:sz w:val="12"/>
                <w:szCs w:val="12"/>
                <w:color w:val="auto"/>
              </w:rPr>
            </w:pPr>
          </w:p>
        </w:tc>
        <w:tc>
          <w:tcPr>
            <w:tcW w:w="2480" w:type="dxa"/>
            <w:vAlign w:val="bottom"/>
            <w:tcBorders>
              <w:right w:val="single" w:sz="8" w:color="auto"/>
            </w:tcBorders>
          </w:tcPr>
          <w:p>
            <w:pPr>
              <w:spacing w:after="0"/>
              <w:rPr>
                <w:sz w:val="12"/>
                <w:szCs w:val="12"/>
                <w:color w:val="auto"/>
              </w:rPr>
            </w:pPr>
          </w:p>
        </w:tc>
        <w:tc>
          <w:tcPr>
            <w:tcW w:w="360" w:type="dxa"/>
            <w:vAlign w:val="bottom"/>
          </w:tcPr>
          <w:p>
            <w:pPr>
              <w:spacing w:after="0"/>
              <w:rPr>
                <w:sz w:val="12"/>
                <w:szCs w:val="12"/>
                <w:color w:val="auto"/>
              </w:rPr>
            </w:pPr>
          </w:p>
        </w:tc>
        <w:tc>
          <w:tcPr>
            <w:tcW w:w="820" w:type="dxa"/>
            <w:vAlign w:val="bottom"/>
          </w:tcPr>
          <w:p>
            <w:pPr>
              <w:spacing w:after="0"/>
              <w:rPr>
                <w:sz w:val="12"/>
                <w:szCs w:val="12"/>
                <w:color w:val="auto"/>
              </w:rPr>
            </w:pPr>
          </w:p>
        </w:tc>
        <w:tc>
          <w:tcPr>
            <w:tcW w:w="560" w:type="dxa"/>
            <w:vAlign w:val="bottom"/>
          </w:tcPr>
          <w:p>
            <w:pPr>
              <w:spacing w:after="0"/>
              <w:rPr>
                <w:sz w:val="12"/>
                <w:szCs w:val="12"/>
                <w:color w:val="auto"/>
              </w:rPr>
            </w:pPr>
          </w:p>
        </w:tc>
        <w:tc>
          <w:tcPr>
            <w:tcW w:w="700" w:type="dxa"/>
            <w:vAlign w:val="bottom"/>
          </w:tcPr>
          <w:p>
            <w:pPr>
              <w:spacing w:after="0"/>
              <w:rPr>
                <w:sz w:val="12"/>
                <w:szCs w:val="12"/>
                <w:color w:val="auto"/>
              </w:rPr>
            </w:pPr>
          </w:p>
        </w:tc>
        <w:tc>
          <w:tcPr>
            <w:tcW w:w="320" w:type="dxa"/>
            <w:vAlign w:val="bottom"/>
          </w:tcPr>
          <w:p>
            <w:pPr>
              <w:spacing w:after="0"/>
              <w:rPr>
                <w:sz w:val="12"/>
                <w:szCs w:val="12"/>
                <w:color w:val="auto"/>
              </w:rPr>
            </w:pPr>
          </w:p>
        </w:tc>
        <w:tc>
          <w:tcPr>
            <w:tcW w:w="540" w:type="dxa"/>
            <w:vAlign w:val="bottom"/>
          </w:tcPr>
          <w:p>
            <w:pPr>
              <w:spacing w:after="0"/>
              <w:rPr>
                <w:sz w:val="12"/>
                <w:szCs w:val="12"/>
                <w:color w:val="auto"/>
              </w:rPr>
            </w:pPr>
          </w:p>
        </w:tc>
        <w:tc>
          <w:tcPr>
            <w:tcW w:w="620" w:type="dxa"/>
            <w:vAlign w:val="bottom"/>
          </w:tcPr>
          <w:p>
            <w:pPr>
              <w:spacing w:after="0"/>
              <w:rPr>
                <w:sz w:val="12"/>
                <w:szCs w:val="12"/>
                <w:color w:val="auto"/>
              </w:rPr>
            </w:pPr>
          </w:p>
        </w:tc>
        <w:tc>
          <w:tcPr>
            <w:tcW w:w="360" w:type="dxa"/>
            <w:vAlign w:val="bottom"/>
            <w:tcBorders>
              <w:right w:val="single" w:sz="8" w:color="auto"/>
            </w:tcBorders>
          </w:tcPr>
          <w:p>
            <w:pPr>
              <w:spacing w:after="0"/>
              <w:rPr>
                <w:sz w:val="12"/>
                <w:szCs w:val="12"/>
                <w:color w:val="auto"/>
              </w:rPr>
            </w:pPr>
          </w:p>
        </w:tc>
        <w:tc>
          <w:tcPr>
            <w:tcW w:w="0" w:type="dxa"/>
            <w:vAlign w:val="bottom"/>
          </w:tcPr>
          <w:p>
            <w:pPr>
              <w:spacing w:after="0"/>
              <w:rPr>
                <w:sz w:val="1"/>
                <w:szCs w:val="1"/>
                <w:color w:val="auto"/>
              </w:rPr>
            </w:pPr>
          </w:p>
        </w:tc>
      </w:tr>
    </w:tbl>
    <w:p>
      <w:pPr>
        <w:sectPr>
          <w:pgSz w:w="11900" w:h="17037" w:orient="portrait"/>
          <w:cols w:equalWidth="0" w:num="1">
            <w:col w:w="9020"/>
          </w:cols>
          <w:pgMar w:left="1440" w:top="0" w:right="1440" w:bottom="0" w:gutter="0" w:footer="0" w:header="0"/>
        </w:sectPr>
      </w:pPr>
    </w:p>
    <w:bookmarkStart w:id="158" w:name="page159"/>
    <w:bookmarkEnd w:id="158"/>
    <w:p>
      <w:pPr>
        <w:spacing w:after="0" w:line="218" w:lineRule="auto"/>
        <w:framePr w:w="460" w:h="166" w:wrap="auto" w:vAnchor="page" w:hAnchor="page" w:x="9660" w:y="14345"/>
        <w:rPr>
          <w:rFonts w:ascii="Verdana" w:cs="Verdana" w:eastAsia="Verdana" w:hAnsi="Verdana"/>
          <w:sz w:val="15"/>
          <w:szCs w:val="15"/>
          <w:color w:val="auto"/>
        </w:rPr>
      </w:pPr>
      <w:r>
        <w:rPr>
          <w:rFonts w:ascii="Verdana" w:cs="Verdana" w:eastAsia="Verdana" w:hAnsi="Verdana"/>
          <w:sz w:val="15"/>
          <w:szCs w:val="15"/>
          <w:color w:val="auto"/>
        </w:rPr>
        <w:t>(</w:t>
      </w:r>
      <w:r>
        <w:rPr>
          <w:rFonts w:ascii="Verdana" w:cs="Verdana" w:eastAsia="Verdana" w:hAnsi="Verdana"/>
          <w:sz w:val="15"/>
          <w:szCs w:val="15"/>
          <w:color w:val="auto"/>
        </w:rPr>
        <w:t>при</w:t>
      </w:r>
    </w:p>
    <w:p>
      <w:pPr>
        <w:ind w:left="4680"/>
        <w:spacing w:after="0" w:line="196" w:lineRule="auto"/>
        <w:tabs>
          <w:tab w:leader="none" w:pos="5360" w:val="left"/>
          <w:tab w:leader="none" w:pos="6860" w:val="left"/>
          <w:tab w:leader="none" w:pos="7980" w:val="left"/>
        </w:tabs>
        <w:rPr>
          <w:sz w:val="20"/>
          <w:szCs w:val="20"/>
          <w:color w:val="auto"/>
        </w:rPr>
      </w:pPr>
      <w:r>
        <w:rPr>
          <w:rFonts w:ascii="Verdana" w:cs="Verdana" w:eastAsia="Verdana" w:hAnsi="Verdana"/>
          <w:sz w:val="15"/>
          <w:szCs w:val="15"/>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10062845"/>
            <wp:wrapNone/>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410">
                      <a:extLst>
                        <a:ext uri="{28A0092B-C50C-407E-A947-70E740481C1C}"/>
                      </a:extLst>
                    </a:blip>
                    <a:srcRect/>
                    <a:stretch>
                      <a:fillRect/>
                    </a:stretch>
                  </pic:blipFill>
                  <pic:spPr bwMode="auto">
                    <a:xfrm>
                      <a:off x="0" y="0"/>
                      <a:ext cx="5365115" cy="10062845"/>
                    </a:xfrm>
                    <a:prstGeom prst="rect">
                      <a:avLst/>
                    </a:prstGeom>
                    <a:noFill/>
                  </pic:spPr>
                </pic:pic>
              </a:graphicData>
            </a:graphic>
          </wp:anchor>
        </w:drawing>
        <w:t>-</w:t>
      </w:r>
      <w:r>
        <w:rPr>
          <w:sz w:val="20"/>
          <w:szCs w:val="20"/>
          <w:color w:val="auto"/>
        </w:rPr>
        <w:tab/>
      </w:r>
      <w:r>
        <w:rPr>
          <w:rFonts w:ascii="Verdana" w:cs="Verdana" w:eastAsia="Verdana" w:hAnsi="Verdana"/>
          <w:sz w:val="15"/>
          <w:szCs w:val="15"/>
          <w:color w:val="auto"/>
        </w:rPr>
        <w:t>уточнение</w:t>
      </w:r>
      <w:r>
        <w:rPr>
          <w:sz w:val="20"/>
          <w:szCs w:val="20"/>
          <w:color w:val="auto"/>
        </w:rPr>
        <w:tab/>
      </w:r>
      <w:r>
        <w:rPr>
          <w:rFonts w:ascii="Verdana" w:cs="Verdana" w:eastAsia="Verdana" w:hAnsi="Verdana"/>
          <w:sz w:val="15"/>
          <w:szCs w:val="15"/>
          <w:color w:val="auto"/>
        </w:rPr>
        <w:t>факта</w:t>
      </w:r>
      <w:r>
        <w:rPr>
          <w:sz w:val="20"/>
          <w:szCs w:val="20"/>
          <w:color w:val="auto"/>
        </w:rPr>
        <w:tab/>
      </w:r>
      <w:r>
        <w:rPr>
          <w:rFonts w:ascii="Verdana" w:cs="Verdana" w:eastAsia="Verdana" w:hAnsi="Verdana"/>
          <w:sz w:val="15"/>
          <w:szCs w:val="15"/>
          <w:color w:val="auto"/>
        </w:rPr>
        <w:t>приема</w:t>
      </w:r>
    </w:p>
    <w:p>
      <w:pPr>
        <w:ind w:left="4680"/>
        <w:spacing w:after="0" w:line="192" w:lineRule="auto"/>
        <w:rPr>
          <w:sz w:val="20"/>
          <w:szCs w:val="20"/>
          <w:color w:val="auto"/>
        </w:rPr>
      </w:pPr>
      <w:r>
        <w:rPr>
          <w:rFonts w:ascii="Verdana" w:cs="Verdana" w:eastAsia="Verdana" w:hAnsi="Verdana"/>
          <w:sz w:val="17"/>
          <w:szCs w:val="17"/>
          <w:color w:val="auto"/>
        </w:rPr>
        <w:t>антигипертензивных препаратов</w:t>
      </w:r>
    </w:p>
    <w:p>
      <w:pPr>
        <w:ind w:left="4680"/>
        <w:spacing w:after="0" w:line="217" w:lineRule="auto"/>
        <w:tabs>
          <w:tab w:leader="none" w:pos="5360" w:val="left"/>
          <w:tab w:leader="none" w:pos="6860" w:val="left"/>
          <w:tab w:leader="none" w:pos="798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уточнение</w:t>
      </w:r>
      <w:r>
        <w:rPr>
          <w:sz w:val="20"/>
          <w:szCs w:val="20"/>
          <w:color w:val="auto"/>
        </w:rPr>
        <w:tab/>
      </w:r>
      <w:r>
        <w:rPr>
          <w:rFonts w:ascii="Verdana" w:cs="Verdana" w:eastAsia="Verdana" w:hAnsi="Verdana"/>
          <w:sz w:val="17"/>
          <w:szCs w:val="17"/>
          <w:color w:val="auto"/>
        </w:rPr>
        <w:t>факта</w:t>
      </w:r>
      <w:r>
        <w:rPr>
          <w:sz w:val="20"/>
          <w:szCs w:val="20"/>
          <w:color w:val="auto"/>
        </w:rPr>
        <w:tab/>
      </w:r>
      <w:r>
        <w:rPr>
          <w:rFonts w:ascii="Verdana" w:cs="Verdana" w:eastAsia="Verdana" w:hAnsi="Verdana"/>
          <w:sz w:val="15"/>
          <w:szCs w:val="15"/>
          <w:color w:val="auto"/>
        </w:rPr>
        <w:t>приема</w:t>
      </w:r>
    </w:p>
    <w:p>
      <w:pPr>
        <w:ind w:left="4680"/>
        <w:spacing w:after="0" w:line="217" w:lineRule="auto"/>
        <w:tabs>
          <w:tab w:leader="none" w:pos="6800" w:val="left"/>
          <w:tab w:leader="none" w:pos="8520" w:val="left"/>
        </w:tabs>
        <w:rPr>
          <w:sz w:val="20"/>
          <w:szCs w:val="20"/>
          <w:color w:val="auto"/>
        </w:rPr>
      </w:pPr>
      <w:r>
        <w:rPr>
          <w:rFonts w:ascii="Verdana" w:cs="Verdana" w:eastAsia="Verdana" w:hAnsi="Verdana"/>
          <w:sz w:val="17"/>
          <w:szCs w:val="17"/>
          <w:color w:val="auto"/>
        </w:rPr>
        <w:t>гиполипидемических</w:t>
      </w:r>
      <w:r>
        <w:rPr>
          <w:rFonts w:ascii="Verdana" w:cs="Verdana" w:eastAsia="Verdana" w:hAnsi="Verdana"/>
          <w:sz w:val="17"/>
          <w:szCs w:val="17"/>
          <w:color w:val="auto"/>
        </w:rPr>
        <w:t>,</w:t>
      </w:r>
      <w:r>
        <w:rPr>
          <w:rFonts w:ascii="Verdana" w:cs="Verdana" w:eastAsia="Verdana" w:hAnsi="Verdana"/>
          <w:sz w:val="17"/>
          <w:szCs w:val="17"/>
          <w:color w:val="auto"/>
        </w:rPr>
        <w:tab/>
        <w:t>антиагрегантных</w:t>
      </w:r>
      <w:r>
        <w:rPr>
          <w:sz w:val="20"/>
          <w:szCs w:val="20"/>
          <w:color w:val="auto"/>
        </w:rPr>
        <w:tab/>
      </w:r>
      <w:r>
        <w:rPr>
          <w:rFonts w:ascii="Verdana" w:cs="Verdana" w:eastAsia="Verdana" w:hAnsi="Verdana"/>
          <w:sz w:val="15"/>
          <w:szCs w:val="15"/>
          <w:color w:val="auto"/>
        </w:rPr>
        <w:t>и</w:t>
      </w:r>
    </w:p>
    <w:p>
      <w:pPr>
        <w:ind w:left="4680"/>
        <w:spacing w:after="0" w:line="217" w:lineRule="auto"/>
        <w:rPr>
          <w:sz w:val="20"/>
          <w:szCs w:val="20"/>
          <w:color w:val="auto"/>
        </w:rPr>
      </w:pPr>
      <w:r>
        <w:rPr>
          <w:rFonts w:ascii="Verdana" w:cs="Verdana" w:eastAsia="Verdana" w:hAnsi="Verdana"/>
          <w:sz w:val="15"/>
          <w:szCs w:val="15"/>
          <w:color w:val="auto"/>
        </w:rPr>
        <w:t>гипогликемических препаратов при наличии</w:t>
      </w:r>
    </w:p>
    <w:p>
      <w:pPr>
        <w:ind w:left="4680"/>
        <w:spacing w:after="0" w:line="192" w:lineRule="auto"/>
        <w:rPr>
          <w:sz w:val="20"/>
          <w:szCs w:val="20"/>
          <w:color w:val="auto"/>
        </w:rPr>
      </w:pPr>
      <w:r>
        <w:rPr>
          <w:rFonts w:ascii="Verdana" w:cs="Verdana" w:eastAsia="Verdana" w:hAnsi="Verdana"/>
          <w:sz w:val="17"/>
          <w:szCs w:val="17"/>
          <w:color w:val="auto"/>
        </w:rPr>
        <w:t>показаний</w:t>
      </w:r>
    </w:p>
    <w:p>
      <w:pPr>
        <w:ind w:left="4680"/>
        <w:spacing w:after="0" w:line="217" w:lineRule="auto"/>
        <w:tabs>
          <w:tab w:leader="none" w:pos="4900" w:val="left"/>
          <w:tab w:leader="none" w:pos="5560" w:val="left"/>
          <w:tab w:leader="none" w:pos="5820" w:val="left"/>
          <w:tab w:leader="none" w:pos="6660" w:val="left"/>
          <w:tab w:leader="none" w:pos="842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опрос</w:t>
        <w:tab/>
        <w:t>и</w:t>
        <w:tab/>
        <w:t>краткое</w:t>
        <w:tab/>
        <w:t>консультирование</w:t>
      </w:r>
      <w:r>
        <w:rPr>
          <w:sz w:val="20"/>
          <w:szCs w:val="20"/>
          <w:color w:val="auto"/>
        </w:rPr>
        <w:tab/>
      </w:r>
      <w:r>
        <w:rPr>
          <w:rFonts w:ascii="Verdana" w:cs="Verdana" w:eastAsia="Verdana" w:hAnsi="Verdana"/>
          <w:sz w:val="15"/>
          <w:szCs w:val="15"/>
          <w:color w:val="auto"/>
        </w:rPr>
        <w:t>по</w:t>
      </w:r>
    </w:p>
    <w:p>
      <w:pPr>
        <w:ind w:left="4680"/>
        <w:spacing w:after="0" w:line="217" w:lineRule="auto"/>
        <w:tabs>
          <w:tab w:leader="none" w:pos="5580" w:val="left"/>
          <w:tab w:leader="none" w:pos="6660" w:val="left"/>
          <w:tab w:leader="none" w:pos="7860" w:val="left"/>
        </w:tabs>
        <w:rPr>
          <w:sz w:val="20"/>
          <w:szCs w:val="20"/>
          <w:color w:val="auto"/>
        </w:rPr>
      </w:pPr>
      <w:r>
        <w:rPr>
          <w:rFonts w:ascii="Verdana" w:cs="Verdana" w:eastAsia="Verdana" w:hAnsi="Verdana"/>
          <w:sz w:val="17"/>
          <w:szCs w:val="17"/>
          <w:color w:val="auto"/>
        </w:rPr>
        <w:t>поводу</w:t>
      </w:r>
      <w:r>
        <w:rPr>
          <w:sz w:val="20"/>
          <w:szCs w:val="20"/>
          <w:color w:val="auto"/>
        </w:rPr>
        <w:tab/>
      </w:r>
      <w:r>
        <w:rPr>
          <w:rFonts w:ascii="Verdana" w:cs="Verdana" w:eastAsia="Verdana" w:hAnsi="Verdana"/>
          <w:sz w:val="17"/>
          <w:szCs w:val="17"/>
          <w:color w:val="auto"/>
        </w:rPr>
        <w:t>курения</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характера</w:t>
      </w:r>
      <w:r>
        <w:rPr>
          <w:sz w:val="20"/>
          <w:szCs w:val="20"/>
          <w:color w:val="auto"/>
        </w:rPr>
        <w:tab/>
      </w:r>
      <w:r>
        <w:rPr>
          <w:rFonts w:ascii="Verdana" w:cs="Verdana" w:eastAsia="Verdana" w:hAnsi="Verdana"/>
          <w:sz w:val="15"/>
          <w:szCs w:val="15"/>
          <w:color w:val="auto"/>
        </w:rPr>
        <w:t>питания</w:t>
      </w:r>
      <w:r>
        <w:rPr>
          <w:rFonts w:ascii="Verdana" w:cs="Verdana" w:eastAsia="Verdana" w:hAnsi="Verdana"/>
          <w:sz w:val="15"/>
          <w:szCs w:val="15"/>
          <w:color w:val="auto"/>
        </w:rPr>
        <w:t>,</w:t>
      </w:r>
    </w:p>
    <w:p>
      <w:pPr>
        <w:ind w:left="4680"/>
        <w:spacing w:after="0" w:line="191" w:lineRule="auto"/>
        <w:rPr>
          <w:sz w:val="20"/>
          <w:szCs w:val="20"/>
          <w:color w:val="auto"/>
        </w:rPr>
      </w:pPr>
      <w:r>
        <w:rPr>
          <w:rFonts w:ascii="Verdana" w:cs="Verdana" w:eastAsia="Verdana" w:hAnsi="Verdana"/>
          <w:sz w:val="17"/>
          <w:szCs w:val="17"/>
          <w:color w:val="auto"/>
        </w:rPr>
        <w:t>физической активности</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измерение АД при каждом посещении</w:t>
      </w:r>
    </w:p>
    <w:p>
      <w:pPr>
        <w:ind w:left="4680"/>
        <w:spacing w:after="0" w:line="218" w:lineRule="auto"/>
        <w:tabs>
          <w:tab w:leader="none" w:pos="4960" w:val="left"/>
          <w:tab w:leader="none" w:pos="5760" w:val="left"/>
          <w:tab w:leader="none" w:pos="6620" w:val="left"/>
          <w:tab w:leader="none" w:pos="7340" w:val="left"/>
          <w:tab w:leader="none" w:pos="772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анализ</w:t>
        <w:tab/>
        <w:t>данных</w:t>
        <w:tab/>
        <w:t>ДМАД</w:t>
      </w:r>
      <w:r>
        <w:rPr>
          <w:sz w:val="20"/>
          <w:szCs w:val="20"/>
          <w:color w:val="auto"/>
        </w:rPr>
        <w:tab/>
      </w:r>
      <w:r>
        <w:rPr>
          <w:rFonts w:ascii="Verdana" w:cs="Verdana" w:eastAsia="Verdana" w:hAnsi="Verdana"/>
          <w:sz w:val="17"/>
          <w:szCs w:val="17"/>
          <w:color w:val="auto"/>
        </w:rPr>
        <w:t>—</w:t>
      </w:r>
      <w:r>
        <w:rPr>
          <w:sz w:val="20"/>
          <w:szCs w:val="20"/>
          <w:color w:val="auto"/>
        </w:rPr>
        <w:tab/>
      </w:r>
      <w:r>
        <w:rPr>
          <w:rFonts w:ascii="Verdana" w:cs="Verdana" w:eastAsia="Verdana" w:hAnsi="Verdana"/>
          <w:sz w:val="15"/>
          <w:szCs w:val="15"/>
          <w:color w:val="auto"/>
        </w:rPr>
        <w:t>уточнение</w:t>
      </w:r>
    </w:p>
    <w:p>
      <w:pPr>
        <w:ind w:left="4680"/>
        <w:spacing w:after="0" w:line="217" w:lineRule="auto"/>
        <w:rPr>
          <w:sz w:val="20"/>
          <w:szCs w:val="20"/>
          <w:color w:val="auto"/>
        </w:rPr>
      </w:pPr>
      <w:r>
        <w:rPr>
          <w:rFonts w:ascii="Verdana" w:cs="Verdana" w:eastAsia="Verdana" w:hAnsi="Verdana"/>
          <w:sz w:val="15"/>
          <w:szCs w:val="15"/>
          <w:color w:val="auto"/>
        </w:rPr>
        <w:t>характера гипотензивной терапии и терапии</w:t>
      </w:r>
    </w:p>
    <w:p>
      <w:pPr>
        <w:ind w:left="4680"/>
        <w:spacing w:after="0" w:line="192" w:lineRule="auto"/>
        <w:rPr>
          <w:sz w:val="20"/>
          <w:szCs w:val="20"/>
          <w:color w:val="auto"/>
        </w:rPr>
      </w:pPr>
      <w:r>
        <w:rPr>
          <w:rFonts w:ascii="Verdana" w:cs="Verdana" w:eastAsia="Verdana" w:hAnsi="Verdana"/>
          <w:sz w:val="17"/>
          <w:szCs w:val="17"/>
          <w:color w:val="auto"/>
        </w:rPr>
        <w:t>по поводу других ССЗ</w:t>
      </w:r>
      <w:r>
        <w:rPr>
          <w:rFonts w:ascii="Verdana" w:cs="Verdana" w:eastAsia="Verdana" w:hAnsi="Verdana"/>
          <w:sz w:val="17"/>
          <w:szCs w:val="17"/>
          <w:color w:val="auto"/>
        </w:rPr>
        <w:t>,</w:t>
      </w:r>
      <w:r>
        <w:rPr>
          <w:rFonts w:ascii="Verdana" w:cs="Verdana" w:eastAsia="Verdana" w:hAnsi="Verdana"/>
          <w:sz w:val="17"/>
          <w:szCs w:val="17"/>
          <w:color w:val="auto"/>
        </w:rPr>
        <w:t xml:space="preserve"> ЦВБ и ХБП</w:t>
      </w:r>
    </w:p>
    <w:p>
      <w:pPr>
        <w:ind w:left="4680"/>
        <w:spacing w:after="0" w:line="217" w:lineRule="auto"/>
        <w:tabs>
          <w:tab w:leader="none" w:pos="5120" w:val="left"/>
          <w:tab w:leader="none" w:pos="6060" w:val="left"/>
          <w:tab w:leader="none" w:pos="7040" w:val="left"/>
          <w:tab w:leader="none" w:pos="752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общий</w:t>
      </w:r>
      <w:r>
        <w:rPr>
          <w:sz w:val="20"/>
          <w:szCs w:val="20"/>
          <w:color w:val="auto"/>
        </w:rPr>
        <w:tab/>
      </w:r>
      <w:r>
        <w:rPr>
          <w:rFonts w:ascii="Verdana" w:cs="Verdana" w:eastAsia="Verdana" w:hAnsi="Verdana"/>
          <w:sz w:val="17"/>
          <w:szCs w:val="17"/>
          <w:color w:val="auto"/>
        </w:rPr>
        <w:t>осмотр</w:t>
      </w:r>
      <w:r>
        <w:rPr>
          <w:sz w:val="20"/>
          <w:szCs w:val="20"/>
          <w:color w:val="auto"/>
        </w:rPr>
        <w:tab/>
      </w:r>
      <w:r>
        <w:rPr>
          <w:rFonts w:ascii="Verdana" w:cs="Verdana" w:eastAsia="Verdana" w:hAnsi="Verdana"/>
          <w:sz w:val="17"/>
          <w:szCs w:val="17"/>
          <w:color w:val="auto"/>
        </w:rPr>
        <w:t>и</w:t>
      </w:r>
      <w:r>
        <w:rPr>
          <w:sz w:val="20"/>
          <w:szCs w:val="20"/>
          <w:color w:val="auto"/>
        </w:rPr>
        <w:tab/>
      </w:r>
      <w:r>
        <w:rPr>
          <w:rFonts w:ascii="Verdana" w:cs="Verdana" w:eastAsia="Verdana" w:hAnsi="Verdana"/>
          <w:sz w:val="15"/>
          <w:szCs w:val="15"/>
          <w:color w:val="auto"/>
        </w:rPr>
        <w:t>объективное</w:t>
      </w:r>
    </w:p>
    <w:p>
      <w:pPr>
        <w:ind w:left="4680"/>
        <w:spacing w:after="0" w:line="217" w:lineRule="auto"/>
        <w:tabs>
          <w:tab w:leader="none" w:pos="6420" w:val="left"/>
          <w:tab w:leader="none" w:pos="7660" w:val="left"/>
        </w:tabs>
        <w:rPr>
          <w:sz w:val="20"/>
          <w:szCs w:val="20"/>
          <w:color w:val="auto"/>
        </w:rPr>
      </w:pPr>
      <w:r>
        <w:rPr>
          <w:rFonts w:ascii="Verdana" w:cs="Verdana" w:eastAsia="Verdana" w:hAnsi="Verdana"/>
          <w:sz w:val="17"/>
          <w:szCs w:val="17"/>
          <w:color w:val="auto"/>
        </w:rPr>
        <w:t>обследование</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включая</w:t>
      </w:r>
      <w:r>
        <w:rPr>
          <w:sz w:val="20"/>
          <w:szCs w:val="20"/>
          <w:color w:val="auto"/>
        </w:rPr>
        <w:tab/>
      </w:r>
      <w:r>
        <w:rPr>
          <w:rFonts w:ascii="Verdana" w:cs="Verdana" w:eastAsia="Verdana" w:hAnsi="Verdana"/>
          <w:sz w:val="15"/>
          <w:szCs w:val="15"/>
          <w:color w:val="auto"/>
        </w:rPr>
        <w:t>пальпацию</w:t>
      </w:r>
    </w:p>
    <w:p>
      <w:pPr>
        <w:ind w:left="4680"/>
        <w:spacing w:after="0" w:line="217" w:lineRule="auto"/>
        <w:tabs>
          <w:tab w:leader="none" w:pos="6280" w:val="left"/>
          <w:tab w:leader="none" w:pos="7120" w:val="left"/>
          <w:tab w:leader="none" w:pos="7400" w:val="left"/>
        </w:tabs>
        <w:rPr>
          <w:sz w:val="20"/>
          <w:szCs w:val="20"/>
          <w:color w:val="auto"/>
        </w:rPr>
      </w:pPr>
      <w:r>
        <w:rPr>
          <w:rFonts w:ascii="Verdana" w:cs="Verdana" w:eastAsia="Verdana" w:hAnsi="Verdana"/>
          <w:sz w:val="17"/>
          <w:szCs w:val="17"/>
          <w:color w:val="auto"/>
        </w:rPr>
        <w:t>периферических</w:t>
        <w:tab/>
        <w:t>сосудов</w:t>
        <w:tab/>
        <w:t>и</w:t>
      </w:r>
      <w:r>
        <w:rPr>
          <w:sz w:val="20"/>
          <w:szCs w:val="20"/>
          <w:color w:val="auto"/>
        </w:rPr>
        <w:tab/>
      </w:r>
      <w:r>
        <w:rPr>
          <w:rFonts w:ascii="Verdana" w:cs="Verdana" w:eastAsia="Verdana" w:hAnsi="Verdana"/>
          <w:sz w:val="15"/>
          <w:szCs w:val="15"/>
          <w:color w:val="auto"/>
        </w:rPr>
        <w:t>аускультацию</w:t>
      </w:r>
    </w:p>
    <w:p>
      <w:pPr>
        <w:ind w:left="4680"/>
        <w:spacing w:after="0" w:line="217" w:lineRule="auto"/>
        <w:tabs>
          <w:tab w:leader="none" w:pos="6340" w:val="left"/>
          <w:tab w:leader="none" w:pos="7360" w:val="left"/>
          <w:tab w:leader="none" w:pos="8520" w:val="left"/>
        </w:tabs>
        <w:rPr>
          <w:sz w:val="20"/>
          <w:szCs w:val="20"/>
          <w:color w:val="auto"/>
        </w:rPr>
      </w:pPr>
      <w:r>
        <w:rPr>
          <w:rFonts w:ascii="Verdana" w:cs="Verdana" w:eastAsia="Verdana" w:hAnsi="Verdana"/>
          <w:sz w:val="17"/>
          <w:szCs w:val="17"/>
          <w:color w:val="auto"/>
        </w:rPr>
        <w:t>подключичных</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сонных</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почечных</w:t>
      </w:r>
      <w:r>
        <w:rPr>
          <w:sz w:val="20"/>
          <w:szCs w:val="20"/>
          <w:color w:val="auto"/>
        </w:rPr>
        <w:tab/>
      </w:r>
      <w:r>
        <w:rPr>
          <w:rFonts w:ascii="Verdana" w:cs="Verdana" w:eastAsia="Verdana" w:hAnsi="Verdana"/>
          <w:sz w:val="15"/>
          <w:szCs w:val="15"/>
          <w:color w:val="auto"/>
        </w:rPr>
        <w:t>и</w:t>
      </w:r>
    </w:p>
    <w:p>
      <w:pPr>
        <w:ind w:left="4680"/>
        <w:spacing w:after="0" w:line="217" w:lineRule="auto"/>
        <w:tabs>
          <w:tab w:leader="none" w:pos="5820" w:val="left"/>
          <w:tab w:leader="none" w:pos="6780" w:val="left"/>
          <w:tab w:leader="none" w:pos="7920" w:val="left"/>
        </w:tabs>
        <w:rPr>
          <w:sz w:val="20"/>
          <w:szCs w:val="20"/>
          <w:color w:val="auto"/>
        </w:rPr>
      </w:pPr>
      <w:r>
        <w:rPr>
          <w:rFonts w:ascii="Verdana" w:cs="Verdana" w:eastAsia="Verdana" w:hAnsi="Verdana"/>
          <w:sz w:val="17"/>
          <w:szCs w:val="17"/>
          <w:color w:val="auto"/>
        </w:rPr>
        <w:t>бедренных</w:t>
        <w:tab/>
        <w:t>артерий</w:t>
      </w:r>
      <w:r>
        <w:rPr>
          <w:rFonts w:ascii="Verdana" w:cs="Verdana" w:eastAsia="Verdana" w:hAnsi="Verdana"/>
          <w:sz w:val="17"/>
          <w:szCs w:val="17"/>
          <w:color w:val="auto"/>
        </w:rPr>
        <w:t>,</w:t>
      </w:r>
      <w:r>
        <w:rPr>
          <w:rFonts w:ascii="Verdana" w:cs="Verdana" w:eastAsia="Verdana" w:hAnsi="Verdana"/>
          <w:sz w:val="17"/>
          <w:szCs w:val="17"/>
          <w:color w:val="auto"/>
        </w:rPr>
        <w:tab/>
        <w:t>измерение</w:t>
      </w:r>
      <w:r>
        <w:rPr>
          <w:sz w:val="20"/>
          <w:szCs w:val="20"/>
          <w:color w:val="auto"/>
        </w:rPr>
        <w:tab/>
      </w:r>
      <w:r>
        <w:rPr>
          <w:rFonts w:ascii="Verdana" w:cs="Verdana" w:eastAsia="Verdana" w:hAnsi="Verdana"/>
          <w:sz w:val="15"/>
          <w:szCs w:val="15"/>
          <w:color w:val="auto"/>
        </w:rPr>
        <w:t>индекса</w:t>
      </w:r>
    </w:p>
    <w:p>
      <w:pPr>
        <w:ind w:left="4680"/>
        <w:spacing w:after="0" w:line="192" w:lineRule="auto"/>
        <w:rPr>
          <w:sz w:val="20"/>
          <w:szCs w:val="20"/>
          <w:color w:val="auto"/>
        </w:rPr>
      </w:pPr>
      <w:r>
        <w:rPr>
          <w:rFonts w:ascii="Verdana" w:cs="Verdana" w:eastAsia="Verdana" w:hAnsi="Verdana"/>
          <w:sz w:val="17"/>
          <w:szCs w:val="17"/>
          <w:color w:val="auto"/>
        </w:rPr>
        <w:t>массы тела и окружности талии при каждом</w:t>
      </w:r>
    </w:p>
    <w:p>
      <w:pPr>
        <w:ind w:left="4680"/>
        <w:spacing w:after="0" w:line="191" w:lineRule="auto"/>
        <w:rPr>
          <w:sz w:val="20"/>
          <w:szCs w:val="20"/>
          <w:color w:val="auto"/>
        </w:rPr>
      </w:pPr>
      <w:r>
        <w:rPr>
          <w:rFonts w:ascii="Verdana" w:cs="Verdana" w:eastAsia="Verdana" w:hAnsi="Verdana"/>
          <w:sz w:val="17"/>
          <w:szCs w:val="17"/>
          <w:color w:val="auto"/>
        </w:rPr>
        <w:t>посещении</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гемоглобин и</w:t>
      </w:r>
      <w:r>
        <w:rPr>
          <w:rFonts w:ascii="Verdana" w:cs="Verdana" w:eastAsia="Verdana" w:hAnsi="Verdana"/>
          <w:sz w:val="17"/>
          <w:szCs w:val="17"/>
          <w:color w:val="auto"/>
        </w:rPr>
        <w:t>/</w:t>
      </w:r>
      <w:r>
        <w:rPr>
          <w:rFonts w:ascii="Verdana" w:cs="Verdana" w:eastAsia="Verdana" w:hAnsi="Verdana"/>
          <w:sz w:val="17"/>
          <w:szCs w:val="17"/>
          <w:color w:val="auto"/>
        </w:rPr>
        <w:t>или гематокрит при взятии</w:t>
      </w:r>
    </w:p>
    <w:p>
      <w:pPr>
        <w:ind w:left="4680"/>
        <w:spacing w:after="0" w:line="192" w:lineRule="auto"/>
        <w:rPr>
          <w:sz w:val="20"/>
          <w:szCs w:val="20"/>
          <w:color w:val="auto"/>
        </w:rPr>
      </w:pPr>
      <w:r>
        <w:rPr>
          <w:rFonts w:ascii="Verdana" w:cs="Verdana" w:eastAsia="Verdana" w:hAnsi="Verdana"/>
          <w:sz w:val="17"/>
          <w:szCs w:val="17"/>
          <w:color w:val="auto"/>
        </w:rPr>
        <w:t>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p>
      <w:pPr>
        <w:ind w:left="4680"/>
        <w:spacing w:after="0" w:line="192" w:lineRule="auto"/>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p>
      <w:pPr>
        <w:ind w:left="4680"/>
        <w:spacing w:after="0" w:line="191"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глюкоза плазмы натощак не реже</w:t>
      </w:r>
      <w:r>
        <w:rPr>
          <w:rFonts w:ascii="Verdana" w:cs="Verdana" w:eastAsia="Verdana" w:hAnsi="Verdana"/>
          <w:sz w:val="17"/>
          <w:szCs w:val="17"/>
          <w:color w:val="auto"/>
        </w:rPr>
        <w:t xml:space="preserve"> 1 </w:t>
      </w:r>
      <w:r>
        <w:rPr>
          <w:rFonts w:ascii="Verdana" w:cs="Verdana" w:eastAsia="Verdana" w:hAnsi="Verdana"/>
          <w:sz w:val="17"/>
          <w:szCs w:val="17"/>
          <w:color w:val="auto"/>
        </w:rPr>
        <w:t>раза в</w:t>
      </w:r>
    </w:p>
    <w:p>
      <w:pPr>
        <w:ind w:left="4680"/>
        <w:spacing w:after="0" w:line="192" w:lineRule="auto"/>
        <w:rPr>
          <w:sz w:val="20"/>
          <w:szCs w:val="20"/>
          <w:color w:val="auto"/>
        </w:rPr>
      </w:pPr>
      <w:r>
        <w:rPr>
          <w:rFonts w:ascii="Verdana" w:cs="Verdana" w:eastAsia="Verdana" w:hAnsi="Verdana"/>
          <w:sz w:val="17"/>
          <w:szCs w:val="17"/>
          <w:color w:val="auto"/>
        </w:rPr>
        <w:t xml:space="preserve">год </w:t>
      </w:r>
      <w:r>
        <w:rPr>
          <w:rFonts w:ascii="Verdana" w:cs="Verdana" w:eastAsia="Verdana" w:hAnsi="Verdana"/>
          <w:sz w:val="17"/>
          <w:szCs w:val="17"/>
          <w:color w:val="auto"/>
        </w:rPr>
        <w:t>(</w:t>
      </w:r>
      <w:r>
        <w:rPr>
          <w:rFonts w:ascii="Verdana" w:cs="Verdana" w:eastAsia="Verdana" w:hAnsi="Verdana"/>
          <w:sz w:val="17"/>
          <w:szCs w:val="17"/>
          <w:color w:val="auto"/>
        </w:rPr>
        <w:t>допускается экспресс</w:t>
      </w:r>
      <w:r>
        <w:rPr>
          <w:rFonts w:ascii="Verdana" w:cs="Verdana" w:eastAsia="Verdana" w:hAnsi="Verdana"/>
          <w:sz w:val="17"/>
          <w:szCs w:val="17"/>
          <w:color w:val="auto"/>
        </w:rPr>
        <w:t>-</w:t>
      </w:r>
      <w:r>
        <w:rPr>
          <w:rFonts w:ascii="Verdana" w:cs="Verdana" w:eastAsia="Verdana" w:hAnsi="Verdana"/>
          <w:sz w:val="17"/>
          <w:szCs w:val="17"/>
          <w:color w:val="auto"/>
        </w:rPr>
        <w:t>метод</w:t>
      </w:r>
      <w:r>
        <w:rPr>
          <w:rFonts w:ascii="Verdana" w:cs="Verdana" w:eastAsia="Verdana" w:hAnsi="Verdana"/>
          <w:sz w:val="17"/>
          <w:szCs w:val="17"/>
          <w:color w:val="auto"/>
        </w:rPr>
        <w:t>)</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общий холестерин не реже</w:t>
      </w:r>
      <w:r>
        <w:rPr>
          <w:rFonts w:ascii="Verdana" w:cs="Verdana" w:eastAsia="Verdana" w:hAnsi="Verdana"/>
          <w:sz w:val="17"/>
          <w:szCs w:val="17"/>
          <w:color w:val="auto"/>
        </w:rPr>
        <w:t xml:space="preserve"> 1 </w:t>
      </w:r>
      <w:r>
        <w:rPr>
          <w:rFonts w:ascii="Verdana" w:cs="Verdana" w:eastAsia="Verdana" w:hAnsi="Verdana"/>
          <w:sz w:val="17"/>
          <w:szCs w:val="17"/>
          <w:color w:val="auto"/>
        </w:rPr>
        <w:t>раза в год</w:t>
      </w:r>
    </w:p>
    <w:p>
      <w:pPr>
        <w:ind w:left="4680"/>
        <w:spacing w:after="0" w:line="192" w:lineRule="auto"/>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допускается экспресс</w:t>
      </w:r>
      <w:r>
        <w:rPr>
          <w:rFonts w:ascii="Verdana" w:cs="Verdana" w:eastAsia="Verdana" w:hAnsi="Verdana"/>
          <w:sz w:val="17"/>
          <w:szCs w:val="17"/>
          <w:color w:val="auto"/>
        </w:rPr>
        <w:t>-</w:t>
      </w:r>
      <w:r>
        <w:rPr>
          <w:rFonts w:ascii="Verdana" w:cs="Verdana" w:eastAsia="Verdana" w:hAnsi="Verdana"/>
          <w:sz w:val="17"/>
          <w:szCs w:val="17"/>
          <w:color w:val="auto"/>
        </w:rPr>
        <w:t>метод</w:t>
      </w:r>
      <w:r>
        <w:rPr>
          <w:rFonts w:ascii="Verdana" w:cs="Verdana" w:eastAsia="Verdana" w:hAnsi="Verdana"/>
          <w:sz w:val="17"/>
          <w:szCs w:val="17"/>
          <w:color w:val="auto"/>
        </w:rPr>
        <w:t>)</w:t>
      </w:r>
    </w:p>
    <w:p>
      <w:pPr>
        <w:ind w:left="4680"/>
        <w:spacing w:after="0" w:line="217" w:lineRule="auto"/>
        <w:tabs>
          <w:tab w:leader="none" w:pos="5060" w:val="left"/>
          <w:tab w:leader="none" w:pos="6380" w:val="left"/>
          <w:tab w:leader="none" w:pos="802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холестерин</w:t>
      </w:r>
      <w:r>
        <w:rPr>
          <w:sz w:val="20"/>
          <w:szCs w:val="20"/>
          <w:color w:val="auto"/>
        </w:rPr>
        <w:tab/>
      </w:r>
      <w:r>
        <w:rPr>
          <w:rFonts w:ascii="Verdana" w:cs="Verdana" w:eastAsia="Verdana" w:hAnsi="Verdana"/>
          <w:sz w:val="17"/>
          <w:szCs w:val="17"/>
          <w:color w:val="auto"/>
        </w:rPr>
        <w:t>липопротеинов</w:t>
      </w:r>
      <w:r>
        <w:rPr>
          <w:sz w:val="20"/>
          <w:szCs w:val="20"/>
          <w:color w:val="auto"/>
        </w:rPr>
        <w:tab/>
      </w:r>
      <w:r>
        <w:rPr>
          <w:rFonts w:ascii="Verdana" w:cs="Verdana" w:eastAsia="Verdana" w:hAnsi="Verdana"/>
          <w:sz w:val="15"/>
          <w:szCs w:val="15"/>
          <w:color w:val="auto"/>
        </w:rPr>
        <w:t>низкой</w:t>
      </w:r>
    </w:p>
    <w:p>
      <w:pPr>
        <w:ind w:left="4680"/>
        <w:spacing w:after="0" w:line="217" w:lineRule="auto"/>
        <w:tabs>
          <w:tab w:leader="none" w:pos="5960" w:val="left"/>
          <w:tab w:leader="none" w:pos="7300" w:val="left"/>
        </w:tabs>
        <w:rPr>
          <w:sz w:val="20"/>
          <w:szCs w:val="20"/>
          <w:color w:val="auto"/>
        </w:rPr>
      </w:pPr>
      <w:r>
        <w:rPr>
          <w:rFonts w:ascii="Verdana" w:cs="Verdana" w:eastAsia="Verdana" w:hAnsi="Verdana"/>
          <w:sz w:val="17"/>
          <w:szCs w:val="17"/>
          <w:color w:val="auto"/>
        </w:rPr>
        <w:t>плотности</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холестерин</w:t>
      </w:r>
      <w:r>
        <w:rPr>
          <w:sz w:val="20"/>
          <w:szCs w:val="20"/>
          <w:color w:val="auto"/>
        </w:rPr>
        <w:tab/>
      </w:r>
      <w:r>
        <w:rPr>
          <w:rFonts w:ascii="Verdana" w:cs="Verdana" w:eastAsia="Verdana" w:hAnsi="Verdana"/>
          <w:sz w:val="15"/>
          <w:szCs w:val="15"/>
          <w:color w:val="auto"/>
        </w:rPr>
        <w:t>липопротеинов</w:t>
      </w:r>
    </w:p>
    <w:p>
      <w:pPr>
        <w:ind w:left="4680"/>
        <w:spacing w:after="0" w:line="217" w:lineRule="auto"/>
        <w:tabs>
          <w:tab w:leader="none" w:pos="5720" w:val="left"/>
          <w:tab w:leader="none" w:pos="6980" w:val="left"/>
          <w:tab w:leader="none" w:pos="8520" w:val="left"/>
        </w:tabs>
        <w:rPr>
          <w:sz w:val="20"/>
          <w:szCs w:val="20"/>
          <w:color w:val="auto"/>
        </w:rPr>
      </w:pPr>
      <w:r>
        <w:rPr>
          <w:rFonts w:ascii="Verdana" w:cs="Verdana" w:eastAsia="Verdana" w:hAnsi="Verdana"/>
          <w:sz w:val="17"/>
          <w:szCs w:val="17"/>
          <w:color w:val="auto"/>
        </w:rPr>
        <w:t>высокой</w:t>
      </w:r>
      <w:r>
        <w:rPr>
          <w:sz w:val="20"/>
          <w:szCs w:val="20"/>
          <w:color w:val="auto"/>
        </w:rPr>
        <w:tab/>
      </w:r>
      <w:r>
        <w:rPr>
          <w:rFonts w:ascii="Verdana" w:cs="Verdana" w:eastAsia="Verdana" w:hAnsi="Verdana"/>
          <w:sz w:val="17"/>
          <w:szCs w:val="17"/>
          <w:color w:val="auto"/>
        </w:rPr>
        <w:t>плотности</w:t>
      </w: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триглицериды</w:t>
      </w:r>
      <w:r>
        <w:rPr>
          <w:sz w:val="20"/>
          <w:szCs w:val="20"/>
          <w:color w:val="auto"/>
        </w:rPr>
        <w:tab/>
      </w:r>
      <w:r>
        <w:rPr>
          <w:rFonts w:ascii="Verdana" w:cs="Verdana" w:eastAsia="Verdana" w:hAnsi="Verdana"/>
          <w:sz w:val="15"/>
          <w:szCs w:val="15"/>
          <w:color w:val="auto"/>
        </w:rPr>
        <w:t>в</w:t>
      </w:r>
    </w:p>
    <w:p>
      <w:pPr>
        <w:ind w:left="4680"/>
        <w:spacing w:after="0" w:line="217" w:lineRule="auto"/>
        <w:tabs>
          <w:tab w:leader="none" w:pos="5720" w:val="left"/>
          <w:tab w:leader="none" w:pos="6200" w:val="left"/>
          <w:tab w:leader="none" w:pos="6940" w:val="left"/>
          <w:tab w:leader="none" w:pos="7420" w:val="left"/>
        </w:tabs>
        <w:rPr>
          <w:sz w:val="20"/>
          <w:szCs w:val="20"/>
          <w:color w:val="auto"/>
        </w:rPr>
      </w:pPr>
      <w:r>
        <w:rPr>
          <w:rFonts w:ascii="Verdana" w:cs="Verdana" w:eastAsia="Verdana" w:hAnsi="Verdana"/>
          <w:sz w:val="17"/>
          <w:szCs w:val="17"/>
          <w:color w:val="auto"/>
        </w:rPr>
        <w:t>сыворотке</w:t>
        <w:tab/>
        <w:t>при</w:t>
        <w:tab/>
        <w:t>взятии</w:t>
        <w:tab/>
        <w:t>под</w:t>
      </w:r>
      <w:r>
        <w:rPr>
          <w:sz w:val="20"/>
          <w:szCs w:val="20"/>
          <w:color w:val="auto"/>
        </w:rPr>
        <w:tab/>
      </w:r>
      <w:r>
        <w:rPr>
          <w:rFonts w:ascii="Verdana" w:cs="Verdana" w:eastAsia="Verdana" w:hAnsi="Verdana"/>
          <w:sz w:val="15"/>
          <w:szCs w:val="15"/>
          <w:color w:val="auto"/>
        </w:rPr>
        <w:t>диспансерное</w:t>
      </w:r>
    </w:p>
    <w:p>
      <w:pPr>
        <w:ind w:left="4680"/>
        <w:spacing w:after="0" w:line="192" w:lineRule="auto"/>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w:t>
      </w:r>
    </w:p>
    <w:p>
      <w:pPr>
        <w:ind w:left="4680"/>
        <w:spacing w:after="0" w:line="191" w:lineRule="auto"/>
        <w:rPr>
          <w:sz w:val="20"/>
          <w:szCs w:val="20"/>
          <w:color w:val="auto"/>
        </w:rPr>
      </w:pPr>
      <w:r>
        <w:rPr>
          <w:rFonts w:ascii="Verdana" w:cs="Verdana" w:eastAsia="Verdana" w:hAnsi="Verdana"/>
          <w:sz w:val="17"/>
          <w:szCs w:val="17"/>
          <w:color w:val="auto"/>
        </w:rPr>
        <w:t xml:space="preserve">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калий и натрий сыворотки при взятии под</w:t>
      </w:r>
    </w:p>
    <w:p>
      <w:pPr>
        <w:ind w:left="4680"/>
        <w:spacing w:after="0" w:line="217" w:lineRule="auto"/>
        <w:tabs>
          <w:tab w:leader="none" w:pos="6180" w:val="left"/>
          <w:tab w:leader="none" w:pos="7600" w:val="left"/>
          <w:tab w:leader="none" w:pos="8420" w:val="left"/>
        </w:tabs>
        <w:rPr>
          <w:sz w:val="20"/>
          <w:szCs w:val="20"/>
          <w:color w:val="auto"/>
        </w:rPr>
      </w:pPr>
      <w:r>
        <w:rPr>
          <w:rFonts w:ascii="Verdana" w:cs="Verdana" w:eastAsia="Verdana" w:hAnsi="Verdana"/>
          <w:sz w:val="17"/>
          <w:szCs w:val="17"/>
          <w:color w:val="auto"/>
        </w:rPr>
        <w:t>диспансерное</w:t>
      </w:r>
      <w:r>
        <w:rPr>
          <w:sz w:val="20"/>
          <w:szCs w:val="20"/>
          <w:color w:val="auto"/>
        </w:rPr>
        <w:tab/>
      </w: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ab/>
        <w:t>далее</w:t>
      </w:r>
      <w:r>
        <w:rPr>
          <w:sz w:val="20"/>
          <w:szCs w:val="20"/>
          <w:color w:val="auto"/>
        </w:rPr>
        <w:tab/>
      </w:r>
      <w:r>
        <w:rPr>
          <w:rFonts w:ascii="Verdana" w:cs="Verdana" w:eastAsia="Verdana" w:hAnsi="Verdana"/>
          <w:sz w:val="15"/>
          <w:szCs w:val="15"/>
          <w:color w:val="auto"/>
        </w:rPr>
        <w:t>по</w:t>
      </w:r>
    </w:p>
    <w:p>
      <w:pPr>
        <w:ind w:left="4680"/>
        <w:spacing w:after="0" w:line="192" w:lineRule="auto"/>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  </w:t>
      </w:r>
      <w:r>
        <w:rPr>
          <w:rFonts w:ascii="Verdana" w:cs="Verdana" w:eastAsia="Verdana" w:hAnsi="Verdana"/>
          <w:sz w:val="17"/>
          <w:szCs w:val="17"/>
          <w:color w:val="auto"/>
        </w:rPr>
        <w:t>-</w:t>
      </w:r>
    </w:p>
    <w:p>
      <w:pPr>
        <w:ind w:left="4680"/>
        <w:spacing w:after="0" w:line="191" w:lineRule="auto"/>
        <w:rPr>
          <w:sz w:val="20"/>
          <w:szCs w:val="20"/>
          <w:color w:val="auto"/>
        </w:rPr>
      </w:pPr>
      <w:r>
        <w:rPr>
          <w:rFonts w:ascii="Verdana" w:cs="Verdana" w:eastAsia="Verdana" w:hAnsi="Verdana"/>
          <w:sz w:val="17"/>
          <w:szCs w:val="17"/>
          <w:color w:val="auto"/>
        </w:rPr>
        <w:t>мочевая кислота сыворотки при взятии под</w:t>
      </w:r>
    </w:p>
    <w:p>
      <w:pPr>
        <w:ind w:left="4680"/>
        <w:spacing w:after="0" w:line="218" w:lineRule="auto"/>
        <w:tabs>
          <w:tab w:leader="none" w:pos="6180" w:val="left"/>
          <w:tab w:leader="none" w:pos="7600" w:val="left"/>
          <w:tab w:leader="none" w:pos="8420" w:val="left"/>
        </w:tabs>
        <w:rPr>
          <w:sz w:val="20"/>
          <w:szCs w:val="20"/>
          <w:color w:val="auto"/>
        </w:rPr>
      </w:pPr>
      <w:r>
        <w:rPr>
          <w:rFonts w:ascii="Verdana" w:cs="Verdana" w:eastAsia="Verdana" w:hAnsi="Verdana"/>
          <w:sz w:val="17"/>
          <w:szCs w:val="17"/>
          <w:color w:val="auto"/>
        </w:rPr>
        <w:t>диспансерное</w:t>
      </w:r>
      <w:r>
        <w:rPr>
          <w:sz w:val="20"/>
          <w:szCs w:val="20"/>
          <w:color w:val="auto"/>
        </w:rPr>
        <w:tab/>
      </w: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ab/>
        <w:t>далее</w:t>
      </w:r>
      <w:r>
        <w:rPr>
          <w:sz w:val="20"/>
          <w:szCs w:val="20"/>
          <w:color w:val="auto"/>
        </w:rPr>
        <w:tab/>
      </w:r>
      <w:r>
        <w:rPr>
          <w:rFonts w:ascii="Verdana" w:cs="Verdana" w:eastAsia="Verdana" w:hAnsi="Verdana"/>
          <w:sz w:val="15"/>
          <w:szCs w:val="15"/>
          <w:color w:val="auto"/>
        </w:rPr>
        <w:t>по</w:t>
      </w:r>
    </w:p>
    <w:p>
      <w:pPr>
        <w:ind w:left="4680"/>
        <w:spacing w:after="0" w:line="191" w:lineRule="auto"/>
        <w:rPr>
          <w:sz w:val="20"/>
          <w:szCs w:val="20"/>
          <w:color w:val="auto"/>
        </w:rPr>
      </w:pPr>
      <w:r>
        <w:rPr>
          <w:rFonts w:ascii="Verdana" w:cs="Verdana" w:eastAsia="Verdana" w:hAnsi="Verdana"/>
          <w:sz w:val="17"/>
          <w:szCs w:val="17"/>
          <w:color w:val="auto"/>
        </w:rPr>
        <w:t>показаниям</w:t>
      </w:r>
    </w:p>
    <w:p>
      <w:pPr>
        <w:ind w:left="4680"/>
        <w:spacing w:after="0" w:line="218" w:lineRule="auto"/>
        <w:rPr>
          <w:sz w:val="20"/>
          <w:szCs w:val="20"/>
          <w:color w:val="auto"/>
        </w:rPr>
      </w:pPr>
      <w:r>
        <w:rPr>
          <w:rFonts w:ascii="Verdana" w:cs="Verdana" w:eastAsia="Verdana" w:hAnsi="Verdana"/>
          <w:sz w:val="15"/>
          <w:szCs w:val="15"/>
          <w:color w:val="auto"/>
        </w:rPr>
        <w:t xml:space="preserve">- </w:t>
      </w:r>
      <w:r>
        <w:rPr>
          <w:rFonts w:ascii="Verdana" w:cs="Verdana" w:eastAsia="Verdana" w:hAnsi="Verdana"/>
          <w:sz w:val="15"/>
          <w:szCs w:val="15"/>
          <w:color w:val="auto"/>
        </w:rPr>
        <w:t>креатинин сыворотки</w:t>
      </w:r>
      <w:r>
        <w:rPr>
          <w:rFonts w:ascii="Verdana" w:cs="Verdana" w:eastAsia="Verdana" w:hAnsi="Verdana"/>
          <w:sz w:val="15"/>
          <w:szCs w:val="15"/>
          <w:color w:val="auto"/>
        </w:rPr>
        <w:t xml:space="preserve"> (</w:t>
      </w:r>
      <w:r>
        <w:rPr>
          <w:rFonts w:ascii="Verdana" w:cs="Verdana" w:eastAsia="Verdana" w:hAnsi="Verdana"/>
          <w:sz w:val="15"/>
          <w:szCs w:val="15"/>
          <w:color w:val="auto"/>
        </w:rPr>
        <w:t>с расчетом СКФ</w:t>
      </w:r>
      <w:r>
        <w:rPr>
          <w:rFonts w:ascii="Verdana" w:cs="Verdana" w:eastAsia="Verdana" w:hAnsi="Verdana"/>
          <w:sz w:val="15"/>
          <w:szCs w:val="15"/>
          <w:color w:val="auto"/>
        </w:rPr>
        <w:t xml:space="preserve">) </w:t>
      </w:r>
      <w:r>
        <w:rPr>
          <w:rFonts w:ascii="Verdana" w:cs="Verdana" w:eastAsia="Verdana" w:hAnsi="Verdana"/>
          <w:sz w:val="15"/>
          <w:szCs w:val="15"/>
          <w:color w:val="auto"/>
        </w:rPr>
        <w:t>при</w:t>
      </w:r>
    </w:p>
    <w:p>
      <w:pPr>
        <w:ind w:left="4680"/>
        <w:spacing w:after="0" w:line="217" w:lineRule="auto"/>
        <w:rPr>
          <w:sz w:val="20"/>
          <w:szCs w:val="20"/>
          <w:color w:val="auto"/>
        </w:rPr>
      </w:pPr>
      <w:r>
        <w:rPr>
          <w:rFonts w:ascii="Verdana" w:cs="Verdana" w:eastAsia="Verdana" w:hAnsi="Verdana"/>
          <w:sz w:val="15"/>
          <w:szCs w:val="15"/>
          <w:color w:val="auto"/>
        </w:rPr>
        <w:t>взятии под диспансерное наблюдение</w:t>
      </w:r>
      <w:r>
        <w:rPr>
          <w:rFonts w:ascii="Verdana" w:cs="Verdana" w:eastAsia="Verdana" w:hAnsi="Verdana"/>
          <w:sz w:val="15"/>
          <w:szCs w:val="15"/>
          <w:color w:val="auto"/>
        </w:rPr>
        <w:t>,</w:t>
      </w:r>
      <w:r>
        <w:rPr>
          <w:rFonts w:ascii="Verdana" w:cs="Verdana" w:eastAsia="Verdana" w:hAnsi="Verdana"/>
          <w:sz w:val="15"/>
          <w:szCs w:val="15"/>
          <w:color w:val="auto"/>
        </w:rPr>
        <w:t xml:space="preserve"> далее</w:t>
      </w:r>
    </w:p>
    <w:p>
      <w:pPr>
        <w:ind w:left="4680"/>
        <w:spacing w:after="0" w:line="192" w:lineRule="auto"/>
        <w:rPr>
          <w:sz w:val="20"/>
          <w:szCs w:val="20"/>
          <w:color w:val="auto"/>
        </w:rPr>
      </w:pPr>
      <w:r>
        <w:rPr>
          <w:rFonts w:ascii="Verdana" w:cs="Verdana" w:eastAsia="Verdana" w:hAnsi="Verdana"/>
          <w:sz w:val="17"/>
          <w:szCs w:val="17"/>
          <w:color w:val="auto"/>
        </w:rPr>
        <w:t>по 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анализ  мочи  с  микроскопией  осадка  и</w:t>
      </w:r>
    </w:p>
    <w:p>
      <w:pPr>
        <w:ind w:left="4680"/>
        <w:spacing w:after="0" w:line="217" w:lineRule="auto"/>
        <w:rPr>
          <w:sz w:val="20"/>
          <w:szCs w:val="20"/>
          <w:color w:val="auto"/>
        </w:rPr>
      </w:pPr>
      <w:r>
        <w:rPr>
          <w:rFonts w:ascii="Verdana" w:cs="Verdana" w:eastAsia="Verdana" w:hAnsi="Verdana"/>
          <w:sz w:val="15"/>
          <w:szCs w:val="15"/>
          <w:color w:val="auto"/>
        </w:rPr>
        <w:t xml:space="preserve">определением белка в моче не реже </w:t>
      </w:r>
      <w:r>
        <w:rPr>
          <w:rFonts w:ascii="Verdana" w:cs="Verdana" w:eastAsia="Verdana" w:hAnsi="Verdana"/>
          <w:sz w:val="15"/>
          <w:szCs w:val="15"/>
          <w:color w:val="auto"/>
        </w:rPr>
        <w:t>1</w:t>
      </w:r>
      <w:r>
        <w:rPr>
          <w:rFonts w:ascii="Verdana" w:cs="Verdana" w:eastAsia="Verdana" w:hAnsi="Verdana"/>
          <w:sz w:val="15"/>
          <w:szCs w:val="15"/>
          <w:color w:val="auto"/>
        </w:rPr>
        <w:t xml:space="preserve"> раза в</w:t>
      </w:r>
    </w:p>
    <w:p>
      <w:pPr>
        <w:ind w:left="4680"/>
        <w:spacing w:after="0" w:line="192" w:lineRule="auto"/>
        <w:rPr>
          <w:sz w:val="20"/>
          <w:szCs w:val="20"/>
          <w:color w:val="auto"/>
        </w:rPr>
      </w:pPr>
      <w:r>
        <w:rPr>
          <w:rFonts w:ascii="Verdana" w:cs="Verdana" w:eastAsia="Verdana" w:hAnsi="Verdana"/>
          <w:sz w:val="17"/>
          <w:szCs w:val="17"/>
          <w:color w:val="auto"/>
        </w:rPr>
        <w:t>год</w:t>
      </w:r>
    </w:p>
    <w:p>
      <w:pPr>
        <w:ind w:left="4680"/>
        <w:spacing w:after="0" w:line="217" w:lineRule="auto"/>
        <w:rPr>
          <w:sz w:val="20"/>
          <w:szCs w:val="20"/>
          <w:color w:val="auto"/>
        </w:rPr>
      </w:pPr>
      <w:r>
        <w:rPr>
          <w:rFonts w:ascii="Verdana" w:cs="Verdana" w:eastAsia="Verdana" w:hAnsi="Verdana"/>
          <w:sz w:val="15"/>
          <w:szCs w:val="15"/>
          <w:color w:val="auto"/>
        </w:rPr>
        <w:t xml:space="preserve">- </w:t>
      </w:r>
      <w:r>
        <w:rPr>
          <w:rFonts w:ascii="Verdana" w:cs="Verdana" w:eastAsia="Verdana" w:hAnsi="Verdana"/>
          <w:sz w:val="15"/>
          <w:szCs w:val="15"/>
          <w:color w:val="auto"/>
        </w:rPr>
        <w:t>анализ на микроальбуминурию при взятии</w:t>
      </w:r>
    </w:p>
    <w:p>
      <w:pPr>
        <w:ind w:left="4680"/>
        <w:spacing w:after="0" w:line="192" w:lineRule="auto"/>
        <w:rPr>
          <w:sz w:val="20"/>
          <w:szCs w:val="20"/>
          <w:color w:val="auto"/>
        </w:rPr>
      </w:pPr>
      <w:r>
        <w:rPr>
          <w:rFonts w:ascii="Verdana" w:cs="Verdana" w:eastAsia="Verdana" w:hAnsi="Verdana"/>
          <w:sz w:val="17"/>
          <w:szCs w:val="17"/>
          <w:color w:val="auto"/>
        </w:rPr>
        <w:t>под  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далее  по</w:t>
      </w:r>
    </w:p>
    <w:p>
      <w:pPr>
        <w:ind w:left="4680"/>
        <w:spacing w:after="0" w:line="191" w:lineRule="auto"/>
        <w:rPr>
          <w:sz w:val="20"/>
          <w:szCs w:val="20"/>
          <w:color w:val="auto"/>
        </w:rPr>
      </w:pPr>
      <w:r>
        <w:rPr>
          <w:rFonts w:ascii="Verdana" w:cs="Verdana" w:eastAsia="Verdana" w:hAnsi="Verdana"/>
          <w:sz w:val="17"/>
          <w:szCs w:val="17"/>
          <w:color w:val="auto"/>
        </w:rPr>
        <w:t>показаниям</w:t>
      </w:r>
      <w:r>
        <w:rPr>
          <w:rFonts w:ascii="Verdana" w:cs="Verdana" w:eastAsia="Verdana" w:hAnsi="Verdana"/>
          <w:sz w:val="17"/>
          <w:szCs w:val="17"/>
          <w:color w:val="auto"/>
        </w:rPr>
        <w:t>,</w:t>
      </w:r>
      <w:r>
        <w:rPr>
          <w:rFonts w:ascii="Verdana" w:cs="Verdana" w:eastAsia="Verdana" w:hAnsi="Verdana"/>
          <w:sz w:val="17"/>
          <w:szCs w:val="17"/>
          <w:color w:val="auto"/>
        </w:rPr>
        <w:t xml:space="preserve"> но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год</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ЭКГ в</w:t>
      </w:r>
      <w:r>
        <w:rPr>
          <w:rFonts w:ascii="Verdana" w:cs="Verdana" w:eastAsia="Verdana" w:hAnsi="Verdana"/>
          <w:sz w:val="17"/>
          <w:szCs w:val="17"/>
          <w:color w:val="auto"/>
        </w:rPr>
        <w:t xml:space="preserve"> 12 </w:t>
      </w:r>
      <w:r>
        <w:rPr>
          <w:rFonts w:ascii="Verdana" w:cs="Verdana" w:eastAsia="Verdana" w:hAnsi="Verdana"/>
          <w:sz w:val="17"/>
          <w:szCs w:val="17"/>
          <w:color w:val="auto"/>
        </w:rPr>
        <w:t>отведениях с расчетом индекса</w:t>
      </w:r>
    </w:p>
    <w:p>
      <w:pPr>
        <w:ind w:left="4680"/>
        <w:spacing w:after="0" w:line="218" w:lineRule="auto"/>
        <w:tabs>
          <w:tab w:leader="none" w:pos="6720" w:val="left"/>
          <w:tab w:leader="none" w:pos="7340" w:val="left"/>
        </w:tabs>
        <w:rPr>
          <w:sz w:val="20"/>
          <w:szCs w:val="20"/>
          <w:color w:val="auto"/>
        </w:rPr>
      </w:pPr>
      <w:r>
        <w:rPr>
          <w:rFonts w:ascii="Verdana" w:cs="Verdana" w:eastAsia="Verdana" w:hAnsi="Verdana"/>
          <w:sz w:val="17"/>
          <w:szCs w:val="17"/>
          <w:color w:val="auto"/>
        </w:rPr>
        <w:t>Соколова</w:t>
      </w:r>
      <w:r>
        <w:rPr>
          <w:rFonts w:ascii="Verdana" w:cs="Verdana" w:eastAsia="Verdana" w:hAnsi="Verdana"/>
          <w:sz w:val="17"/>
          <w:szCs w:val="17"/>
          <w:color w:val="auto"/>
        </w:rPr>
        <w:t>–</w:t>
      </w:r>
      <w:r>
        <w:rPr>
          <w:rFonts w:ascii="Verdana" w:cs="Verdana" w:eastAsia="Verdana" w:hAnsi="Verdana"/>
          <w:sz w:val="17"/>
          <w:szCs w:val="17"/>
          <w:color w:val="auto"/>
        </w:rPr>
        <w:t>Лайона</w:t>
      </w:r>
      <w:r>
        <w:rPr>
          <w:sz w:val="20"/>
          <w:szCs w:val="20"/>
          <w:color w:val="auto"/>
        </w:rPr>
        <w:tab/>
      </w:r>
      <w:r>
        <w:rPr>
          <w:rFonts w:ascii="Verdana" w:cs="Verdana" w:eastAsia="Verdana" w:hAnsi="Verdana"/>
          <w:sz w:val="17"/>
          <w:szCs w:val="17"/>
          <w:color w:val="auto"/>
        </w:rPr>
        <w:t>и</w:t>
      </w:r>
      <w:r>
        <w:rPr>
          <w:sz w:val="20"/>
          <w:szCs w:val="20"/>
          <w:color w:val="auto"/>
        </w:rPr>
        <w:tab/>
      </w:r>
      <w:r>
        <w:rPr>
          <w:rFonts w:ascii="Verdana" w:cs="Verdana" w:eastAsia="Verdana" w:hAnsi="Verdana"/>
          <w:sz w:val="15"/>
          <w:szCs w:val="15"/>
          <w:color w:val="auto"/>
        </w:rPr>
        <w:t>Корнелльского</w:t>
      </w:r>
    </w:p>
    <w:p>
      <w:pPr>
        <w:ind w:left="4680"/>
        <w:spacing w:after="0" w:line="191" w:lineRule="auto"/>
        <w:rPr>
          <w:sz w:val="20"/>
          <w:szCs w:val="20"/>
          <w:color w:val="auto"/>
        </w:rPr>
      </w:pPr>
      <w:r>
        <w:rPr>
          <w:rFonts w:ascii="Verdana" w:cs="Verdana" w:eastAsia="Verdana" w:hAnsi="Verdana"/>
          <w:sz w:val="17"/>
          <w:szCs w:val="17"/>
          <w:color w:val="auto"/>
        </w:rPr>
        <w:t xml:space="preserve">показателя не реже </w:t>
      </w:r>
      <w:r>
        <w:rPr>
          <w:rFonts w:ascii="Verdana" w:cs="Verdana" w:eastAsia="Verdana" w:hAnsi="Verdana"/>
          <w:sz w:val="17"/>
          <w:szCs w:val="17"/>
          <w:color w:val="auto"/>
        </w:rPr>
        <w:t>2</w:t>
      </w:r>
      <w:r>
        <w:rPr>
          <w:rFonts w:ascii="Verdana" w:cs="Verdana" w:eastAsia="Verdana" w:hAnsi="Verdana"/>
          <w:sz w:val="17"/>
          <w:szCs w:val="17"/>
          <w:color w:val="auto"/>
        </w:rPr>
        <w:t xml:space="preserve"> раз в год</w:t>
      </w:r>
    </w:p>
    <w:p>
      <w:pPr>
        <w:ind w:left="4680"/>
        <w:spacing w:after="0" w:line="218" w:lineRule="auto"/>
        <w:tabs>
          <w:tab w:leader="none" w:pos="4980" w:val="left"/>
          <w:tab w:leader="none" w:pos="5760" w:val="left"/>
          <w:tab w:leader="none" w:pos="6100" w:val="left"/>
          <w:tab w:leader="none" w:pos="7580" w:val="left"/>
          <w:tab w:leader="none" w:pos="852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ЭхоКГ</w:t>
        <w:tab/>
        <w:t>с</w:t>
        <w:tab/>
        <w:t>определением</w:t>
        <w:tab/>
        <w:t>ИММЛЖ</w:t>
      </w:r>
      <w:r>
        <w:rPr>
          <w:sz w:val="20"/>
          <w:szCs w:val="20"/>
          <w:color w:val="auto"/>
        </w:rPr>
        <w:tab/>
      </w:r>
      <w:r>
        <w:rPr>
          <w:rFonts w:ascii="Verdana" w:cs="Verdana" w:eastAsia="Verdana" w:hAnsi="Verdana"/>
          <w:sz w:val="15"/>
          <w:szCs w:val="15"/>
          <w:color w:val="auto"/>
        </w:rPr>
        <w:t>и</w:t>
      </w:r>
    </w:p>
    <w:p>
      <w:pPr>
        <w:ind w:left="4680"/>
        <w:spacing w:after="0" w:line="192" w:lineRule="auto"/>
        <w:rPr>
          <w:sz w:val="20"/>
          <w:szCs w:val="20"/>
          <w:color w:val="auto"/>
        </w:rPr>
      </w:pPr>
      <w:r>
        <w:rPr>
          <w:rFonts w:ascii="Verdana" w:cs="Verdana" w:eastAsia="Verdana" w:hAnsi="Verdana"/>
          <w:sz w:val="17"/>
          <w:szCs w:val="17"/>
          <w:color w:val="auto"/>
        </w:rPr>
        <w:t>диастолической  функции  при  взятии  под</w:t>
      </w:r>
    </w:p>
    <w:p>
      <w:pPr>
        <w:ind w:left="4680"/>
        <w:spacing w:after="0" w:line="191" w:lineRule="auto"/>
        <w:rPr>
          <w:sz w:val="20"/>
          <w:szCs w:val="20"/>
          <w:color w:val="auto"/>
        </w:rPr>
      </w:pPr>
      <w:r>
        <w:rPr>
          <w:rFonts w:ascii="Verdana" w:cs="Verdana" w:eastAsia="Verdana" w:hAnsi="Verdana"/>
          <w:sz w:val="17"/>
          <w:szCs w:val="17"/>
          <w:color w:val="auto"/>
        </w:rPr>
        <w:t>диспансерное наблюдение</w:t>
      </w:r>
      <w:r>
        <w:rPr>
          <w:rFonts w:ascii="Verdana" w:cs="Verdana" w:eastAsia="Verdana" w:hAnsi="Verdana"/>
          <w:sz w:val="17"/>
          <w:szCs w:val="17"/>
          <w:color w:val="auto"/>
        </w:rPr>
        <w:t>,</w:t>
      </w:r>
      <w:r>
        <w:rPr>
          <w:rFonts w:ascii="Verdana" w:cs="Verdana" w:eastAsia="Verdana" w:hAnsi="Verdana"/>
          <w:sz w:val="17"/>
          <w:szCs w:val="17"/>
          <w:color w:val="auto"/>
        </w:rPr>
        <w:t xml:space="preserve"> в последующем</w:t>
      </w:r>
    </w:p>
    <w:p>
      <w:pPr>
        <w:ind w:left="4680"/>
        <w:spacing w:after="0" w:line="218" w:lineRule="auto"/>
        <w:rPr>
          <w:sz w:val="20"/>
          <w:szCs w:val="20"/>
          <w:color w:val="auto"/>
        </w:rPr>
      </w:pPr>
      <w:r>
        <w:rPr>
          <w:rFonts w:ascii="Verdana" w:cs="Verdana" w:eastAsia="Verdana" w:hAnsi="Verdana"/>
          <w:sz w:val="15"/>
          <w:szCs w:val="15"/>
          <w:color w:val="auto"/>
        </w:rPr>
        <w:t>по показаниям</w:t>
      </w:r>
      <w:r>
        <w:rPr>
          <w:rFonts w:ascii="Verdana" w:cs="Verdana" w:eastAsia="Verdana" w:hAnsi="Verdana"/>
          <w:sz w:val="15"/>
          <w:szCs w:val="15"/>
          <w:color w:val="auto"/>
        </w:rPr>
        <w:t>,</w:t>
      </w:r>
      <w:r>
        <w:rPr>
          <w:rFonts w:ascii="Verdana" w:cs="Verdana" w:eastAsia="Verdana" w:hAnsi="Verdana"/>
          <w:sz w:val="15"/>
          <w:szCs w:val="15"/>
          <w:color w:val="auto"/>
        </w:rPr>
        <w:t xml:space="preserve"> но не менее </w:t>
      </w:r>
      <w:r>
        <w:rPr>
          <w:rFonts w:ascii="Verdana" w:cs="Verdana" w:eastAsia="Verdana" w:hAnsi="Verdana"/>
          <w:sz w:val="15"/>
          <w:szCs w:val="15"/>
          <w:color w:val="auto"/>
        </w:rPr>
        <w:t>1</w:t>
      </w:r>
      <w:r>
        <w:rPr>
          <w:rFonts w:ascii="Verdana" w:cs="Verdana" w:eastAsia="Verdana" w:hAnsi="Verdana"/>
          <w:sz w:val="15"/>
          <w:szCs w:val="15"/>
          <w:color w:val="auto"/>
        </w:rPr>
        <w:t xml:space="preserve"> раза в год при</w:t>
      </w:r>
    </w:p>
    <w:p>
      <w:pPr>
        <w:ind w:left="4680"/>
        <w:spacing w:after="0" w:line="217" w:lineRule="auto"/>
        <w:rPr>
          <w:sz w:val="20"/>
          <w:szCs w:val="20"/>
          <w:color w:val="auto"/>
        </w:rPr>
      </w:pPr>
      <w:r>
        <w:rPr>
          <w:rFonts w:ascii="Verdana" w:cs="Verdana" w:eastAsia="Verdana" w:hAnsi="Verdana"/>
          <w:sz w:val="15"/>
          <w:szCs w:val="15"/>
          <w:color w:val="auto"/>
        </w:rPr>
        <w:t>отсутствии достижения целевых значений АД</w:t>
      </w:r>
    </w:p>
    <w:p>
      <w:pPr>
        <w:ind w:left="4680"/>
        <w:spacing w:after="0" w:line="217" w:lineRule="auto"/>
        <w:tabs>
          <w:tab w:leader="none" w:pos="4980" w:val="left"/>
          <w:tab w:leader="none" w:pos="5920" w:val="left"/>
          <w:tab w:leader="none" w:pos="7040" w:val="left"/>
        </w:tabs>
        <w:rPr>
          <w:sz w:val="20"/>
          <w:szCs w:val="20"/>
          <w:color w:val="auto"/>
        </w:rPr>
      </w:pPr>
      <w:r>
        <w:rPr>
          <w:rFonts w:ascii="Verdana" w:cs="Verdana" w:eastAsia="Verdana" w:hAnsi="Verdana"/>
          <w:sz w:val="17"/>
          <w:szCs w:val="17"/>
          <w:color w:val="auto"/>
        </w:rPr>
        <w:t>и</w:t>
        <w:tab/>
        <w:t>наличии</w:t>
        <w:tab/>
        <w:t>признаков</w:t>
      </w:r>
      <w:r>
        <w:rPr>
          <w:sz w:val="20"/>
          <w:szCs w:val="20"/>
          <w:color w:val="auto"/>
        </w:rPr>
        <w:tab/>
      </w:r>
      <w:r>
        <w:rPr>
          <w:rFonts w:ascii="Verdana" w:cs="Verdana" w:eastAsia="Verdana" w:hAnsi="Verdana"/>
          <w:sz w:val="15"/>
          <w:szCs w:val="15"/>
          <w:color w:val="auto"/>
        </w:rPr>
        <w:t>прогрессирования</w:t>
      </w:r>
    </w:p>
    <w:p>
      <w:pPr>
        <w:ind w:left="4680"/>
        <w:spacing w:after="0" w:line="217" w:lineRule="auto"/>
        <w:rPr>
          <w:sz w:val="20"/>
          <w:szCs w:val="20"/>
          <w:color w:val="auto"/>
        </w:rPr>
      </w:pPr>
      <w:r>
        <w:rPr>
          <w:rFonts w:ascii="Verdana" w:cs="Verdana" w:eastAsia="Verdana" w:hAnsi="Verdana"/>
          <w:sz w:val="15"/>
          <w:szCs w:val="15"/>
          <w:color w:val="auto"/>
        </w:rPr>
        <w:t>гипертрофии левого желудочка при расчете</w:t>
      </w:r>
    </w:p>
    <w:p>
      <w:pPr>
        <w:ind w:left="4680"/>
        <w:spacing w:after="0" w:line="192" w:lineRule="auto"/>
        <w:rPr>
          <w:sz w:val="20"/>
          <w:szCs w:val="20"/>
          <w:color w:val="auto"/>
        </w:rPr>
      </w:pPr>
      <w:r>
        <w:rPr>
          <w:rFonts w:ascii="Verdana" w:cs="Verdana" w:eastAsia="Verdana" w:hAnsi="Verdana"/>
          <w:sz w:val="17"/>
          <w:szCs w:val="17"/>
          <w:color w:val="auto"/>
        </w:rPr>
        <w:t>индекса Соколова</w:t>
      </w:r>
      <w:r>
        <w:rPr>
          <w:rFonts w:ascii="Verdana" w:cs="Verdana" w:eastAsia="Verdana" w:hAnsi="Verdana"/>
          <w:sz w:val="17"/>
          <w:szCs w:val="17"/>
          <w:color w:val="auto"/>
        </w:rPr>
        <w:t>–</w:t>
      </w:r>
      <w:r>
        <w:rPr>
          <w:rFonts w:ascii="Verdana" w:cs="Verdana" w:eastAsia="Verdana" w:hAnsi="Verdana"/>
          <w:sz w:val="17"/>
          <w:szCs w:val="17"/>
          <w:color w:val="auto"/>
        </w:rPr>
        <w:t>Лайона и Корнелльского</w:t>
      </w:r>
    </w:p>
    <w:p>
      <w:pPr>
        <w:ind w:left="4680"/>
        <w:spacing w:after="0" w:line="192" w:lineRule="auto"/>
        <w:rPr>
          <w:sz w:val="20"/>
          <w:szCs w:val="20"/>
          <w:color w:val="auto"/>
        </w:rPr>
      </w:pPr>
      <w:r>
        <w:rPr>
          <w:rFonts w:ascii="Verdana" w:cs="Verdana" w:eastAsia="Verdana" w:hAnsi="Verdana"/>
          <w:sz w:val="17"/>
          <w:szCs w:val="17"/>
          <w:color w:val="auto"/>
        </w:rPr>
        <w:t>показателя</w:t>
      </w:r>
    </w:p>
    <w:p>
      <w:pPr>
        <w:ind w:left="4680"/>
        <w:spacing w:after="0" w:line="191"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дуплексное сканирование сонных артерий</w:t>
      </w:r>
    </w:p>
    <w:p>
      <w:pPr>
        <w:ind w:left="4680"/>
        <w:spacing w:after="0" w:line="218" w:lineRule="auto"/>
        <w:rPr>
          <w:sz w:val="20"/>
          <w:szCs w:val="20"/>
          <w:color w:val="auto"/>
        </w:rPr>
      </w:pPr>
      <w:r>
        <w:rPr>
          <w:rFonts w:ascii="Verdana" w:cs="Verdana" w:eastAsia="Verdana" w:hAnsi="Verdana"/>
          <w:sz w:val="15"/>
          <w:szCs w:val="15"/>
          <w:color w:val="auto"/>
        </w:rPr>
        <w:t xml:space="preserve">у мужчин старше </w:t>
      </w:r>
      <w:r>
        <w:rPr>
          <w:rFonts w:ascii="Verdana" w:cs="Verdana" w:eastAsia="Verdana" w:hAnsi="Verdana"/>
          <w:sz w:val="15"/>
          <w:szCs w:val="15"/>
          <w:color w:val="auto"/>
        </w:rPr>
        <w:t>40</w:t>
      </w:r>
      <w:r>
        <w:rPr>
          <w:rFonts w:ascii="Verdana" w:cs="Verdana" w:eastAsia="Verdana" w:hAnsi="Verdana"/>
          <w:sz w:val="15"/>
          <w:szCs w:val="15"/>
          <w:color w:val="auto"/>
        </w:rPr>
        <w:t xml:space="preserve"> лет</w:t>
      </w:r>
      <w:r>
        <w:rPr>
          <w:rFonts w:ascii="Verdana" w:cs="Verdana" w:eastAsia="Verdana" w:hAnsi="Verdana"/>
          <w:sz w:val="15"/>
          <w:szCs w:val="15"/>
          <w:color w:val="auto"/>
        </w:rPr>
        <w:t>,</w:t>
      </w:r>
      <w:r>
        <w:rPr>
          <w:rFonts w:ascii="Verdana" w:cs="Verdana" w:eastAsia="Verdana" w:hAnsi="Verdana"/>
          <w:sz w:val="15"/>
          <w:szCs w:val="15"/>
          <w:color w:val="auto"/>
        </w:rPr>
        <w:t xml:space="preserve"> женщин старше </w:t>
      </w:r>
      <w:r>
        <w:rPr>
          <w:rFonts w:ascii="Verdana" w:cs="Verdana" w:eastAsia="Verdana" w:hAnsi="Verdana"/>
          <w:sz w:val="15"/>
          <w:szCs w:val="15"/>
          <w:color w:val="auto"/>
        </w:rPr>
        <w:t>50</w:t>
      </w:r>
    </w:p>
    <w:p>
      <w:pPr>
        <w:ind w:left="4680"/>
        <w:spacing w:after="0" w:line="191" w:lineRule="auto"/>
        <w:rPr>
          <w:sz w:val="20"/>
          <w:szCs w:val="20"/>
          <w:color w:val="auto"/>
        </w:rPr>
      </w:pPr>
      <w:r>
        <w:rPr>
          <w:rFonts w:ascii="Verdana" w:cs="Verdana" w:eastAsia="Verdana" w:hAnsi="Verdana"/>
          <w:sz w:val="17"/>
          <w:szCs w:val="17"/>
          <w:color w:val="auto"/>
        </w:rPr>
        <w:t xml:space="preserve">лет  не  реже  </w:t>
      </w:r>
      <w:r>
        <w:rPr>
          <w:rFonts w:ascii="Verdana" w:cs="Verdana" w:eastAsia="Verdana" w:hAnsi="Verdana"/>
          <w:sz w:val="17"/>
          <w:szCs w:val="17"/>
          <w:color w:val="auto"/>
        </w:rPr>
        <w:t>1</w:t>
      </w:r>
      <w:r>
        <w:rPr>
          <w:rFonts w:ascii="Verdana" w:cs="Verdana" w:eastAsia="Verdana" w:hAnsi="Verdana"/>
          <w:sz w:val="17"/>
          <w:szCs w:val="17"/>
          <w:color w:val="auto"/>
        </w:rPr>
        <w:t xml:space="preserve">  раза  в  </w:t>
      </w:r>
      <w:r>
        <w:rPr>
          <w:rFonts w:ascii="Verdana" w:cs="Verdana" w:eastAsia="Verdana" w:hAnsi="Verdana"/>
          <w:sz w:val="17"/>
          <w:szCs w:val="17"/>
          <w:color w:val="auto"/>
        </w:rPr>
        <w:t>2</w:t>
      </w:r>
      <w:r>
        <w:rPr>
          <w:rFonts w:ascii="Verdana" w:cs="Verdana" w:eastAsia="Verdana" w:hAnsi="Verdana"/>
          <w:sz w:val="17"/>
          <w:szCs w:val="17"/>
          <w:color w:val="auto"/>
        </w:rPr>
        <w:t xml:space="preserve">  года  с  целью</w:t>
      </w:r>
    </w:p>
    <w:p>
      <w:pPr>
        <w:ind w:left="4680"/>
        <w:spacing w:after="0" w:line="218" w:lineRule="auto"/>
        <w:tabs>
          <w:tab w:leader="none" w:pos="6320" w:val="left"/>
          <w:tab w:leader="none" w:pos="7240" w:val="left"/>
          <w:tab w:leader="none" w:pos="7900" w:val="left"/>
        </w:tabs>
        <w:rPr>
          <w:sz w:val="20"/>
          <w:szCs w:val="20"/>
          <w:color w:val="auto"/>
        </w:rPr>
      </w:pPr>
      <w:r>
        <w:rPr>
          <w:rFonts w:ascii="Verdana" w:cs="Verdana" w:eastAsia="Verdana" w:hAnsi="Verdana"/>
          <w:sz w:val="17"/>
          <w:szCs w:val="17"/>
          <w:color w:val="auto"/>
        </w:rPr>
        <w:t>определения</w:t>
      </w:r>
      <w:r>
        <w:rPr>
          <w:sz w:val="20"/>
          <w:szCs w:val="20"/>
          <w:color w:val="auto"/>
        </w:rPr>
        <w:tab/>
      </w:r>
      <w:r>
        <w:rPr>
          <w:rFonts w:ascii="Verdana" w:cs="Verdana" w:eastAsia="Verdana" w:hAnsi="Verdana"/>
          <w:sz w:val="17"/>
          <w:szCs w:val="17"/>
          <w:color w:val="auto"/>
        </w:rPr>
        <w:t>ТИМ</w:t>
      </w:r>
      <w:r>
        <w:rPr>
          <w:sz w:val="20"/>
          <w:szCs w:val="20"/>
          <w:color w:val="auto"/>
        </w:rPr>
        <w:tab/>
      </w:r>
      <w:r>
        <w:rPr>
          <w:rFonts w:ascii="Verdana" w:cs="Verdana" w:eastAsia="Verdana" w:hAnsi="Verdana"/>
          <w:sz w:val="17"/>
          <w:szCs w:val="17"/>
          <w:color w:val="auto"/>
        </w:rPr>
        <w:t>и</w:t>
      </w:r>
      <w:r>
        <w:rPr>
          <w:sz w:val="20"/>
          <w:szCs w:val="20"/>
          <w:color w:val="auto"/>
        </w:rPr>
        <w:tab/>
      </w:r>
      <w:r>
        <w:rPr>
          <w:rFonts w:ascii="Verdana" w:cs="Verdana" w:eastAsia="Verdana" w:hAnsi="Verdana"/>
          <w:sz w:val="15"/>
          <w:szCs w:val="15"/>
          <w:color w:val="auto"/>
        </w:rPr>
        <w:t>наличия</w:t>
      </w:r>
    </w:p>
    <w:p>
      <w:pPr>
        <w:ind w:left="4680"/>
        <w:spacing w:after="0" w:line="192" w:lineRule="auto"/>
        <w:rPr>
          <w:sz w:val="20"/>
          <w:szCs w:val="20"/>
          <w:color w:val="auto"/>
        </w:rPr>
      </w:pPr>
      <w:r>
        <w:rPr>
          <w:rFonts w:ascii="Verdana" w:cs="Verdana" w:eastAsia="Verdana" w:hAnsi="Verdana"/>
          <w:sz w:val="17"/>
          <w:szCs w:val="17"/>
          <w:color w:val="auto"/>
        </w:rPr>
        <w:t>атеросклеротических бляшек</w:t>
      </w:r>
      <w:r>
        <w:rPr>
          <w:rFonts w:ascii="Verdana" w:cs="Verdana" w:eastAsia="Verdana" w:hAnsi="Verdana"/>
          <w:sz w:val="17"/>
          <w:szCs w:val="17"/>
          <w:color w:val="auto"/>
        </w:rPr>
        <w:t>*</w:t>
      </w:r>
    </w:p>
    <w:p>
      <w:pPr>
        <w:ind w:left="4680"/>
        <w:spacing w:after="0" w:line="191" w:lineRule="auto"/>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УЗИ почек при взятии под диспансерное</w:t>
      </w:r>
    </w:p>
    <w:p>
      <w:pPr>
        <w:ind w:left="4680"/>
        <w:spacing w:after="0" w:line="218" w:lineRule="auto"/>
        <w:tabs>
          <w:tab w:leader="none" w:pos="5980" w:val="left"/>
          <w:tab w:leader="none" w:pos="6680" w:val="left"/>
          <w:tab w:leader="none" w:pos="7080" w:val="left"/>
          <w:tab w:leader="none" w:pos="8300" w:val="left"/>
        </w:tabs>
        <w:rPr>
          <w:sz w:val="20"/>
          <w:szCs w:val="20"/>
          <w:color w:val="auto"/>
        </w:rPr>
      </w:pPr>
      <w:r>
        <w:rPr>
          <w:rFonts w:ascii="Verdana" w:cs="Verdana" w:eastAsia="Verdana" w:hAnsi="Verdana"/>
          <w:sz w:val="17"/>
          <w:szCs w:val="17"/>
          <w:color w:val="auto"/>
        </w:rPr>
        <w:t>наблюдение</w:t>
      </w:r>
      <w:r>
        <w:rPr>
          <w:rFonts w:ascii="Verdana" w:cs="Verdana" w:eastAsia="Verdana" w:hAnsi="Verdana"/>
          <w:sz w:val="17"/>
          <w:szCs w:val="17"/>
          <w:color w:val="auto"/>
        </w:rPr>
        <w:t>,</w:t>
      </w:r>
      <w:r>
        <w:rPr>
          <w:rFonts w:ascii="Verdana" w:cs="Verdana" w:eastAsia="Verdana" w:hAnsi="Verdana"/>
          <w:sz w:val="17"/>
          <w:szCs w:val="17"/>
          <w:color w:val="auto"/>
        </w:rPr>
        <w:tab/>
        <w:t>далее</w:t>
        <w:tab/>
        <w:t>по</w:t>
        <w:tab/>
        <w:t>показаниям</w:t>
      </w:r>
      <w:r>
        <w:rPr>
          <w:sz w:val="20"/>
          <w:szCs w:val="20"/>
          <w:color w:val="auto"/>
        </w:rPr>
        <w:tab/>
      </w:r>
      <w:r>
        <w:rPr>
          <w:rFonts w:ascii="Verdana" w:cs="Verdana" w:eastAsia="Verdana" w:hAnsi="Verdana"/>
          <w:sz w:val="15"/>
          <w:szCs w:val="15"/>
          <w:color w:val="auto"/>
        </w:rPr>
        <w:t>при</w:t>
      </w:r>
    </w:p>
    <w:p>
      <w:pPr>
        <w:ind w:left="4680"/>
        <w:spacing w:after="0" w:line="217" w:lineRule="auto"/>
        <w:tabs>
          <w:tab w:leader="none" w:pos="5640" w:val="left"/>
          <w:tab w:leader="none" w:pos="7160" w:val="left"/>
          <w:tab w:leader="none" w:pos="8420" w:val="left"/>
        </w:tabs>
        <w:rPr>
          <w:sz w:val="20"/>
          <w:szCs w:val="20"/>
          <w:color w:val="auto"/>
        </w:rPr>
      </w:pPr>
      <w:r>
        <w:rPr>
          <w:rFonts w:ascii="Verdana" w:cs="Verdana" w:eastAsia="Verdana" w:hAnsi="Verdana"/>
          <w:sz w:val="17"/>
          <w:szCs w:val="17"/>
          <w:color w:val="auto"/>
        </w:rPr>
        <w:t>наличии</w:t>
        <w:tab/>
        <w:t>обоснованного</w:t>
        <w:tab/>
        <w:t>подозрения</w:t>
      </w:r>
      <w:r>
        <w:rPr>
          <w:sz w:val="20"/>
          <w:szCs w:val="20"/>
          <w:color w:val="auto"/>
        </w:rPr>
        <w:tab/>
      </w:r>
      <w:r>
        <w:rPr>
          <w:rFonts w:ascii="Verdana" w:cs="Verdana" w:eastAsia="Verdana" w:hAnsi="Verdana"/>
          <w:sz w:val="15"/>
          <w:szCs w:val="15"/>
          <w:color w:val="auto"/>
        </w:rPr>
        <w:t>на</w:t>
      </w:r>
    </w:p>
    <w:p>
      <w:pPr>
        <w:ind w:left="4680"/>
        <w:spacing w:after="0" w:line="192" w:lineRule="auto"/>
        <w:rPr>
          <w:sz w:val="20"/>
          <w:szCs w:val="20"/>
          <w:color w:val="auto"/>
        </w:rPr>
      </w:pPr>
      <w:r>
        <w:rPr>
          <w:rFonts w:ascii="Verdana" w:cs="Verdana" w:eastAsia="Verdana" w:hAnsi="Verdana"/>
          <w:sz w:val="17"/>
          <w:szCs w:val="17"/>
          <w:color w:val="auto"/>
        </w:rPr>
        <w:t>развитие или прогрессирование ХБП</w:t>
      </w:r>
      <w:r>
        <w:rPr>
          <w:rFonts w:ascii="Verdana" w:cs="Verdana" w:eastAsia="Verdana" w:hAnsi="Verdana"/>
          <w:sz w:val="17"/>
          <w:szCs w:val="17"/>
          <w:color w:val="auto"/>
        </w:rPr>
        <w:t>*</w:t>
      </w:r>
    </w:p>
    <w:p>
      <w:pPr>
        <w:ind w:left="4680"/>
        <w:spacing w:after="0" w:line="217" w:lineRule="auto"/>
        <w:tabs>
          <w:tab w:leader="none" w:pos="5020" w:val="left"/>
          <w:tab w:leader="none" w:pos="6280" w:val="left"/>
          <w:tab w:leader="none" w:pos="7780" w:val="left"/>
        </w:tabs>
        <w:rPr>
          <w:sz w:val="20"/>
          <w:szCs w:val="20"/>
          <w:color w:val="auto"/>
        </w:rPr>
      </w:pPr>
      <w:r>
        <w:rPr>
          <w:rFonts w:ascii="Verdana" w:cs="Verdana" w:eastAsia="Verdana" w:hAnsi="Verdana"/>
          <w:sz w:val="17"/>
          <w:szCs w:val="17"/>
          <w:color w:val="auto"/>
        </w:rPr>
        <w:t>-</w:t>
      </w:r>
      <w:r>
        <w:rPr>
          <w:sz w:val="20"/>
          <w:szCs w:val="20"/>
          <w:color w:val="auto"/>
        </w:rPr>
        <w:tab/>
      </w:r>
      <w:r>
        <w:rPr>
          <w:rFonts w:ascii="Verdana" w:cs="Verdana" w:eastAsia="Verdana" w:hAnsi="Verdana"/>
          <w:sz w:val="17"/>
          <w:szCs w:val="17"/>
          <w:color w:val="auto"/>
        </w:rPr>
        <w:t>дуплексное</w:t>
        <w:tab/>
        <w:t>сканирование</w:t>
      </w:r>
      <w:r>
        <w:rPr>
          <w:sz w:val="20"/>
          <w:szCs w:val="20"/>
          <w:color w:val="auto"/>
        </w:rPr>
        <w:tab/>
      </w:r>
      <w:r>
        <w:rPr>
          <w:rFonts w:ascii="Verdana" w:cs="Verdana" w:eastAsia="Verdana" w:hAnsi="Verdana"/>
          <w:sz w:val="15"/>
          <w:szCs w:val="15"/>
          <w:color w:val="auto"/>
        </w:rPr>
        <w:t>почечных</w:t>
      </w:r>
    </w:p>
    <w:p>
      <w:pPr>
        <w:ind w:left="4680"/>
        <w:spacing w:after="0" w:line="217" w:lineRule="auto"/>
        <w:tabs>
          <w:tab w:leader="none" w:pos="5680" w:val="left"/>
          <w:tab w:leader="none" w:pos="6300" w:val="left"/>
          <w:tab w:leader="none" w:pos="7340" w:val="left"/>
        </w:tabs>
        <w:rPr>
          <w:sz w:val="20"/>
          <w:szCs w:val="20"/>
          <w:color w:val="auto"/>
        </w:rPr>
      </w:pPr>
      <w:r>
        <w:rPr>
          <w:rFonts w:ascii="Verdana" w:cs="Verdana" w:eastAsia="Verdana" w:hAnsi="Verdana"/>
          <w:sz w:val="17"/>
          <w:szCs w:val="17"/>
          <w:color w:val="auto"/>
        </w:rPr>
        <w:t>артерий</w:t>
      </w:r>
      <w:r>
        <w:rPr>
          <w:sz w:val="20"/>
          <w:szCs w:val="20"/>
          <w:color w:val="auto"/>
        </w:rPr>
        <w:tab/>
      </w:r>
      <w:r>
        <w:rPr>
          <w:rFonts w:ascii="Verdana" w:cs="Verdana" w:eastAsia="Verdana" w:hAnsi="Verdana"/>
          <w:sz w:val="17"/>
          <w:szCs w:val="17"/>
          <w:color w:val="auto"/>
        </w:rPr>
        <w:t>при</w:t>
      </w:r>
      <w:r>
        <w:rPr>
          <w:sz w:val="20"/>
          <w:szCs w:val="20"/>
          <w:color w:val="auto"/>
        </w:rPr>
        <w:tab/>
      </w:r>
      <w:r>
        <w:rPr>
          <w:rFonts w:ascii="Verdana" w:cs="Verdana" w:eastAsia="Verdana" w:hAnsi="Verdana"/>
          <w:sz w:val="17"/>
          <w:szCs w:val="17"/>
          <w:color w:val="auto"/>
        </w:rPr>
        <w:t>наличии</w:t>
      </w:r>
      <w:r>
        <w:rPr>
          <w:sz w:val="20"/>
          <w:szCs w:val="20"/>
          <w:color w:val="auto"/>
        </w:rPr>
        <w:tab/>
      </w:r>
      <w:r>
        <w:rPr>
          <w:rFonts w:ascii="Verdana" w:cs="Verdana" w:eastAsia="Verdana" w:hAnsi="Verdana"/>
          <w:sz w:val="15"/>
          <w:szCs w:val="15"/>
          <w:color w:val="auto"/>
        </w:rPr>
        <w:t>обоснованного</w:t>
      </w:r>
    </w:p>
    <w:p>
      <w:pPr>
        <w:ind w:left="4680"/>
        <w:spacing w:after="0" w:line="192" w:lineRule="auto"/>
        <w:rPr>
          <w:sz w:val="20"/>
          <w:szCs w:val="20"/>
          <w:color w:val="auto"/>
        </w:rPr>
      </w:pPr>
      <w:r>
        <w:rPr>
          <w:rFonts w:ascii="Verdana" w:cs="Verdana" w:eastAsia="Verdana" w:hAnsi="Verdana"/>
          <w:sz w:val="17"/>
          <w:szCs w:val="17"/>
          <w:color w:val="auto"/>
        </w:rPr>
        <w:t>подозрения на их патологию</w:t>
      </w:r>
      <w:r>
        <w:rPr>
          <w:rFonts w:ascii="Verdana" w:cs="Verdana" w:eastAsia="Verdana" w:hAnsi="Verdana"/>
          <w:sz w:val="17"/>
          <w:szCs w:val="17"/>
          <w:color w:val="auto"/>
        </w:rPr>
        <w:t>*</w:t>
      </w:r>
    </w:p>
    <w:p>
      <w:pPr>
        <w:ind w:left="4680"/>
        <w:spacing w:after="0" w:line="191"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лодыжечно</w:t>
      </w:r>
      <w:r>
        <w:rPr>
          <w:rFonts w:ascii="Verdana" w:cs="Verdana" w:eastAsia="Verdana" w:hAnsi="Verdana"/>
          <w:sz w:val="17"/>
          <w:szCs w:val="17"/>
          <w:color w:val="auto"/>
        </w:rPr>
        <w:t>-</w:t>
      </w:r>
      <w:r>
        <w:rPr>
          <w:rFonts w:ascii="Verdana" w:cs="Verdana" w:eastAsia="Verdana" w:hAnsi="Verdana"/>
          <w:sz w:val="17"/>
          <w:szCs w:val="17"/>
          <w:color w:val="auto"/>
        </w:rPr>
        <w:t>плечевой индекс при наличии</w:t>
      </w:r>
    </w:p>
    <w:p>
      <w:pPr>
        <w:ind w:left="4680"/>
        <w:spacing w:after="0" w:line="218" w:lineRule="auto"/>
        <w:rPr>
          <w:sz w:val="20"/>
          <w:szCs w:val="20"/>
          <w:color w:val="auto"/>
        </w:rPr>
      </w:pPr>
      <w:r>
        <w:rPr>
          <w:rFonts w:ascii="Verdana" w:cs="Verdana" w:eastAsia="Verdana" w:hAnsi="Verdana"/>
          <w:sz w:val="15"/>
          <w:szCs w:val="15"/>
          <w:color w:val="auto"/>
        </w:rPr>
        <w:t>обоснованного подозрения на стеноз сосудов</w:t>
      </w:r>
    </w:p>
    <w:p>
      <w:pPr>
        <w:ind w:left="4680"/>
        <w:spacing w:after="0" w:line="191" w:lineRule="auto"/>
        <w:rPr>
          <w:sz w:val="20"/>
          <w:szCs w:val="20"/>
          <w:color w:val="auto"/>
        </w:rPr>
      </w:pPr>
      <w:r>
        <w:rPr>
          <w:rFonts w:ascii="Verdana" w:cs="Verdana" w:eastAsia="Verdana" w:hAnsi="Verdana"/>
          <w:sz w:val="17"/>
          <w:szCs w:val="17"/>
          <w:color w:val="auto"/>
        </w:rPr>
        <w:t>нижних конечностей</w:t>
      </w:r>
      <w:r>
        <w:rPr>
          <w:rFonts w:ascii="Verdana" w:cs="Verdana" w:eastAsia="Verdana" w:hAnsi="Verdana"/>
          <w:sz w:val="17"/>
          <w:szCs w:val="17"/>
          <w:color w:val="auto"/>
        </w:rPr>
        <w:t>*</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дуплексное сканирование подвздошных и</w:t>
      </w:r>
    </w:p>
    <w:p>
      <w:pPr>
        <w:ind w:left="4680"/>
        <w:spacing w:after="0" w:line="218" w:lineRule="auto"/>
        <w:tabs>
          <w:tab w:leader="none" w:pos="6040" w:val="left"/>
          <w:tab w:leader="none" w:pos="7160" w:val="left"/>
          <w:tab w:leader="none" w:pos="7900" w:val="left"/>
        </w:tabs>
        <w:rPr>
          <w:sz w:val="20"/>
          <w:szCs w:val="20"/>
          <w:color w:val="auto"/>
        </w:rPr>
      </w:pPr>
      <w:r>
        <w:rPr>
          <w:rFonts w:ascii="Verdana" w:cs="Verdana" w:eastAsia="Verdana" w:hAnsi="Verdana"/>
          <w:sz w:val="17"/>
          <w:szCs w:val="17"/>
          <w:color w:val="auto"/>
        </w:rPr>
        <w:t>бедренных</w:t>
      </w:r>
      <w:r>
        <w:rPr>
          <w:sz w:val="20"/>
          <w:szCs w:val="20"/>
          <w:color w:val="auto"/>
        </w:rPr>
        <w:tab/>
      </w:r>
      <w:r>
        <w:rPr>
          <w:rFonts w:ascii="Verdana" w:cs="Verdana" w:eastAsia="Verdana" w:hAnsi="Verdana"/>
          <w:sz w:val="17"/>
          <w:szCs w:val="17"/>
          <w:color w:val="auto"/>
        </w:rPr>
        <w:t>артерий</w:t>
      </w:r>
      <w:r>
        <w:rPr>
          <w:sz w:val="20"/>
          <w:szCs w:val="20"/>
          <w:color w:val="auto"/>
        </w:rPr>
        <w:tab/>
      </w:r>
      <w:r>
        <w:rPr>
          <w:rFonts w:ascii="Verdana" w:cs="Verdana" w:eastAsia="Verdana" w:hAnsi="Verdana"/>
          <w:sz w:val="17"/>
          <w:szCs w:val="17"/>
          <w:color w:val="auto"/>
        </w:rPr>
        <w:t>при</w:t>
      </w:r>
      <w:r>
        <w:rPr>
          <w:sz w:val="20"/>
          <w:szCs w:val="20"/>
          <w:color w:val="auto"/>
        </w:rPr>
        <w:tab/>
      </w:r>
      <w:r>
        <w:rPr>
          <w:rFonts w:ascii="Verdana" w:cs="Verdana" w:eastAsia="Verdana" w:hAnsi="Verdana"/>
          <w:sz w:val="15"/>
          <w:szCs w:val="15"/>
          <w:color w:val="auto"/>
        </w:rPr>
        <w:t>наличии</w:t>
      </w:r>
    </w:p>
    <w:p>
      <w:pPr>
        <w:ind w:left="4680"/>
        <w:spacing w:after="0" w:line="217" w:lineRule="auto"/>
        <w:rPr>
          <w:sz w:val="20"/>
          <w:szCs w:val="20"/>
          <w:color w:val="auto"/>
        </w:rPr>
      </w:pPr>
      <w:r>
        <w:rPr>
          <w:rFonts w:ascii="Verdana" w:cs="Verdana" w:eastAsia="Verdana" w:hAnsi="Verdana"/>
          <w:sz w:val="15"/>
          <w:szCs w:val="15"/>
          <w:color w:val="auto"/>
        </w:rPr>
        <w:t>обоснованного подозрения на их патологию</w:t>
      </w:r>
      <w:r>
        <w:rPr>
          <w:rFonts w:ascii="Verdana" w:cs="Verdana" w:eastAsia="Verdana" w:hAnsi="Verdana"/>
          <w:sz w:val="15"/>
          <w:szCs w:val="15"/>
          <w:color w:val="auto"/>
        </w:rPr>
        <w:t>*</w:t>
      </w:r>
    </w:p>
    <w:p>
      <w:pPr>
        <w:ind w:left="4680"/>
        <w:spacing w:after="0" w:line="217" w:lineRule="auto"/>
        <w:rPr>
          <w:sz w:val="20"/>
          <w:szCs w:val="20"/>
          <w:color w:val="auto"/>
        </w:rPr>
      </w:pPr>
      <w:r>
        <w:rPr>
          <w:rFonts w:ascii="Verdana" w:cs="Verdana" w:eastAsia="Verdana" w:hAnsi="Verdana"/>
          <w:sz w:val="15"/>
          <w:szCs w:val="15"/>
          <w:color w:val="auto"/>
        </w:rPr>
        <w:t xml:space="preserve">- </w:t>
      </w:r>
      <w:r>
        <w:rPr>
          <w:rFonts w:ascii="Verdana" w:cs="Verdana" w:eastAsia="Verdana" w:hAnsi="Verdana"/>
          <w:sz w:val="15"/>
          <w:szCs w:val="15"/>
          <w:color w:val="auto"/>
        </w:rPr>
        <w:t>консультация окулиста на предмет наличия</w:t>
      </w:r>
    </w:p>
    <w:p>
      <w:pPr>
        <w:ind w:left="4680"/>
        <w:spacing w:after="0" w:line="192" w:lineRule="auto"/>
        <w:rPr>
          <w:sz w:val="20"/>
          <w:szCs w:val="20"/>
          <w:color w:val="auto"/>
        </w:rPr>
      </w:pPr>
      <w:r>
        <w:rPr>
          <w:rFonts w:ascii="Verdana" w:cs="Verdana" w:eastAsia="Verdana" w:hAnsi="Verdana"/>
          <w:sz w:val="17"/>
          <w:szCs w:val="17"/>
          <w:color w:val="auto"/>
        </w:rPr>
        <w:t>кровоизлияний  или  экссудата  на  глазном</w:t>
      </w:r>
    </w:p>
    <w:p>
      <w:pPr>
        <w:ind w:left="4680"/>
        <w:spacing w:after="0" w:line="192" w:lineRule="auto"/>
        <w:rPr>
          <w:sz w:val="20"/>
          <w:szCs w:val="20"/>
          <w:color w:val="auto"/>
        </w:rPr>
      </w:pPr>
      <w:r>
        <w:rPr>
          <w:rFonts w:ascii="Verdana" w:cs="Verdana" w:eastAsia="Verdana" w:hAnsi="Verdana"/>
          <w:sz w:val="17"/>
          <w:szCs w:val="17"/>
          <w:color w:val="auto"/>
        </w:rPr>
        <w:t>дне</w:t>
      </w:r>
      <w:r>
        <w:rPr>
          <w:rFonts w:ascii="Verdana" w:cs="Verdana" w:eastAsia="Verdana" w:hAnsi="Verdana"/>
          <w:sz w:val="17"/>
          <w:szCs w:val="17"/>
          <w:color w:val="auto"/>
        </w:rPr>
        <w:t>,</w:t>
      </w:r>
      <w:r>
        <w:rPr>
          <w:rFonts w:ascii="Verdana" w:cs="Verdana" w:eastAsia="Verdana" w:hAnsi="Verdana"/>
          <w:sz w:val="17"/>
          <w:szCs w:val="17"/>
          <w:color w:val="auto"/>
        </w:rPr>
        <w:t xml:space="preserve">  отека  соска  зрительного  нерва  при</w:t>
      </w:r>
    </w:p>
    <w:p>
      <w:pPr>
        <w:ind w:left="4680"/>
        <w:spacing w:after="0" w:line="191" w:lineRule="auto"/>
        <w:rPr>
          <w:sz w:val="20"/>
          <w:szCs w:val="20"/>
          <w:color w:val="auto"/>
        </w:rPr>
      </w:pPr>
      <w:r>
        <w:rPr>
          <w:rFonts w:ascii="Verdana" w:cs="Verdana" w:eastAsia="Verdana" w:hAnsi="Verdana"/>
          <w:sz w:val="17"/>
          <w:szCs w:val="17"/>
          <w:color w:val="auto"/>
        </w:rPr>
        <w:t>взятии под ДН и по показаниям</w:t>
      </w:r>
    </w:p>
    <w:p>
      <w:pPr>
        <w:ind w:left="4680"/>
        <w:spacing w:after="0" w:line="192"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оценка суммарного сердечно</w:t>
      </w:r>
      <w:r>
        <w:rPr>
          <w:rFonts w:ascii="Verdana" w:cs="Verdana" w:eastAsia="Verdana" w:hAnsi="Verdana"/>
          <w:sz w:val="17"/>
          <w:szCs w:val="17"/>
          <w:color w:val="auto"/>
        </w:rPr>
        <w:t>-</w:t>
      </w:r>
      <w:r>
        <w:rPr>
          <w:rFonts w:ascii="Verdana" w:cs="Verdana" w:eastAsia="Verdana" w:hAnsi="Verdana"/>
          <w:sz w:val="17"/>
          <w:szCs w:val="17"/>
          <w:color w:val="auto"/>
        </w:rPr>
        <w:t>сосудистого</w:t>
      </w:r>
    </w:p>
    <w:p>
      <w:pPr>
        <w:ind w:left="4680"/>
        <w:spacing w:after="0" w:line="192" w:lineRule="auto"/>
        <w:rPr>
          <w:sz w:val="20"/>
          <w:szCs w:val="20"/>
          <w:color w:val="auto"/>
        </w:rPr>
      </w:pPr>
      <w:r>
        <w:rPr>
          <w:rFonts w:ascii="Verdana" w:cs="Verdana" w:eastAsia="Verdana" w:hAnsi="Verdana"/>
          <w:sz w:val="17"/>
          <w:szCs w:val="17"/>
          <w:color w:val="auto"/>
        </w:rPr>
        <w:t>риска по таблице величины риска при АГ и</w:t>
      </w:r>
    </w:p>
    <w:p>
      <w:pPr>
        <w:ind w:left="4680"/>
        <w:spacing w:after="0" w:line="217" w:lineRule="auto"/>
        <w:rPr>
          <w:sz w:val="20"/>
          <w:szCs w:val="20"/>
          <w:color w:val="auto"/>
        </w:rPr>
      </w:pPr>
      <w:r>
        <w:rPr>
          <w:rFonts w:ascii="Verdana" w:cs="Verdana" w:eastAsia="Verdana" w:hAnsi="Verdana"/>
          <w:sz w:val="15"/>
          <w:szCs w:val="15"/>
          <w:color w:val="auto"/>
        </w:rPr>
        <w:t xml:space="preserve">по шкале </w:t>
      </w:r>
      <w:r>
        <w:rPr>
          <w:rFonts w:ascii="Verdana" w:cs="Verdana" w:eastAsia="Verdana" w:hAnsi="Verdana"/>
          <w:sz w:val="15"/>
          <w:szCs w:val="15"/>
          <w:color w:val="auto"/>
        </w:rPr>
        <w:t>SCORE (</w:t>
      </w:r>
      <w:r>
        <w:rPr>
          <w:rFonts w:ascii="Verdana" w:cs="Verdana" w:eastAsia="Verdana" w:hAnsi="Verdana"/>
          <w:sz w:val="15"/>
          <w:szCs w:val="15"/>
          <w:color w:val="auto"/>
        </w:rPr>
        <w:t>при интерпретации уровня</w:t>
      </w:r>
    </w:p>
    <w:p>
      <w:pPr>
        <w:ind w:left="4680"/>
        <w:spacing w:after="0" w:line="192" w:lineRule="auto"/>
        <w:rPr>
          <w:sz w:val="20"/>
          <w:szCs w:val="20"/>
          <w:color w:val="auto"/>
        </w:rPr>
      </w:pPr>
      <w:r>
        <w:rPr>
          <w:rFonts w:ascii="Verdana" w:cs="Verdana" w:eastAsia="Verdana" w:hAnsi="Verdana"/>
          <w:sz w:val="17"/>
          <w:szCs w:val="17"/>
          <w:color w:val="auto"/>
        </w:rPr>
        <w:t>риска приоритет отдается более высокому</w:t>
      </w:r>
    </w:p>
    <w:p>
      <w:pPr>
        <w:ind w:left="4680"/>
        <w:spacing w:after="0" w:line="192" w:lineRule="auto"/>
        <w:rPr>
          <w:sz w:val="20"/>
          <w:szCs w:val="20"/>
          <w:color w:val="auto"/>
        </w:rPr>
      </w:pPr>
      <w:r>
        <w:rPr>
          <w:rFonts w:ascii="Verdana" w:cs="Verdana" w:eastAsia="Verdana" w:hAnsi="Verdana"/>
          <w:sz w:val="17"/>
          <w:szCs w:val="17"/>
          <w:color w:val="auto"/>
        </w:rPr>
        <w:t>показателю</w:t>
      </w:r>
      <w:r>
        <w:rPr>
          <w:rFonts w:ascii="Verdana" w:cs="Verdana" w:eastAsia="Verdana" w:hAnsi="Verdana"/>
          <w:sz w:val="17"/>
          <w:szCs w:val="17"/>
          <w:color w:val="auto"/>
        </w:rPr>
        <w:t>)</w:t>
      </w:r>
    </w:p>
    <w:p>
      <w:pPr>
        <w:ind w:left="4680" w:right="1280"/>
        <w:spacing w:after="0" w:line="191" w:lineRule="auto"/>
        <w:rPr>
          <w:sz w:val="20"/>
          <w:szCs w:val="20"/>
          <w:color w:val="auto"/>
        </w:rPr>
      </w:pPr>
      <w:r>
        <w:rPr>
          <w:rFonts w:ascii="Verdana" w:cs="Verdana" w:eastAsia="Verdana" w:hAnsi="Verdana"/>
          <w:sz w:val="17"/>
          <w:szCs w:val="17"/>
          <w:color w:val="auto"/>
        </w:rPr>
        <w:t xml:space="preserve">- </w:t>
      </w:r>
      <w:r>
        <w:rPr>
          <w:rFonts w:ascii="Verdana" w:cs="Verdana" w:eastAsia="Verdana" w:hAnsi="Verdana"/>
          <w:sz w:val="17"/>
          <w:szCs w:val="17"/>
          <w:color w:val="auto"/>
        </w:rPr>
        <w:t>корректировка терапии</w:t>
      </w:r>
      <w:r>
        <w:rPr>
          <w:rFonts w:ascii="Verdana" w:cs="Verdana" w:eastAsia="Verdana" w:hAnsi="Verdana"/>
          <w:sz w:val="17"/>
          <w:szCs w:val="17"/>
          <w:color w:val="auto"/>
        </w:rPr>
        <w:t xml:space="preserve"> </w:t>
      </w:r>
      <w:r>
        <w:rPr>
          <w:rFonts w:ascii="Verdana" w:cs="Verdana" w:eastAsia="Verdana" w:hAnsi="Verdana"/>
          <w:sz w:val="17"/>
          <w:szCs w:val="17"/>
          <w:color w:val="auto"/>
        </w:rPr>
        <w:t>необходимости</w:t>
      </w:r>
      <w:r>
        <w:rPr>
          <w:rFonts w:ascii="Verdana" w:cs="Verdana" w:eastAsia="Verdana" w:hAnsi="Verdana"/>
          <w:sz w:val="17"/>
          <w:szCs w:val="17"/>
          <w:color w:val="auto"/>
        </w:rPr>
        <w:t>)</w:t>
      </w:r>
    </w:p>
    <w:p>
      <w:pPr>
        <w:ind w:left="4680"/>
        <w:spacing w:after="0" w:line="193" w:lineRule="auto"/>
        <w:rPr>
          <w:sz w:val="20"/>
          <w:szCs w:val="20"/>
          <w:color w:val="auto"/>
        </w:rPr>
      </w:pPr>
      <w:r>
        <w:rPr>
          <w:rFonts w:ascii="Verdana" w:cs="Verdana" w:eastAsia="Verdana" w:hAnsi="Verdana"/>
          <w:sz w:val="17"/>
          <w:szCs w:val="17"/>
          <w:color w:val="auto"/>
        </w:rPr>
        <w:t>-</w:t>
      </w:r>
      <w:r>
        <w:rPr>
          <w:rFonts w:ascii="Verdana" w:cs="Verdana" w:eastAsia="Verdana" w:hAnsi="Verdana"/>
          <w:sz w:val="17"/>
          <w:szCs w:val="17"/>
          <w:color w:val="auto"/>
        </w:rPr>
        <w:t>объяснение  пациенту  и</w:t>
      </w:r>
      <w:r>
        <w:rPr>
          <w:rFonts w:ascii="Verdana" w:cs="Verdana" w:eastAsia="Verdana" w:hAnsi="Verdana"/>
          <w:sz w:val="17"/>
          <w:szCs w:val="17"/>
          <w:color w:val="auto"/>
        </w:rPr>
        <w:t>/</w:t>
      </w:r>
      <w:r>
        <w:rPr>
          <w:rFonts w:ascii="Verdana" w:cs="Verdana" w:eastAsia="Verdana" w:hAnsi="Verdana"/>
          <w:sz w:val="17"/>
          <w:szCs w:val="17"/>
          <w:color w:val="auto"/>
        </w:rPr>
        <w:t>или  обеспечение</w:t>
      </w:r>
    </w:p>
    <w:p>
      <w:pPr>
        <w:ind w:left="4680"/>
        <w:spacing w:after="0" w:line="217" w:lineRule="auto"/>
        <w:tabs>
          <w:tab w:leader="none" w:pos="5120" w:val="left"/>
          <w:tab w:leader="none" w:pos="6100" w:val="left"/>
          <w:tab w:leader="none" w:pos="6500" w:val="left"/>
          <w:tab w:leader="none" w:pos="7560" w:val="left"/>
        </w:tabs>
        <w:rPr>
          <w:sz w:val="20"/>
          <w:szCs w:val="20"/>
          <w:color w:val="auto"/>
        </w:rPr>
      </w:pPr>
      <w:r>
        <w:rPr>
          <w:rFonts w:ascii="Verdana" w:cs="Verdana" w:eastAsia="Verdana" w:hAnsi="Verdana"/>
          <w:sz w:val="17"/>
          <w:szCs w:val="17"/>
          <w:color w:val="auto"/>
        </w:rPr>
        <w:t>его</w:t>
        <w:tab/>
        <w:t>памяткой</w:t>
        <w:tab/>
        <w:t>по</w:t>
        <w:tab/>
        <w:t>алгоритму</w:t>
      </w:r>
      <w:r>
        <w:rPr>
          <w:sz w:val="20"/>
          <w:szCs w:val="20"/>
          <w:color w:val="auto"/>
        </w:rPr>
        <w:tab/>
      </w:r>
      <w:r>
        <w:rPr>
          <w:rFonts w:ascii="Verdana" w:cs="Verdana" w:eastAsia="Verdana" w:hAnsi="Verdana"/>
          <w:sz w:val="15"/>
          <w:szCs w:val="15"/>
          <w:color w:val="auto"/>
        </w:rPr>
        <w:t>неотложных</w:t>
      </w:r>
    </w:p>
    <w:p>
      <w:pPr>
        <w:ind w:left="4680"/>
        <w:spacing w:after="0" w:line="191" w:lineRule="auto"/>
        <w:rPr>
          <w:sz w:val="20"/>
          <w:szCs w:val="20"/>
          <w:color w:val="auto"/>
        </w:rPr>
      </w:pPr>
      <w:r>
        <w:rPr>
          <w:rFonts w:ascii="Verdana" w:cs="Verdana" w:eastAsia="Verdana" w:hAnsi="Verdana"/>
          <w:sz w:val="17"/>
          <w:szCs w:val="17"/>
          <w:color w:val="auto"/>
        </w:rPr>
        <w:t>действий при жизнеугрожающем состоянии</w:t>
      </w:r>
      <w:r>
        <w:rPr>
          <w:rFonts w:ascii="Verdana" w:cs="Verdana" w:eastAsia="Verdana" w:hAnsi="Verdana"/>
          <w:sz w:val="17"/>
          <w:szCs w:val="17"/>
          <w:color w:val="auto"/>
        </w:rPr>
        <w:t>,</w:t>
      </w:r>
    </w:p>
    <w:p>
      <w:pPr>
        <w:ind w:left="4680"/>
        <w:spacing w:after="0" w:line="192" w:lineRule="auto"/>
        <w:rPr>
          <w:sz w:val="20"/>
          <w:szCs w:val="20"/>
          <w:color w:val="auto"/>
        </w:rPr>
      </w:pPr>
      <w:r>
        <w:rPr>
          <w:rFonts w:ascii="Verdana" w:cs="Verdana" w:eastAsia="Verdana" w:hAnsi="Verdana"/>
          <w:sz w:val="17"/>
          <w:szCs w:val="17"/>
          <w:color w:val="auto"/>
        </w:rPr>
        <w:t>вероятность развития которого у пациента</w:t>
      </w:r>
    </w:p>
    <w:p>
      <w:pPr>
        <w:ind w:left="4680"/>
        <w:spacing w:after="0"/>
        <w:rPr>
          <w:sz w:val="20"/>
          <w:szCs w:val="20"/>
          <w:color w:val="auto"/>
        </w:rPr>
      </w:pPr>
      <w:r>
        <w:rPr>
          <w:rFonts w:ascii="Verdana" w:cs="Verdana" w:eastAsia="Verdana" w:hAnsi="Verdana"/>
          <w:sz w:val="17"/>
          <w:szCs w:val="17"/>
          <w:color w:val="auto"/>
        </w:rPr>
        <w:t>наиболее высокая</w:t>
      </w:r>
    </w:p>
    <w:p>
      <w:pPr>
        <w:sectPr>
          <w:pgSz w:w="11900" w:h="16840" w:orient="portrait"/>
          <w:cols w:equalWidth="0" w:num="1">
            <w:col w:w="9020"/>
          </w:cols>
          <w:pgMar w:left="1440" w:top="0" w:right="1440" w:bottom="733" w:gutter="0" w:footer="0" w:header="0"/>
        </w:sectPr>
      </w:pPr>
    </w:p>
    <w:bookmarkStart w:id="159" w:name="page160"/>
    <w:bookmarkEnd w:id="159"/>
    <w:p>
      <w:pPr>
        <w:ind w:left="360"/>
        <w:spacing w:after="0"/>
        <w:rPr>
          <w:sz w:val="20"/>
          <w:szCs w:val="20"/>
          <w:color w:val="auto"/>
        </w:rPr>
      </w:pPr>
      <w:r>
        <w:rPr>
          <w:rFonts w:ascii="Arial" w:cs="Arial" w:eastAsia="Arial" w:hAnsi="Arial"/>
          <w:sz w:val="27"/>
          <w:szCs w:val="27"/>
          <w:color w:val="auto"/>
        </w:rPr>
        <w:t>Приложение Г</w:t>
      </w:r>
      <w:r>
        <w:rPr>
          <w:rFonts w:ascii="Arial" w:cs="Arial" w:eastAsia="Arial" w:hAnsi="Arial"/>
          <w:sz w:val="27"/>
          <w:szCs w:val="27"/>
          <w:color w:val="auto"/>
        </w:rPr>
        <w:t>5.</w:t>
      </w:r>
      <w:r>
        <w:rPr>
          <w:rFonts w:ascii="Arial" w:cs="Arial" w:eastAsia="Arial" w:hAnsi="Arial"/>
          <w:sz w:val="27"/>
          <w:szCs w:val="27"/>
          <w:color w:val="auto"/>
        </w:rPr>
        <w:t xml:space="preserve"> Иные</w:t>
      </w:r>
    </w:p>
    <w:p>
      <w:pPr>
        <w:spacing w:after="0" w:line="350" w:lineRule="exact"/>
        <w:rPr>
          <w:sz w:val="20"/>
          <w:szCs w:val="20"/>
          <w:color w:val="auto"/>
        </w:rPr>
      </w:pPr>
    </w:p>
    <w:p>
      <w:pPr>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1/</w:t>
      </w:r>
      <w:r>
        <w:rPr>
          <w:rFonts w:ascii="Arial" w:cs="Arial" w:eastAsia="Arial" w:hAnsi="Arial"/>
          <w:sz w:val="27"/>
          <w:szCs w:val="27"/>
          <w:b w:val="1"/>
          <w:bCs w:val="1"/>
          <w:color w:val="auto"/>
        </w:rPr>
        <w:t>Г</w:t>
      </w:r>
      <w:r>
        <w:rPr>
          <w:rFonts w:ascii="Arial" w:cs="Arial" w:eastAsia="Arial" w:hAnsi="Arial"/>
          <w:sz w:val="27"/>
          <w:szCs w:val="27"/>
          <w:b w:val="1"/>
          <w:bCs w:val="1"/>
          <w:color w:val="auto"/>
        </w:rPr>
        <w:t>5.</w:t>
      </w:r>
      <w:r>
        <w:rPr>
          <w:rFonts w:ascii="Arial" w:cs="Arial" w:eastAsia="Arial" w:hAnsi="Arial"/>
          <w:sz w:val="27"/>
          <w:szCs w:val="27"/>
          <w:b w:val="1"/>
          <w:bCs w:val="1"/>
          <w:color w:val="auto"/>
        </w:rPr>
        <w:t xml:space="preserve"> Распространенность и типичные причины вторичных гипертензий в различных возрастных группах</w:t>
      </w:r>
    </w:p>
    <w:p>
      <w:pPr>
        <w:spacing w:after="0" w:line="200" w:lineRule="exact"/>
        <w:rPr>
          <w:sz w:val="20"/>
          <w:szCs w:val="20"/>
          <w:color w:val="auto"/>
        </w:rPr>
      </w:pPr>
    </w:p>
    <w:p>
      <w:pPr>
        <w:spacing w:after="0" w:line="200" w:lineRule="exact"/>
        <w:rPr>
          <w:sz w:val="20"/>
          <w:szCs w:val="20"/>
          <w:color w:val="auto"/>
        </w:rPr>
      </w:pPr>
    </w:p>
    <w:p>
      <w:pPr>
        <w:spacing w:after="0" w:line="399"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2800" w:type="dxa"/>
            <w:vAlign w:val="bottom"/>
            <w:tcBorders>
              <w:top w:val="single" w:sz="8" w:color="auto"/>
              <w:left w:val="single" w:sz="8" w:color="auto"/>
              <w:right w:val="single" w:sz="8" w:color="auto"/>
            </w:tcBorders>
          </w:tcPr>
          <w:p>
            <w:pPr>
              <w:ind w:left="160"/>
              <w:spacing w:after="0"/>
              <w:rPr>
                <w:sz w:val="20"/>
                <w:szCs w:val="20"/>
                <w:color w:val="auto"/>
              </w:rPr>
            </w:pPr>
            <w:r>
              <w:rPr>
                <w:rFonts w:ascii="Verdana" w:cs="Verdana" w:eastAsia="Verdana" w:hAnsi="Verdana"/>
                <w:sz w:val="17"/>
                <w:szCs w:val="17"/>
                <w:b w:val="1"/>
                <w:bCs w:val="1"/>
                <w:color w:val="auto"/>
              </w:rPr>
              <w:t>Возрастная группа</w:t>
            </w:r>
          </w:p>
        </w:tc>
        <w:tc>
          <w:tcPr>
            <w:tcW w:w="1680" w:type="dxa"/>
            <w:vAlign w:val="bottom"/>
            <w:tcBorders>
              <w:top w:val="single" w:sz="8" w:color="auto"/>
              <w:right w:val="single" w:sz="8" w:color="auto"/>
            </w:tcBorders>
          </w:tcPr>
          <w:p>
            <w:pPr>
              <w:ind w:left="140"/>
              <w:spacing w:after="0"/>
              <w:rPr>
                <w:sz w:val="20"/>
                <w:szCs w:val="20"/>
                <w:color w:val="auto"/>
              </w:rPr>
            </w:pPr>
            <w:r>
              <w:rPr>
                <w:rFonts w:ascii="Verdana" w:cs="Verdana" w:eastAsia="Verdana" w:hAnsi="Verdana"/>
                <w:sz w:val="17"/>
                <w:szCs w:val="17"/>
                <w:b w:val="1"/>
                <w:bCs w:val="1"/>
                <w:color w:val="auto"/>
              </w:rPr>
              <w:t xml:space="preserve">Частота </w:t>
            </w:r>
            <w:r>
              <w:rPr>
                <w:rFonts w:ascii="Verdana" w:cs="Verdana" w:eastAsia="Verdana" w:hAnsi="Verdana"/>
                <w:sz w:val="17"/>
                <w:szCs w:val="17"/>
                <w:b w:val="1"/>
                <w:bCs w:val="1"/>
                <w:color w:val="auto"/>
              </w:rPr>
              <w:t>(%)</w:t>
            </w:r>
          </w:p>
        </w:tc>
        <w:tc>
          <w:tcPr>
            <w:tcW w:w="2760" w:type="dxa"/>
            <w:vAlign w:val="bottom"/>
            <w:tcBorders>
              <w:top w:val="single" w:sz="8" w:color="auto"/>
            </w:tcBorders>
            <w:gridSpan w:val="2"/>
          </w:tcPr>
          <w:p>
            <w:pPr>
              <w:ind w:left="140"/>
              <w:spacing w:after="0"/>
              <w:rPr>
                <w:sz w:val="20"/>
                <w:szCs w:val="20"/>
                <w:color w:val="auto"/>
              </w:rPr>
            </w:pPr>
            <w:r>
              <w:rPr>
                <w:rFonts w:ascii="Verdana" w:cs="Verdana" w:eastAsia="Verdana" w:hAnsi="Verdana"/>
                <w:sz w:val="17"/>
                <w:szCs w:val="17"/>
                <w:b w:val="1"/>
                <w:bCs w:val="1"/>
                <w:color w:val="auto"/>
              </w:rPr>
              <w:t>Типичные причины</w:t>
            </w:r>
          </w:p>
        </w:tc>
        <w:tc>
          <w:tcPr>
            <w:tcW w:w="1220" w:type="dxa"/>
            <w:vAlign w:val="bottom"/>
            <w:tcBorders>
              <w:top w:val="single" w:sz="8" w:color="auto"/>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2800" w:type="dxa"/>
            <w:vAlign w:val="bottom"/>
            <w:tcBorders>
              <w:left w:val="single" w:sz="8" w:color="auto"/>
              <w:bottom w:val="single" w:sz="8" w:color="auto"/>
              <w:right w:val="single" w:sz="8" w:color="auto"/>
            </w:tcBorders>
          </w:tcPr>
          <w:p>
            <w:pPr>
              <w:spacing w:after="0"/>
              <w:rPr>
                <w:sz w:val="10"/>
                <w:szCs w:val="10"/>
                <w:color w:val="auto"/>
              </w:rPr>
            </w:pPr>
          </w:p>
        </w:tc>
        <w:tc>
          <w:tcPr>
            <w:tcW w:w="1680" w:type="dxa"/>
            <w:vAlign w:val="bottom"/>
            <w:tcBorders>
              <w:bottom w:val="single" w:sz="8" w:color="auto"/>
              <w:right w:val="single" w:sz="8" w:color="auto"/>
            </w:tcBorders>
          </w:tcPr>
          <w:p>
            <w:pPr>
              <w:spacing w:after="0"/>
              <w:rPr>
                <w:sz w:val="10"/>
                <w:szCs w:val="10"/>
                <w:color w:val="auto"/>
              </w:rPr>
            </w:pPr>
          </w:p>
        </w:tc>
        <w:tc>
          <w:tcPr>
            <w:tcW w:w="3980" w:type="dxa"/>
            <w:vAlign w:val="bottom"/>
            <w:tcBorders>
              <w:bottom w:val="single" w:sz="8" w:color="auto"/>
              <w:right w:val="single" w:sz="8" w:color="auto"/>
            </w:tcBorders>
            <w:gridSpan w:val="3"/>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2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Дети </w:t>
            </w:r>
            <w:r>
              <w:rPr>
                <w:rFonts w:ascii="Verdana" w:cs="Verdana" w:eastAsia="Verdana" w:hAnsi="Verdana"/>
                <w:sz w:val="17"/>
                <w:szCs w:val="17"/>
                <w:color w:val="auto"/>
              </w:rPr>
              <w:t>(&lt;12</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p>
        </w:tc>
        <w:tc>
          <w:tcPr>
            <w:tcW w:w="1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70–85</w:t>
            </w:r>
          </w:p>
        </w:tc>
        <w:tc>
          <w:tcPr>
            <w:tcW w:w="39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Ренопаренхиматозные заболевания</w:t>
            </w: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1760" w:type="dxa"/>
            <w:vAlign w:val="bottom"/>
          </w:tcPr>
          <w:p>
            <w:pPr>
              <w:ind w:left="140"/>
              <w:spacing w:after="0" w:line="165" w:lineRule="exact"/>
              <w:rPr>
                <w:sz w:val="20"/>
                <w:szCs w:val="20"/>
                <w:color w:val="auto"/>
              </w:rPr>
            </w:pPr>
            <w:r>
              <w:rPr>
                <w:rFonts w:ascii="Verdana" w:cs="Verdana" w:eastAsia="Verdana" w:hAnsi="Verdana"/>
                <w:sz w:val="17"/>
                <w:szCs w:val="17"/>
                <w:color w:val="auto"/>
                <w:w w:val="98"/>
              </w:rPr>
              <w:t>Коарктация аорты</w:t>
            </w:r>
          </w:p>
        </w:tc>
        <w:tc>
          <w:tcPr>
            <w:tcW w:w="1000" w:type="dxa"/>
            <w:vAlign w:val="bottom"/>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800" w:type="dxa"/>
            <w:vAlign w:val="bottom"/>
            <w:tcBorders>
              <w:left w:val="single" w:sz="8" w:color="auto"/>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2760" w:type="dxa"/>
            <w:vAlign w:val="bottom"/>
            <w:gridSpan w:val="2"/>
          </w:tcPr>
          <w:p>
            <w:pPr>
              <w:ind w:left="140"/>
              <w:spacing w:after="0"/>
              <w:rPr>
                <w:sz w:val="20"/>
                <w:szCs w:val="20"/>
                <w:color w:val="auto"/>
              </w:rPr>
            </w:pPr>
            <w:r>
              <w:rPr>
                <w:rFonts w:ascii="Verdana" w:cs="Verdana" w:eastAsia="Verdana" w:hAnsi="Verdana"/>
                <w:sz w:val="17"/>
                <w:szCs w:val="17"/>
                <w:color w:val="auto"/>
              </w:rPr>
              <w:t>Моногенные заболевания</w:t>
            </w:r>
          </w:p>
        </w:tc>
        <w:tc>
          <w:tcPr>
            <w:tcW w:w="122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800" w:type="dxa"/>
            <w:vAlign w:val="bottom"/>
            <w:tcBorders>
              <w:left w:val="single" w:sz="8" w:color="auto"/>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3980" w:type="dxa"/>
            <w:vAlign w:val="bottom"/>
            <w:tcBorders>
              <w:bottom w:val="single" w:sz="8" w:color="auto"/>
              <w:right w:val="single" w:sz="8" w:color="auto"/>
            </w:tcBorders>
            <w:gridSpan w:val="3"/>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Подростки </w:t>
            </w:r>
            <w:r>
              <w:rPr>
                <w:rFonts w:ascii="Verdana" w:cs="Verdana" w:eastAsia="Verdana" w:hAnsi="Verdana"/>
                <w:sz w:val="17"/>
                <w:szCs w:val="17"/>
                <w:color w:val="auto"/>
              </w:rPr>
              <w:t>(12–18</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p>
        </w:tc>
        <w:tc>
          <w:tcPr>
            <w:tcW w:w="1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10–15</w:t>
            </w:r>
          </w:p>
        </w:tc>
        <w:tc>
          <w:tcPr>
            <w:tcW w:w="39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Ренопаренхиматозные заболевания</w:t>
            </w: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1760" w:type="dxa"/>
            <w:vAlign w:val="bottom"/>
          </w:tcPr>
          <w:p>
            <w:pPr>
              <w:ind w:left="140"/>
              <w:spacing w:after="0" w:line="165" w:lineRule="exact"/>
              <w:rPr>
                <w:sz w:val="20"/>
                <w:szCs w:val="20"/>
                <w:color w:val="auto"/>
              </w:rPr>
            </w:pPr>
            <w:r>
              <w:rPr>
                <w:rFonts w:ascii="Verdana" w:cs="Verdana" w:eastAsia="Verdana" w:hAnsi="Verdana"/>
                <w:sz w:val="17"/>
                <w:szCs w:val="17"/>
                <w:color w:val="auto"/>
                <w:w w:val="98"/>
              </w:rPr>
              <w:t>Коарктация аорты</w:t>
            </w:r>
          </w:p>
        </w:tc>
        <w:tc>
          <w:tcPr>
            <w:tcW w:w="1000" w:type="dxa"/>
            <w:vAlign w:val="bottom"/>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800" w:type="dxa"/>
            <w:vAlign w:val="bottom"/>
            <w:tcBorders>
              <w:left w:val="single" w:sz="8" w:color="auto"/>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2760" w:type="dxa"/>
            <w:vAlign w:val="bottom"/>
            <w:gridSpan w:val="2"/>
          </w:tcPr>
          <w:p>
            <w:pPr>
              <w:ind w:left="140"/>
              <w:spacing w:after="0"/>
              <w:rPr>
                <w:sz w:val="20"/>
                <w:szCs w:val="20"/>
                <w:color w:val="auto"/>
              </w:rPr>
            </w:pPr>
            <w:r>
              <w:rPr>
                <w:rFonts w:ascii="Verdana" w:cs="Verdana" w:eastAsia="Verdana" w:hAnsi="Verdana"/>
                <w:sz w:val="17"/>
                <w:szCs w:val="17"/>
                <w:color w:val="auto"/>
              </w:rPr>
              <w:t>Моногенные заболевания</w:t>
            </w:r>
          </w:p>
        </w:tc>
        <w:tc>
          <w:tcPr>
            <w:tcW w:w="122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800" w:type="dxa"/>
            <w:vAlign w:val="bottom"/>
            <w:tcBorders>
              <w:left w:val="single" w:sz="8" w:color="auto"/>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3980" w:type="dxa"/>
            <w:vAlign w:val="bottom"/>
            <w:tcBorders>
              <w:bottom w:val="single" w:sz="8" w:color="auto"/>
              <w:right w:val="single" w:sz="8" w:color="auto"/>
            </w:tcBorders>
            <w:gridSpan w:val="3"/>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Молодые </w:t>
            </w:r>
            <w:r>
              <w:rPr>
                <w:rFonts w:ascii="Verdana" w:cs="Verdana" w:eastAsia="Verdana" w:hAnsi="Verdana"/>
                <w:sz w:val="17"/>
                <w:szCs w:val="17"/>
                <w:color w:val="auto"/>
              </w:rPr>
              <w:t>(19–40</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p>
        </w:tc>
        <w:tc>
          <w:tcPr>
            <w:tcW w:w="1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5–10</w:t>
            </w:r>
          </w:p>
        </w:tc>
        <w:tc>
          <w:tcPr>
            <w:tcW w:w="39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Ренопаренхиматозные заболевания</w:t>
            </w: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27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6"/>
              </w:rPr>
              <w:t>Фибромускулярная дисплазия</w:t>
            </w:r>
          </w:p>
        </w:tc>
        <w:tc>
          <w:tcPr>
            <w:tcW w:w="122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w w:val="95"/>
              </w:rPr>
              <w:t>моногенные</w:t>
            </w: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27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Недиагностированные</w:t>
            </w:r>
          </w:p>
        </w:tc>
        <w:tc>
          <w:tcPr>
            <w:tcW w:w="1220" w:type="dxa"/>
            <w:vAlign w:val="bottom"/>
            <w:tcBorders>
              <w:right w:val="single" w:sz="8" w:color="auto"/>
            </w:tcBorders>
            <w:vMerge w:val="continue"/>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2800" w:type="dxa"/>
            <w:vAlign w:val="bottom"/>
            <w:tcBorders>
              <w:left w:val="single" w:sz="8" w:color="auto"/>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1760" w:type="dxa"/>
            <w:vAlign w:val="bottom"/>
          </w:tcPr>
          <w:p>
            <w:pPr>
              <w:ind w:left="140"/>
              <w:spacing w:after="0"/>
              <w:rPr>
                <w:sz w:val="20"/>
                <w:szCs w:val="20"/>
                <w:color w:val="auto"/>
              </w:rPr>
            </w:pPr>
            <w:r>
              <w:rPr>
                <w:rFonts w:ascii="Verdana" w:cs="Verdana" w:eastAsia="Verdana" w:hAnsi="Verdana"/>
                <w:sz w:val="17"/>
                <w:szCs w:val="17"/>
                <w:color w:val="auto"/>
              </w:rPr>
              <w:t>заболевания</w:t>
            </w:r>
          </w:p>
        </w:tc>
        <w:tc>
          <w:tcPr>
            <w:tcW w:w="1000" w:type="dxa"/>
            <w:vAlign w:val="bottom"/>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800" w:type="dxa"/>
            <w:vAlign w:val="bottom"/>
            <w:tcBorders>
              <w:left w:val="single" w:sz="8" w:color="auto"/>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2760" w:type="dxa"/>
            <w:vAlign w:val="bottom"/>
            <w:tcBorders>
              <w:bottom w:val="single" w:sz="8" w:color="auto"/>
            </w:tcBorders>
            <w:gridSpan w:val="2"/>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 xml:space="preserve">Средний  возраст  </w:t>
            </w:r>
            <w:r>
              <w:rPr>
                <w:rFonts w:ascii="Verdana" w:cs="Verdana" w:eastAsia="Verdana" w:hAnsi="Verdana"/>
                <w:sz w:val="17"/>
                <w:szCs w:val="17"/>
                <w:color w:val="auto"/>
              </w:rPr>
              <w:t>(41–65</w:t>
            </w:r>
          </w:p>
        </w:tc>
        <w:tc>
          <w:tcPr>
            <w:tcW w:w="1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5–15</w:t>
            </w:r>
          </w:p>
        </w:tc>
        <w:tc>
          <w:tcPr>
            <w:tcW w:w="2760" w:type="dxa"/>
            <w:vAlign w:val="bottom"/>
            <w:gridSpan w:val="2"/>
          </w:tcPr>
          <w:p>
            <w:pPr>
              <w:ind w:left="140"/>
              <w:spacing w:after="0"/>
              <w:rPr>
                <w:sz w:val="20"/>
                <w:szCs w:val="20"/>
                <w:color w:val="auto"/>
              </w:rPr>
            </w:pPr>
            <w:r>
              <w:rPr>
                <w:rFonts w:ascii="Verdana" w:cs="Verdana" w:eastAsia="Verdana" w:hAnsi="Verdana"/>
                <w:sz w:val="17"/>
                <w:szCs w:val="17"/>
                <w:color w:val="auto"/>
              </w:rPr>
              <w:t>Первичный альдостеронизм</w:t>
            </w:r>
          </w:p>
        </w:tc>
        <w:tc>
          <w:tcPr>
            <w:tcW w:w="1220" w:type="dxa"/>
            <w:vAlign w:val="bottom"/>
            <w:tcBorders>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лет</w:t>
            </w:r>
            <w:r>
              <w:rPr>
                <w:rFonts w:ascii="Verdana" w:cs="Verdana" w:eastAsia="Verdana" w:hAnsi="Verdana"/>
                <w:sz w:val="17"/>
                <w:szCs w:val="17"/>
                <w:color w:val="auto"/>
              </w:rPr>
              <w:t>)</w:t>
            </w:r>
          </w:p>
        </w:tc>
        <w:tc>
          <w:tcPr>
            <w:tcW w:w="1680" w:type="dxa"/>
            <w:vAlign w:val="bottom"/>
            <w:tcBorders>
              <w:right w:val="single" w:sz="8" w:color="auto"/>
            </w:tcBorders>
          </w:tcPr>
          <w:p>
            <w:pPr>
              <w:spacing w:after="0"/>
              <w:rPr>
                <w:sz w:val="14"/>
                <w:szCs w:val="14"/>
                <w:color w:val="auto"/>
              </w:rPr>
            </w:pPr>
          </w:p>
        </w:tc>
        <w:tc>
          <w:tcPr>
            <w:tcW w:w="276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rPr>
              <w:t>Обструктивное ночное апноэ</w:t>
            </w:r>
          </w:p>
        </w:tc>
        <w:tc>
          <w:tcPr>
            <w:tcW w:w="122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1760" w:type="dxa"/>
            <w:vAlign w:val="bottom"/>
          </w:tcPr>
          <w:p>
            <w:pPr>
              <w:ind w:left="140"/>
              <w:spacing w:after="0" w:line="165" w:lineRule="exact"/>
              <w:rPr>
                <w:sz w:val="20"/>
                <w:szCs w:val="20"/>
                <w:color w:val="auto"/>
              </w:rPr>
            </w:pPr>
            <w:r>
              <w:rPr>
                <w:rFonts w:ascii="Verdana" w:cs="Verdana" w:eastAsia="Verdana" w:hAnsi="Verdana"/>
                <w:sz w:val="17"/>
                <w:szCs w:val="17"/>
                <w:color w:val="auto"/>
              </w:rPr>
              <w:t>Синдром Кушинга</w:t>
            </w:r>
          </w:p>
        </w:tc>
        <w:tc>
          <w:tcPr>
            <w:tcW w:w="1000" w:type="dxa"/>
            <w:vAlign w:val="bottom"/>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1760" w:type="dxa"/>
            <w:vAlign w:val="bottom"/>
          </w:tcPr>
          <w:p>
            <w:pPr>
              <w:ind w:left="140"/>
              <w:spacing w:after="0" w:line="165" w:lineRule="exact"/>
              <w:rPr>
                <w:sz w:val="20"/>
                <w:szCs w:val="20"/>
                <w:color w:val="auto"/>
              </w:rPr>
            </w:pPr>
            <w:r>
              <w:rPr>
                <w:rFonts w:ascii="Verdana" w:cs="Verdana" w:eastAsia="Verdana" w:hAnsi="Verdana"/>
                <w:sz w:val="17"/>
                <w:szCs w:val="17"/>
                <w:color w:val="auto"/>
              </w:rPr>
              <w:t>Феохромоцитома</w:t>
            </w:r>
          </w:p>
        </w:tc>
        <w:tc>
          <w:tcPr>
            <w:tcW w:w="1000" w:type="dxa"/>
            <w:vAlign w:val="bottom"/>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39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Ренопаренхиматозные заболевания</w:t>
            </w:r>
          </w:p>
        </w:tc>
        <w:tc>
          <w:tcPr>
            <w:tcW w:w="0" w:type="dxa"/>
            <w:vAlign w:val="bottom"/>
          </w:tcPr>
          <w:p>
            <w:pPr>
              <w:spacing w:after="0"/>
              <w:rPr>
                <w:sz w:val="1"/>
                <w:szCs w:val="1"/>
                <w:color w:val="auto"/>
              </w:rPr>
            </w:pPr>
          </w:p>
        </w:tc>
      </w:tr>
      <w:tr>
        <w:trPr>
          <w:trHeight w:val="220"/>
        </w:trPr>
        <w:tc>
          <w:tcPr>
            <w:tcW w:w="2800" w:type="dxa"/>
            <w:vAlign w:val="bottom"/>
            <w:tcBorders>
              <w:left w:val="single" w:sz="8" w:color="auto"/>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39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Атеросклероз почечных артерий</w:t>
            </w:r>
          </w:p>
        </w:tc>
        <w:tc>
          <w:tcPr>
            <w:tcW w:w="0" w:type="dxa"/>
            <w:vAlign w:val="bottom"/>
          </w:tcPr>
          <w:p>
            <w:pPr>
              <w:spacing w:after="0"/>
              <w:rPr>
                <w:sz w:val="1"/>
                <w:szCs w:val="1"/>
                <w:color w:val="auto"/>
              </w:rPr>
            </w:pPr>
          </w:p>
        </w:tc>
      </w:tr>
      <w:tr>
        <w:trPr>
          <w:trHeight w:val="110"/>
        </w:trPr>
        <w:tc>
          <w:tcPr>
            <w:tcW w:w="2800" w:type="dxa"/>
            <w:vAlign w:val="bottom"/>
            <w:tcBorders>
              <w:left w:val="single" w:sz="8" w:color="auto"/>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1760" w:type="dxa"/>
            <w:vAlign w:val="bottom"/>
            <w:tcBorders>
              <w:bottom w:val="single" w:sz="8" w:color="auto"/>
            </w:tcBorders>
          </w:tcPr>
          <w:p>
            <w:pPr>
              <w:spacing w:after="0"/>
              <w:rPr>
                <w:sz w:val="9"/>
                <w:szCs w:val="9"/>
                <w:color w:val="auto"/>
              </w:rPr>
            </w:pPr>
          </w:p>
        </w:tc>
        <w:tc>
          <w:tcPr>
            <w:tcW w:w="1000" w:type="dxa"/>
            <w:vAlign w:val="bottom"/>
            <w:tcBorders>
              <w:bottom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00" w:type="dxa"/>
            <w:vAlign w:val="bottom"/>
            <w:tcBorders>
              <w:left w:val="single" w:sz="8" w:color="auto"/>
              <w:right w:val="single" w:sz="8" w:color="auto"/>
            </w:tcBorders>
          </w:tcPr>
          <w:p>
            <w:pPr>
              <w:ind w:left="160"/>
              <w:spacing w:after="0"/>
              <w:rPr>
                <w:sz w:val="20"/>
                <w:szCs w:val="20"/>
                <w:color w:val="auto"/>
              </w:rPr>
            </w:pPr>
            <w:r>
              <w:rPr>
                <w:rFonts w:ascii="Verdana" w:cs="Verdana" w:eastAsia="Verdana" w:hAnsi="Verdana"/>
                <w:sz w:val="17"/>
                <w:szCs w:val="17"/>
                <w:color w:val="auto"/>
              </w:rPr>
              <w:t>Пожилые</w:t>
            </w:r>
            <w:r>
              <w:rPr>
                <w:rFonts w:ascii="Verdana" w:cs="Verdana" w:eastAsia="Verdana" w:hAnsi="Verdana"/>
                <w:sz w:val="17"/>
                <w:szCs w:val="17"/>
                <w:color w:val="auto"/>
              </w:rPr>
              <w:t>(&gt;65</w:t>
            </w:r>
            <w:r>
              <w:rPr>
                <w:rFonts w:ascii="Verdana" w:cs="Verdana" w:eastAsia="Verdana" w:hAnsi="Verdana"/>
                <w:sz w:val="17"/>
                <w:szCs w:val="17"/>
                <w:color w:val="auto"/>
              </w:rPr>
              <w:t xml:space="preserve"> лет</w:t>
            </w:r>
            <w:r>
              <w:rPr>
                <w:rFonts w:ascii="Verdana" w:cs="Verdana" w:eastAsia="Verdana" w:hAnsi="Verdana"/>
                <w:sz w:val="17"/>
                <w:szCs w:val="17"/>
                <w:color w:val="auto"/>
              </w:rPr>
              <w:t>)</w:t>
            </w:r>
          </w:p>
        </w:tc>
        <w:tc>
          <w:tcPr>
            <w:tcW w:w="1680" w:type="dxa"/>
            <w:vAlign w:val="bottom"/>
            <w:tcBorders>
              <w:right w:val="single" w:sz="8" w:color="auto"/>
            </w:tcBorders>
          </w:tcPr>
          <w:p>
            <w:pPr>
              <w:ind w:left="140"/>
              <w:spacing w:after="0"/>
              <w:rPr>
                <w:sz w:val="20"/>
                <w:szCs w:val="20"/>
                <w:color w:val="auto"/>
              </w:rPr>
            </w:pPr>
            <w:r>
              <w:rPr>
                <w:rFonts w:ascii="Verdana" w:cs="Verdana" w:eastAsia="Verdana" w:hAnsi="Verdana"/>
                <w:sz w:val="17"/>
                <w:szCs w:val="17"/>
                <w:color w:val="auto"/>
              </w:rPr>
              <w:t>5–10</w:t>
            </w:r>
          </w:p>
        </w:tc>
        <w:tc>
          <w:tcPr>
            <w:tcW w:w="1760" w:type="dxa"/>
            <w:vAlign w:val="bottom"/>
          </w:tcPr>
          <w:p>
            <w:pPr>
              <w:ind w:left="140"/>
              <w:spacing w:after="0"/>
              <w:rPr>
                <w:sz w:val="20"/>
                <w:szCs w:val="20"/>
                <w:color w:val="auto"/>
              </w:rPr>
            </w:pPr>
            <w:r>
              <w:rPr>
                <w:rFonts w:ascii="Verdana" w:cs="Verdana" w:eastAsia="Verdana" w:hAnsi="Verdana"/>
                <w:sz w:val="17"/>
                <w:szCs w:val="17"/>
                <w:color w:val="auto"/>
              </w:rPr>
              <w:t>Атеросклероз</w:t>
            </w:r>
          </w:p>
        </w:tc>
        <w:tc>
          <w:tcPr>
            <w:tcW w:w="1000" w:type="dxa"/>
            <w:vAlign w:val="bottom"/>
          </w:tcPr>
          <w:p>
            <w:pPr>
              <w:ind w:left="20"/>
              <w:spacing w:after="0"/>
              <w:rPr>
                <w:sz w:val="20"/>
                <w:szCs w:val="20"/>
                <w:color w:val="auto"/>
              </w:rPr>
            </w:pPr>
            <w:r>
              <w:rPr>
                <w:rFonts w:ascii="Verdana" w:cs="Verdana" w:eastAsia="Verdana" w:hAnsi="Verdana"/>
                <w:sz w:val="17"/>
                <w:szCs w:val="17"/>
                <w:color w:val="auto"/>
              </w:rPr>
              <w:t>почечных</w:t>
            </w:r>
          </w:p>
        </w:tc>
        <w:tc>
          <w:tcPr>
            <w:tcW w:w="122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артерий</w:t>
            </w:r>
          </w:p>
        </w:tc>
        <w:tc>
          <w:tcPr>
            <w:tcW w:w="0" w:type="dxa"/>
            <w:vAlign w:val="bottom"/>
          </w:tcPr>
          <w:p>
            <w:pPr>
              <w:spacing w:after="0"/>
              <w:rPr>
                <w:sz w:val="1"/>
                <w:szCs w:val="1"/>
                <w:color w:val="auto"/>
              </w:rPr>
            </w:pPr>
          </w:p>
        </w:tc>
      </w:tr>
      <w:tr>
        <w:trPr>
          <w:trHeight w:val="165"/>
        </w:trPr>
        <w:tc>
          <w:tcPr>
            <w:tcW w:w="2800" w:type="dxa"/>
            <w:vAlign w:val="bottom"/>
            <w:tcBorders>
              <w:left w:val="single" w:sz="8" w:color="auto"/>
              <w:right w:val="single" w:sz="8" w:color="auto"/>
            </w:tcBorders>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39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Ренопаренхиматозные заболевания</w:t>
            </w:r>
          </w:p>
        </w:tc>
        <w:tc>
          <w:tcPr>
            <w:tcW w:w="0" w:type="dxa"/>
            <w:vAlign w:val="bottom"/>
          </w:tcPr>
          <w:p>
            <w:pPr>
              <w:spacing w:after="0"/>
              <w:rPr>
                <w:sz w:val="1"/>
                <w:szCs w:val="1"/>
                <w:color w:val="auto"/>
              </w:rPr>
            </w:pPr>
          </w:p>
        </w:tc>
      </w:tr>
      <w:tr>
        <w:trPr>
          <w:trHeight w:val="220"/>
        </w:trPr>
        <w:tc>
          <w:tcPr>
            <w:tcW w:w="2800" w:type="dxa"/>
            <w:vAlign w:val="bottom"/>
            <w:tcBorders>
              <w:left w:val="single" w:sz="8" w:color="auto"/>
              <w:right w:val="single" w:sz="8" w:color="auto"/>
            </w:tcBorders>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39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Заболевания щитовидной железы</w:t>
            </w:r>
          </w:p>
        </w:tc>
        <w:tc>
          <w:tcPr>
            <w:tcW w:w="0" w:type="dxa"/>
            <w:vAlign w:val="bottom"/>
          </w:tcPr>
          <w:p>
            <w:pPr>
              <w:spacing w:after="0"/>
              <w:rPr>
                <w:sz w:val="1"/>
                <w:szCs w:val="1"/>
                <w:color w:val="auto"/>
              </w:rPr>
            </w:pPr>
          </w:p>
        </w:tc>
      </w:tr>
      <w:tr>
        <w:trPr>
          <w:trHeight w:val="110"/>
        </w:trPr>
        <w:tc>
          <w:tcPr>
            <w:tcW w:w="2800" w:type="dxa"/>
            <w:vAlign w:val="bottom"/>
            <w:tcBorders>
              <w:left w:val="single" w:sz="8" w:color="auto"/>
              <w:bottom w:val="single" w:sz="8" w:color="auto"/>
              <w:right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1760" w:type="dxa"/>
            <w:vAlign w:val="bottom"/>
            <w:tcBorders>
              <w:bottom w:val="single" w:sz="8" w:color="auto"/>
            </w:tcBorders>
          </w:tcPr>
          <w:p>
            <w:pPr>
              <w:spacing w:after="0"/>
              <w:rPr>
                <w:sz w:val="9"/>
                <w:szCs w:val="9"/>
                <w:color w:val="auto"/>
              </w:rPr>
            </w:pPr>
          </w:p>
        </w:tc>
        <w:tc>
          <w:tcPr>
            <w:tcW w:w="1000" w:type="dxa"/>
            <w:vAlign w:val="bottom"/>
            <w:tcBorders>
              <w:bottom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jc w:val="both"/>
        <w:ind w:left="360" w:right="220"/>
        <w:spacing w:after="0" w:line="337"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2/</w:t>
      </w:r>
      <w:r>
        <w:rPr>
          <w:rFonts w:ascii="Arial" w:cs="Arial" w:eastAsia="Arial" w:hAnsi="Arial"/>
          <w:sz w:val="27"/>
          <w:szCs w:val="27"/>
          <w:b w:val="1"/>
          <w:bCs w:val="1"/>
          <w:color w:val="auto"/>
        </w:rPr>
        <w:t>Г</w:t>
      </w:r>
      <w:r>
        <w:rPr>
          <w:rFonts w:ascii="Arial" w:cs="Arial" w:eastAsia="Arial" w:hAnsi="Arial"/>
          <w:sz w:val="27"/>
          <w:szCs w:val="27"/>
          <w:b w:val="1"/>
          <w:bCs w:val="1"/>
          <w:color w:val="auto"/>
        </w:rPr>
        <w:t>5.</w:t>
      </w:r>
      <w:r>
        <w:rPr>
          <w:rFonts w:ascii="Arial" w:cs="Arial" w:eastAsia="Arial" w:hAnsi="Arial"/>
          <w:sz w:val="27"/>
          <w:szCs w:val="27"/>
          <w:b w:val="1"/>
          <w:bCs w:val="1"/>
          <w:color w:val="auto"/>
        </w:rPr>
        <w:t xml:space="preserve"> Редкие генетические причины вторичных артериальных гипертензий</w:t>
      </w:r>
    </w:p>
    <w:p>
      <w:pPr>
        <w:spacing w:after="0" w:line="200" w:lineRule="exact"/>
        <w:rPr>
          <w:sz w:val="20"/>
          <w:szCs w:val="20"/>
          <w:color w:val="auto"/>
        </w:rPr>
      </w:pPr>
    </w:p>
    <w:p>
      <w:pPr>
        <w:spacing w:after="0" w:line="200" w:lineRule="exact"/>
        <w:rPr>
          <w:sz w:val="20"/>
          <w:szCs w:val="20"/>
          <w:color w:val="auto"/>
        </w:rPr>
      </w:pPr>
    </w:p>
    <w:p>
      <w:pPr>
        <w:spacing w:after="0" w:line="399" w:lineRule="exact"/>
        <w:rPr>
          <w:sz w:val="20"/>
          <w:szCs w:val="20"/>
          <w:color w:val="auto"/>
        </w:rPr>
      </w:pPr>
    </w:p>
    <w:tbl>
      <w:tblPr>
        <w:tblLayout w:type="fixed"/>
        <w:tblInd w:w="370" w:type="dxa"/>
        <w:tblCellMar>
          <w:top w:w="0" w:type="dxa"/>
          <w:left w:w="0" w:type="dxa"/>
          <w:bottom w:w="0" w:type="dxa"/>
          <w:right w:w="0" w:type="dxa"/>
        </w:tblCellMar>
      </w:tblPr>
      <w:tr>
        <w:trPr>
          <w:trHeight w:val="363"/>
        </w:trPr>
        <w:tc>
          <w:tcPr>
            <w:tcW w:w="1620" w:type="dxa"/>
            <w:vAlign w:val="bottom"/>
            <w:tcBorders>
              <w:top w:val="single" w:sz="8" w:color="auto"/>
              <w:left w:val="single" w:sz="8" w:color="auto"/>
            </w:tcBorders>
          </w:tcPr>
          <w:p>
            <w:pPr>
              <w:ind w:left="160"/>
              <w:spacing w:after="0"/>
              <w:rPr>
                <w:sz w:val="20"/>
                <w:szCs w:val="20"/>
                <w:color w:val="auto"/>
              </w:rPr>
            </w:pPr>
            <w:r>
              <w:rPr>
                <w:rFonts w:ascii="Verdana" w:cs="Verdana" w:eastAsia="Verdana" w:hAnsi="Verdana"/>
                <w:sz w:val="17"/>
                <w:szCs w:val="17"/>
                <w:color w:val="auto"/>
              </w:rPr>
              <w:t>Заболевание</w:t>
            </w:r>
          </w:p>
        </w:tc>
        <w:tc>
          <w:tcPr>
            <w:tcW w:w="1220" w:type="dxa"/>
            <w:vAlign w:val="bottom"/>
            <w:tcBorders>
              <w:top w:val="single" w:sz="8" w:color="auto"/>
              <w:right w:val="single" w:sz="8" w:color="auto"/>
            </w:tcBorders>
          </w:tcPr>
          <w:p>
            <w:pPr>
              <w:spacing w:after="0"/>
              <w:rPr>
                <w:sz w:val="24"/>
                <w:szCs w:val="24"/>
                <w:color w:val="auto"/>
              </w:rPr>
            </w:pPr>
          </w:p>
        </w:tc>
        <w:tc>
          <w:tcPr>
            <w:tcW w:w="168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color w:val="auto"/>
              </w:rPr>
              <w:t>Фенотип</w:t>
            </w:r>
          </w:p>
        </w:tc>
        <w:tc>
          <w:tcPr>
            <w:tcW w:w="1060" w:type="dxa"/>
            <w:vAlign w:val="bottom"/>
            <w:tcBorders>
              <w:top w:val="single" w:sz="8" w:color="auto"/>
              <w:right w:val="single" w:sz="8" w:color="auto"/>
            </w:tcBorders>
          </w:tcPr>
          <w:p>
            <w:pPr>
              <w:spacing w:after="0"/>
              <w:rPr>
                <w:sz w:val="24"/>
                <w:szCs w:val="24"/>
                <w:color w:val="auto"/>
              </w:rPr>
            </w:pPr>
          </w:p>
        </w:tc>
        <w:tc>
          <w:tcPr>
            <w:tcW w:w="1620" w:type="dxa"/>
            <w:vAlign w:val="bottom"/>
            <w:tcBorders>
              <w:top w:val="single" w:sz="8" w:color="auto"/>
            </w:tcBorders>
          </w:tcPr>
          <w:p>
            <w:pPr>
              <w:ind w:left="140"/>
              <w:spacing w:after="0"/>
              <w:rPr>
                <w:sz w:val="20"/>
                <w:szCs w:val="20"/>
                <w:color w:val="auto"/>
              </w:rPr>
            </w:pPr>
            <w:r>
              <w:rPr>
                <w:rFonts w:ascii="Verdana" w:cs="Verdana" w:eastAsia="Verdana" w:hAnsi="Verdana"/>
                <w:sz w:val="17"/>
                <w:szCs w:val="17"/>
                <w:color w:val="auto"/>
              </w:rPr>
              <w:t>Механизм</w:t>
            </w:r>
          </w:p>
        </w:tc>
        <w:tc>
          <w:tcPr>
            <w:tcW w:w="660" w:type="dxa"/>
            <w:vAlign w:val="bottom"/>
            <w:tcBorders>
              <w:top w:val="single" w:sz="8" w:color="auto"/>
            </w:tcBorders>
          </w:tcPr>
          <w:p>
            <w:pPr>
              <w:spacing w:after="0"/>
              <w:rPr>
                <w:sz w:val="24"/>
                <w:szCs w:val="24"/>
                <w:color w:val="auto"/>
              </w:rPr>
            </w:pPr>
          </w:p>
        </w:tc>
        <w:tc>
          <w:tcPr>
            <w:tcW w:w="600" w:type="dxa"/>
            <w:vAlign w:val="bottom"/>
            <w:tcBorders>
              <w:top w:val="single" w:sz="8" w:color="auto"/>
              <w:right w:val="single" w:sz="8" w:color="auto"/>
            </w:tcBorders>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1620" w:type="dxa"/>
            <w:vAlign w:val="bottom"/>
            <w:tcBorders>
              <w:left w:val="single" w:sz="8" w:color="auto"/>
              <w:bottom w:val="single" w:sz="8" w:color="auto"/>
            </w:tcBorders>
          </w:tcPr>
          <w:p>
            <w:pPr>
              <w:spacing w:after="0"/>
              <w:rPr>
                <w:sz w:val="10"/>
                <w:szCs w:val="10"/>
                <w:color w:val="auto"/>
              </w:rPr>
            </w:pPr>
          </w:p>
        </w:tc>
        <w:tc>
          <w:tcPr>
            <w:tcW w:w="1220" w:type="dxa"/>
            <w:vAlign w:val="bottom"/>
            <w:tcBorders>
              <w:bottom w:val="single" w:sz="8" w:color="auto"/>
              <w:right w:val="single" w:sz="8" w:color="auto"/>
            </w:tcBorders>
          </w:tcPr>
          <w:p>
            <w:pPr>
              <w:spacing w:after="0"/>
              <w:rPr>
                <w:sz w:val="10"/>
                <w:szCs w:val="10"/>
                <w:color w:val="auto"/>
              </w:rPr>
            </w:pPr>
          </w:p>
        </w:tc>
        <w:tc>
          <w:tcPr>
            <w:tcW w:w="1680" w:type="dxa"/>
            <w:vAlign w:val="bottom"/>
            <w:tcBorders>
              <w:bottom w:val="single" w:sz="8" w:color="auto"/>
            </w:tcBorders>
          </w:tcPr>
          <w:p>
            <w:pPr>
              <w:spacing w:after="0"/>
              <w:rPr>
                <w:sz w:val="10"/>
                <w:szCs w:val="10"/>
                <w:color w:val="auto"/>
              </w:rPr>
            </w:pPr>
          </w:p>
        </w:tc>
        <w:tc>
          <w:tcPr>
            <w:tcW w:w="1060" w:type="dxa"/>
            <w:vAlign w:val="bottom"/>
            <w:tcBorders>
              <w:bottom w:val="single" w:sz="8" w:color="auto"/>
              <w:right w:val="single" w:sz="8" w:color="auto"/>
            </w:tcBorders>
          </w:tcPr>
          <w:p>
            <w:pPr>
              <w:spacing w:after="0"/>
              <w:rPr>
                <w:sz w:val="10"/>
                <w:szCs w:val="10"/>
                <w:color w:val="auto"/>
              </w:rPr>
            </w:pPr>
          </w:p>
        </w:tc>
        <w:tc>
          <w:tcPr>
            <w:tcW w:w="1620" w:type="dxa"/>
            <w:vAlign w:val="bottom"/>
            <w:tcBorders>
              <w:bottom w:val="single" w:sz="8" w:color="auto"/>
            </w:tcBorders>
          </w:tcPr>
          <w:p>
            <w:pPr>
              <w:spacing w:after="0"/>
              <w:rPr>
                <w:sz w:val="10"/>
                <w:szCs w:val="10"/>
                <w:color w:val="auto"/>
              </w:rPr>
            </w:pPr>
          </w:p>
        </w:tc>
        <w:tc>
          <w:tcPr>
            <w:tcW w:w="1260" w:type="dxa"/>
            <w:vAlign w:val="bottom"/>
            <w:tcBorders>
              <w:bottom w:val="single" w:sz="8" w:color="auto"/>
              <w:right w:val="single" w:sz="8" w:color="auto"/>
            </w:tcBorders>
            <w:gridSpan w:val="2"/>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16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w w:val="97"/>
              </w:rPr>
              <w:t>Синдром Лиддла</w:t>
            </w:r>
          </w:p>
        </w:tc>
        <w:tc>
          <w:tcPr>
            <w:tcW w:w="1220" w:type="dxa"/>
            <w:vAlign w:val="bottom"/>
            <w:tcBorders>
              <w:right w:val="single" w:sz="8" w:color="auto"/>
            </w:tcBorders>
          </w:tcPr>
          <w:p>
            <w:pPr>
              <w:spacing w:after="0"/>
              <w:rPr>
                <w:sz w:val="24"/>
                <w:szCs w:val="24"/>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tc>
        <w:tc>
          <w:tcPr>
            <w:tcW w:w="106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алкалоз</w:t>
            </w:r>
            <w:r>
              <w:rPr>
                <w:rFonts w:ascii="Verdana" w:cs="Verdana" w:eastAsia="Verdana" w:hAnsi="Verdana"/>
                <w:sz w:val="17"/>
                <w:szCs w:val="17"/>
                <w:color w:val="auto"/>
              </w:rPr>
              <w:t>,</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Повышение</w:t>
            </w:r>
          </w:p>
        </w:tc>
        <w:tc>
          <w:tcPr>
            <w:tcW w:w="12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активности</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Pr>
          <w:p>
            <w:pPr>
              <w:ind w:left="140"/>
              <w:spacing w:after="0" w:line="165" w:lineRule="exact"/>
              <w:rPr>
                <w:sz w:val="20"/>
                <w:szCs w:val="20"/>
                <w:color w:val="auto"/>
              </w:rPr>
            </w:pPr>
            <w:r>
              <w:rPr>
                <w:rFonts w:ascii="Verdana" w:cs="Verdana" w:eastAsia="Verdana" w:hAnsi="Verdana"/>
                <w:sz w:val="17"/>
                <w:szCs w:val="17"/>
                <w:color w:val="auto"/>
              </w:rPr>
              <w:t>метаболический</w:t>
            </w:r>
          </w:p>
        </w:tc>
        <w:tc>
          <w:tcPr>
            <w:tcW w:w="1060" w:type="dxa"/>
            <w:vAlign w:val="bottom"/>
            <w:tcBorders>
              <w:right w:val="single" w:sz="8" w:color="auto"/>
            </w:tcBorders>
            <w:vMerge w:val="continue"/>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эпителиальных</w:t>
            </w:r>
          </w:p>
        </w:tc>
        <w:tc>
          <w:tcPr>
            <w:tcW w:w="12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натриевых</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низкие АРП и КРП</w:t>
            </w:r>
            <w:r>
              <w:rPr>
                <w:rFonts w:ascii="Verdana" w:cs="Verdana" w:eastAsia="Verdana" w:hAnsi="Verdana"/>
                <w:sz w:val="17"/>
                <w:szCs w:val="17"/>
                <w:color w:val="auto"/>
              </w:rPr>
              <w:t>,</w:t>
            </w:r>
            <w:r>
              <w:rPr>
                <w:rFonts w:ascii="Verdana" w:cs="Verdana" w:eastAsia="Verdana" w:hAnsi="Verdana"/>
                <w:sz w:val="17"/>
                <w:szCs w:val="17"/>
                <w:color w:val="auto"/>
              </w:rPr>
              <w:t xml:space="preserve"> низкая</w:t>
            </w:r>
          </w:p>
        </w:tc>
        <w:tc>
          <w:tcPr>
            <w:tcW w:w="2880" w:type="dxa"/>
            <w:vAlign w:val="bottom"/>
            <w:tcBorders>
              <w:right w:val="single" w:sz="8" w:color="auto"/>
            </w:tcBorders>
            <w:gridSpan w:val="3"/>
          </w:tcPr>
          <w:p>
            <w:pPr>
              <w:ind w:left="140"/>
              <w:spacing w:after="0" w:line="165" w:lineRule="exact"/>
              <w:rPr>
                <w:sz w:val="20"/>
                <w:szCs w:val="20"/>
                <w:color w:val="auto"/>
              </w:rPr>
            </w:pPr>
            <w:r>
              <w:rPr>
                <w:rFonts w:ascii="Verdana" w:cs="Verdana" w:eastAsia="Verdana" w:hAnsi="Verdana"/>
                <w:sz w:val="17"/>
                <w:szCs w:val="17"/>
                <w:color w:val="auto"/>
              </w:rPr>
              <w:t>каналов  почек</w:t>
            </w:r>
            <w:r>
              <w:rPr>
                <w:rFonts w:ascii="Verdana" w:cs="Verdana" w:eastAsia="Verdana" w:hAnsi="Verdana"/>
                <w:sz w:val="17"/>
                <w:szCs w:val="17"/>
                <w:color w:val="auto"/>
              </w:rPr>
              <w:t>;</w:t>
            </w:r>
            <w:r>
              <w:rPr>
                <w:rFonts w:ascii="Verdana" w:cs="Verdana" w:eastAsia="Verdana" w:hAnsi="Verdana"/>
                <w:sz w:val="17"/>
                <w:szCs w:val="17"/>
                <w:color w:val="auto"/>
              </w:rPr>
              <w:t xml:space="preserve">  эффект  от</w:t>
            </w:r>
          </w:p>
        </w:tc>
        <w:tc>
          <w:tcPr>
            <w:tcW w:w="0" w:type="dxa"/>
            <w:vAlign w:val="bottom"/>
          </w:tcPr>
          <w:p>
            <w:pPr>
              <w:spacing w:after="0"/>
              <w:rPr>
                <w:sz w:val="1"/>
                <w:szCs w:val="1"/>
                <w:color w:val="auto"/>
              </w:rPr>
            </w:pPr>
          </w:p>
        </w:tc>
      </w:tr>
      <w:tr>
        <w:trPr>
          <w:trHeight w:val="220"/>
        </w:trPr>
        <w:tc>
          <w:tcPr>
            <w:tcW w:w="1620" w:type="dxa"/>
            <w:vAlign w:val="bottom"/>
            <w:tcBorders>
              <w:lef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rPr>
              <w:t>КАП</w:t>
            </w:r>
          </w:p>
        </w:tc>
        <w:tc>
          <w:tcPr>
            <w:tcW w:w="1060" w:type="dxa"/>
            <w:vAlign w:val="bottom"/>
            <w:tcBorders>
              <w:right w:val="single" w:sz="8" w:color="auto"/>
            </w:tcBorders>
          </w:tcPr>
          <w:p>
            <w:pPr>
              <w:spacing w:after="0"/>
              <w:rPr>
                <w:sz w:val="19"/>
                <w:szCs w:val="19"/>
                <w:color w:val="auto"/>
              </w:rPr>
            </w:pPr>
          </w:p>
        </w:tc>
        <w:tc>
          <w:tcPr>
            <w:tcW w:w="2280" w:type="dxa"/>
            <w:vAlign w:val="bottom"/>
            <w:gridSpan w:val="2"/>
          </w:tcPr>
          <w:p>
            <w:pPr>
              <w:ind w:left="140"/>
              <w:spacing w:after="0"/>
              <w:rPr>
                <w:sz w:val="20"/>
                <w:szCs w:val="20"/>
                <w:color w:val="auto"/>
              </w:rPr>
            </w:pPr>
            <w:r>
              <w:rPr>
                <w:rFonts w:ascii="Verdana" w:cs="Verdana" w:eastAsia="Verdana" w:hAnsi="Verdana"/>
                <w:sz w:val="17"/>
                <w:szCs w:val="17"/>
                <w:color w:val="auto"/>
              </w:rPr>
              <w:t>применения амилорида</w:t>
            </w:r>
          </w:p>
        </w:tc>
        <w:tc>
          <w:tcPr>
            <w:tcW w:w="6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620" w:type="dxa"/>
            <w:vAlign w:val="bottom"/>
            <w:tcBorders>
              <w:left w:val="single" w:sz="8" w:color="auto"/>
              <w:bottom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c>
          <w:tcPr>
            <w:tcW w:w="2280" w:type="dxa"/>
            <w:vAlign w:val="bottom"/>
            <w:tcBorders>
              <w:bottom w:val="single" w:sz="8" w:color="auto"/>
            </w:tcBorders>
            <w:gridSpan w:val="2"/>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16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Синдром</w:t>
            </w:r>
          </w:p>
        </w:tc>
        <w:tc>
          <w:tcPr>
            <w:tcW w:w="1220" w:type="dxa"/>
            <w:vAlign w:val="bottom"/>
            <w:tcBorders>
              <w:right w:val="single" w:sz="8" w:color="auto"/>
            </w:tcBorders>
          </w:tcPr>
          <w:p>
            <w:pPr>
              <w:ind w:left="20"/>
              <w:spacing w:after="0"/>
              <w:rPr>
                <w:sz w:val="20"/>
                <w:szCs w:val="20"/>
                <w:color w:val="auto"/>
              </w:rPr>
            </w:pPr>
            <w:r>
              <w:rPr>
                <w:rFonts w:ascii="Verdana" w:cs="Verdana" w:eastAsia="Verdana" w:hAnsi="Verdana"/>
                <w:sz w:val="17"/>
                <w:szCs w:val="17"/>
                <w:color w:val="auto"/>
              </w:rPr>
              <w:t>кажущегося</w:t>
            </w:r>
          </w:p>
        </w:tc>
        <w:tc>
          <w:tcPr>
            <w:tcW w:w="1680" w:type="dxa"/>
            <w:vAlign w:val="bottom"/>
          </w:tcPr>
          <w:p>
            <w:pPr>
              <w:ind w:left="140"/>
              <w:spacing w:after="0"/>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tc>
        <w:tc>
          <w:tcPr>
            <w:tcW w:w="106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алкалоз</w:t>
            </w:r>
            <w:r>
              <w:rPr>
                <w:rFonts w:ascii="Verdana" w:cs="Verdana" w:eastAsia="Verdana" w:hAnsi="Verdana"/>
                <w:sz w:val="17"/>
                <w:szCs w:val="17"/>
                <w:color w:val="auto"/>
              </w:rPr>
              <w:t>,</w:t>
            </w:r>
          </w:p>
        </w:tc>
        <w:tc>
          <w:tcPr>
            <w:tcW w:w="2280" w:type="dxa"/>
            <w:vAlign w:val="bottom"/>
            <w:gridSpan w:val="2"/>
          </w:tcPr>
          <w:p>
            <w:pPr>
              <w:ind w:left="140"/>
              <w:spacing w:after="0"/>
              <w:rPr>
                <w:sz w:val="20"/>
                <w:szCs w:val="20"/>
                <w:color w:val="auto"/>
              </w:rPr>
            </w:pPr>
            <w:r>
              <w:rPr>
                <w:rFonts w:ascii="Verdana" w:cs="Verdana" w:eastAsia="Verdana" w:hAnsi="Verdana"/>
                <w:sz w:val="17"/>
                <w:szCs w:val="17"/>
                <w:color w:val="auto"/>
              </w:rPr>
              <w:t>Снижение  активности</w:t>
            </w:r>
          </w:p>
        </w:tc>
        <w:tc>
          <w:tcPr>
            <w:tcW w:w="60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11β-</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избытка</w:t>
            </w:r>
          </w:p>
        </w:tc>
        <w:tc>
          <w:tcPr>
            <w:tcW w:w="1220" w:type="dxa"/>
            <w:vAlign w:val="bottom"/>
            <w:tcBorders>
              <w:right w:val="single" w:sz="8" w:color="auto"/>
            </w:tcBorders>
          </w:tcPr>
          <w:p>
            <w:pPr>
              <w:spacing w:after="0"/>
              <w:rPr>
                <w:sz w:val="14"/>
                <w:szCs w:val="14"/>
                <w:color w:val="auto"/>
              </w:rPr>
            </w:pPr>
          </w:p>
        </w:tc>
        <w:tc>
          <w:tcPr>
            <w:tcW w:w="1680" w:type="dxa"/>
            <w:vAlign w:val="bottom"/>
          </w:tcPr>
          <w:p>
            <w:pPr>
              <w:ind w:left="140"/>
              <w:spacing w:after="0" w:line="165" w:lineRule="exact"/>
              <w:rPr>
                <w:sz w:val="20"/>
                <w:szCs w:val="20"/>
                <w:color w:val="auto"/>
              </w:rPr>
            </w:pPr>
            <w:r>
              <w:rPr>
                <w:rFonts w:ascii="Verdana" w:cs="Verdana" w:eastAsia="Verdana" w:hAnsi="Verdana"/>
                <w:sz w:val="17"/>
                <w:szCs w:val="17"/>
                <w:color w:val="auto"/>
              </w:rPr>
              <w:t>метаболический</w:t>
            </w:r>
          </w:p>
        </w:tc>
        <w:tc>
          <w:tcPr>
            <w:tcW w:w="1060" w:type="dxa"/>
            <w:vAlign w:val="bottom"/>
            <w:tcBorders>
              <w:right w:val="single" w:sz="8" w:color="auto"/>
            </w:tcBorders>
            <w:vMerge w:val="continue"/>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w w:val="96"/>
              </w:rPr>
              <w:t>дегидрогеназы</w:t>
            </w:r>
            <w:r>
              <w:rPr>
                <w:rFonts w:ascii="Verdana" w:cs="Verdana" w:eastAsia="Verdana" w:hAnsi="Verdana"/>
                <w:sz w:val="17"/>
                <w:szCs w:val="17"/>
                <w:color w:val="auto"/>
                <w:w w:val="96"/>
              </w:rPr>
              <w:t>-2</w:t>
            </w:r>
          </w:p>
        </w:tc>
        <w:tc>
          <w:tcPr>
            <w:tcW w:w="66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165"/>
        </w:trPr>
        <w:tc>
          <w:tcPr>
            <w:tcW w:w="284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минералокортикоидов</w:t>
            </w: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низкие АРП и КРП</w:t>
            </w:r>
            <w:r>
              <w:rPr>
                <w:rFonts w:ascii="Verdana" w:cs="Verdana" w:eastAsia="Verdana" w:hAnsi="Verdana"/>
                <w:sz w:val="17"/>
                <w:szCs w:val="17"/>
                <w:color w:val="auto"/>
              </w:rPr>
              <w:t>,</w:t>
            </w:r>
            <w:r>
              <w:rPr>
                <w:rFonts w:ascii="Verdana" w:cs="Verdana" w:eastAsia="Verdana" w:hAnsi="Verdana"/>
                <w:sz w:val="17"/>
                <w:szCs w:val="17"/>
                <w:color w:val="auto"/>
              </w:rPr>
              <w:t xml:space="preserve"> низкая</w:t>
            </w:r>
          </w:p>
        </w:tc>
        <w:tc>
          <w:tcPr>
            <w:tcW w:w="1620" w:type="dxa"/>
            <w:vAlign w:val="bottom"/>
          </w:tcPr>
          <w:p>
            <w:pPr>
              <w:spacing w:after="0"/>
              <w:rPr>
                <w:sz w:val="14"/>
                <w:szCs w:val="14"/>
                <w:color w:val="auto"/>
              </w:rPr>
            </w:pPr>
          </w:p>
        </w:tc>
        <w:tc>
          <w:tcPr>
            <w:tcW w:w="66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620" w:type="dxa"/>
            <w:vAlign w:val="bottom"/>
            <w:tcBorders>
              <w:lef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rPr>
              <w:t>КАП</w:t>
            </w:r>
          </w:p>
        </w:tc>
        <w:tc>
          <w:tcPr>
            <w:tcW w:w="1060" w:type="dxa"/>
            <w:vAlign w:val="bottom"/>
            <w:tcBorders>
              <w:right w:val="single" w:sz="8" w:color="auto"/>
            </w:tcBorders>
          </w:tcPr>
          <w:p>
            <w:pPr>
              <w:spacing w:after="0"/>
              <w:rPr>
                <w:sz w:val="19"/>
                <w:szCs w:val="19"/>
                <w:color w:val="auto"/>
              </w:rPr>
            </w:pPr>
          </w:p>
        </w:tc>
        <w:tc>
          <w:tcPr>
            <w:tcW w:w="162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840" w:type="dxa"/>
            <w:vAlign w:val="bottom"/>
            <w:tcBorders>
              <w:left w:val="single" w:sz="8" w:color="auto"/>
              <w:bottom w:val="single" w:sz="8" w:color="auto"/>
              <w:right w:val="single" w:sz="8" w:color="auto"/>
            </w:tcBorders>
            <w:gridSpan w:val="2"/>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1260" w:type="dxa"/>
            <w:vAlign w:val="bottom"/>
            <w:tcBorders>
              <w:bottom w:val="single" w:sz="8" w:color="auto"/>
              <w:right w:val="single" w:sz="8" w:color="auto"/>
            </w:tcBorders>
            <w:gridSpan w:val="2"/>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4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Синдром Гордона</w:t>
            </w:r>
          </w:p>
        </w:tc>
        <w:tc>
          <w:tcPr>
            <w:tcW w:w="1680" w:type="dxa"/>
            <w:vAlign w:val="bottom"/>
          </w:tcPr>
          <w:p>
            <w:pPr>
              <w:ind w:left="140"/>
              <w:spacing w:after="0"/>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tc>
        <w:tc>
          <w:tcPr>
            <w:tcW w:w="106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алкалоз</w:t>
            </w:r>
            <w:r>
              <w:rPr>
                <w:rFonts w:ascii="Verdana" w:cs="Verdana" w:eastAsia="Verdana" w:hAnsi="Verdana"/>
                <w:sz w:val="17"/>
                <w:szCs w:val="17"/>
                <w:color w:val="auto"/>
              </w:rPr>
              <w:t>,</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Повышение</w:t>
            </w:r>
          </w:p>
        </w:tc>
        <w:tc>
          <w:tcPr>
            <w:tcW w:w="12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активности</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1680" w:type="dxa"/>
            <w:vAlign w:val="bottom"/>
          </w:tcPr>
          <w:p>
            <w:pPr>
              <w:ind w:left="140"/>
              <w:spacing w:after="0" w:line="165" w:lineRule="exact"/>
              <w:rPr>
                <w:sz w:val="20"/>
                <w:szCs w:val="20"/>
                <w:color w:val="auto"/>
              </w:rPr>
            </w:pPr>
            <w:r>
              <w:rPr>
                <w:rFonts w:ascii="Verdana" w:cs="Verdana" w:eastAsia="Verdana" w:hAnsi="Verdana"/>
                <w:sz w:val="17"/>
                <w:szCs w:val="17"/>
                <w:color w:val="auto"/>
              </w:rPr>
              <w:t>метаболический</w:t>
            </w:r>
          </w:p>
        </w:tc>
        <w:tc>
          <w:tcPr>
            <w:tcW w:w="1060" w:type="dxa"/>
            <w:vAlign w:val="bottom"/>
            <w:tcBorders>
              <w:right w:val="single" w:sz="8" w:color="auto"/>
            </w:tcBorders>
            <w:vMerge w:val="continue"/>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эпителиальных</w:t>
            </w:r>
          </w:p>
        </w:tc>
        <w:tc>
          <w:tcPr>
            <w:tcW w:w="1260" w:type="dxa"/>
            <w:vAlign w:val="bottom"/>
            <w:tcBorders>
              <w:right w:val="single" w:sz="8" w:color="auto"/>
            </w:tcBorders>
            <w:gridSpan w:val="2"/>
          </w:tcPr>
          <w:p>
            <w:pPr>
              <w:jc w:val="right"/>
              <w:ind w:right="97"/>
              <w:spacing w:after="0" w:line="165" w:lineRule="exact"/>
              <w:rPr>
                <w:sz w:val="20"/>
                <w:szCs w:val="20"/>
                <w:color w:val="auto"/>
              </w:rPr>
            </w:pPr>
            <w:r>
              <w:rPr>
                <w:rFonts w:ascii="Verdana" w:cs="Verdana" w:eastAsia="Verdana" w:hAnsi="Verdana"/>
                <w:sz w:val="17"/>
                <w:szCs w:val="17"/>
                <w:color w:val="auto"/>
              </w:rPr>
              <w:t>натриевых</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низкие АРП и КРП</w:t>
            </w:r>
            <w:r>
              <w:rPr>
                <w:rFonts w:ascii="Verdana" w:cs="Verdana" w:eastAsia="Verdana" w:hAnsi="Verdana"/>
                <w:sz w:val="17"/>
                <w:szCs w:val="17"/>
                <w:color w:val="auto"/>
              </w:rPr>
              <w:t>,</w:t>
            </w:r>
            <w:r>
              <w:rPr>
                <w:rFonts w:ascii="Verdana" w:cs="Verdana" w:eastAsia="Verdana" w:hAnsi="Verdana"/>
                <w:sz w:val="17"/>
                <w:szCs w:val="17"/>
                <w:color w:val="auto"/>
              </w:rPr>
              <w:t xml:space="preserve"> низкая</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каналов</w:t>
            </w:r>
          </w:p>
        </w:tc>
        <w:tc>
          <w:tcPr>
            <w:tcW w:w="66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620" w:type="dxa"/>
            <w:vAlign w:val="bottom"/>
            <w:tcBorders>
              <w:lef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rPr>
              <w:t>КАП</w:t>
            </w:r>
          </w:p>
        </w:tc>
        <w:tc>
          <w:tcPr>
            <w:tcW w:w="1060" w:type="dxa"/>
            <w:vAlign w:val="bottom"/>
            <w:tcBorders>
              <w:right w:val="single" w:sz="8" w:color="auto"/>
            </w:tcBorders>
          </w:tcPr>
          <w:p>
            <w:pPr>
              <w:spacing w:after="0"/>
              <w:rPr>
                <w:sz w:val="19"/>
                <w:szCs w:val="19"/>
                <w:color w:val="auto"/>
              </w:rPr>
            </w:pPr>
          </w:p>
        </w:tc>
        <w:tc>
          <w:tcPr>
            <w:tcW w:w="1620" w:type="dxa"/>
            <w:vAlign w:val="bottom"/>
          </w:tcPr>
          <w:p>
            <w:pPr>
              <w:spacing w:after="0"/>
              <w:rPr>
                <w:sz w:val="19"/>
                <w:szCs w:val="19"/>
                <w:color w:val="auto"/>
              </w:rPr>
            </w:pPr>
          </w:p>
        </w:tc>
        <w:tc>
          <w:tcPr>
            <w:tcW w:w="66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2840" w:type="dxa"/>
            <w:vAlign w:val="bottom"/>
            <w:tcBorders>
              <w:left w:val="single" w:sz="8" w:color="auto"/>
              <w:bottom w:val="single" w:sz="8" w:color="auto"/>
              <w:right w:val="single" w:sz="8" w:color="auto"/>
            </w:tcBorders>
            <w:gridSpan w:val="2"/>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1260" w:type="dxa"/>
            <w:vAlign w:val="bottom"/>
            <w:tcBorders>
              <w:bottom w:val="single" w:sz="8" w:color="auto"/>
              <w:right w:val="single" w:sz="8" w:color="auto"/>
            </w:tcBorders>
            <w:gridSpan w:val="2"/>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2840" w:type="dxa"/>
            <w:vAlign w:val="bottom"/>
            <w:tcBorders>
              <w:left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Синдром Геллера</w:t>
            </w:r>
          </w:p>
        </w:tc>
        <w:tc>
          <w:tcPr>
            <w:tcW w:w="1680" w:type="dxa"/>
            <w:vAlign w:val="bottom"/>
          </w:tcPr>
          <w:p>
            <w:pPr>
              <w:ind w:left="140"/>
              <w:spacing w:after="0"/>
              <w:rPr>
                <w:sz w:val="20"/>
                <w:szCs w:val="20"/>
                <w:color w:val="auto"/>
              </w:rPr>
            </w:pPr>
            <w:r>
              <w:rPr>
                <w:rFonts w:ascii="Verdana" w:cs="Verdana" w:eastAsia="Verdana" w:hAnsi="Verdana"/>
                <w:sz w:val="17"/>
                <w:szCs w:val="17"/>
                <w:color w:val="auto"/>
              </w:rPr>
              <w:t>Ухудшение  АГ</w:t>
            </w:r>
          </w:p>
        </w:tc>
        <w:tc>
          <w:tcPr>
            <w:tcW w:w="1060" w:type="dxa"/>
            <w:vAlign w:val="bottom"/>
            <w:tcBorders>
              <w:right w:val="single" w:sz="8" w:color="auto"/>
            </w:tcBorders>
          </w:tcPr>
          <w:p>
            <w:pPr>
              <w:jc w:val="right"/>
              <w:ind w:right="97"/>
              <w:spacing w:after="0"/>
              <w:rPr>
                <w:sz w:val="20"/>
                <w:szCs w:val="20"/>
                <w:color w:val="auto"/>
              </w:rPr>
            </w:pPr>
            <w:r>
              <w:rPr>
                <w:rFonts w:ascii="Verdana" w:cs="Verdana" w:eastAsia="Verdana" w:hAnsi="Verdana"/>
                <w:sz w:val="17"/>
                <w:szCs w:val="17"/>
                <w:color w:val="auto"/>
              </w:rPr>
              <w:t>на  фоне</w:t>
            </w:r>
          </w:p>
        </w:tc>
        <w:tc>
          <w:tcPr>
            <w:tcW w:w="1620" w:type="dxa"/>
            <w:vAlign w:val="bottom"/>
          </w:tcPr>
          <w:p>
            <w:pPr>
              <w:ind w:left="140"/>
              <w:spacing w:after="0"/>
              <w:rPr>
                <w:sz w:val="20"/>
                <w:szCs w:val="20"/>
                <w:color w:val="auto"/>
              </w:rPr>
            </w:pPr>
            <w:r>
              <w:rPr>
                <w:rFonts w:ascii="Verdana" w:cs="Verdana" w:eastAsia="Verdana" w:hAnsi="Verdana"/>
                <w:sz w:val="17"/>
                <w:szCs w:val="17"/>
                <w:color w:val="auto"/>
              </w:rPr>
              <w:t>Агонистическое</w:t>
            </w:r>
          </w:p>
        </w:tc>
        <w:tc>
          <w:tcPr>
            <w:tcW w:w="1260" w:type="dxa"/>
            <w:vAlign w:val="bottom"/>
            <w:tcBorders>
              <w:right w:val="single" w:sz="8" w:color="auto"/>
            </w:tcBorders>
            <w:gridSpan w:val="2"/>
          </w:tcPr>
          <w:p>
            <w:pPr>
              <w:jc w:val="right"/>
              <w:ind w:right="97"/>
              <w:spacing w:after="0"/>
              <w:rPr>
                <w:sz w:val="20"/>
                <w:szCs w:val="20"/>
                <w:color w:val="auto"/>
              </w:rPr>
            </w:pPr>
            <w:r>
              <w:rPr>
                <w:rFonts w:ascii="Verdana" w:cs="Verdana" w:eastAsia="Verdana" w:hAnsi="Verdana"/>
                <w:sz w:val="17"/>
                <w:szCs w:val="17"/>
                <w:color w:val="auto"/>
              </w:rPr>
              <w:t>действие</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беременности</w:t>
            </w:r>
            <w:r>
              <w:rPr>
                <w:rFonts w:ascii="Verdana" w:cs="Verdana" w:eastAsia="Verdana" w:hAnsi="Verdana"/>
                <w:sz w:val="17"/>
                <w:szCs w:val="17"/>
                <w:color w:val="auto"/>
              </w:rPr>
              <w:t>,</w:t>
            </w:r>
            <w:r>
              <w:rPr>
                <w:rFonts w:ascii="Verdana" w:cs="Verdana" w:eastAsia="Verdana" w:hAnsi="Verdana"/>
                <w:sz w:val="17"/>
                <w:szCs w:val="17"/>
                <w:color w:val="auto"/>
              </w:rPr>
              <w:t xml:space="preserve"> низкие АРП</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прогестерона</w:t>
            </w:r>
          </w:p>
        </w:tc>
        <w:tc>
          <w:tcPr>
            <w:tcW w:w="660" w:type="dxa"/>
            <w:vAlign w:val="bottom"/>
          </w:tcPr>
          <w:p>
            <w:pPr>
              <w:spacing w:after="0"/>
              <w:rPr>
                <w:sz w:val="14"/>
                <w:szCs w:val="14"/>
                <w:color w:val="auto"/>
              </w:rPr>
            </w:pPr>
          </w:p>
        </w:tc>
        <w:tc>
          <w:tcPr>
            <w:tcW w:w="6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на</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spacing w:after="0"/>
              <w:rPr>
                <w:sz w:val="14"/>
                <w:szCs w:val="14"/>
                <w:color w:val="auto"/>
              </w:rPr>
            </w:pPr>
          </w:p>
        </w:tc>
        <w:tc>
          <w:tcPr>
            <w:tcW w:w="1220" w:type="dxa"/>
            <w:vAlign w:val="bottom"/>
            <w:tcBorders>
              <w:right w:val="single" w:sz="8" w:color="auto"/>
            </w:tcBorders>
          </w:tcPr>
          <w:p>
            <w:pPr>
              <w:spacing w:after="0"/>
              <w:rPr>
                <w:sz w:val="14"/>
                <w:szCs w:val="14"/>
                <w:color w:val="auto"/>
              </w:rPr>
            </w:pP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или КРП</w:t>
            </w:r>
            <w:r>
              <w:rPr>
                <w:rFonts w:ascii="Verdana" w:cs="Verdana" w:eastAsia="Verdana" w:hAnsi="Verdana"/>
                <w:sz w:val="17"/>
                <w:szCs w:val="17"/>
                <w:color w:val="auto"/>
              </w:rPr>
              <w:t>,</w:t>
            </w:r>
            <w:r>
              <w:rPr>
                <w:rFonts w:ascii="Verdana" w:cs="Verdana" w:eastAsia="Verdana" w:hAnsi="Verdana"/>
                <w:sz w:val="17"/>
                <w:szCs w:val="17"/>
                <w:color w:val="auto"/>
              </w:rPr>
              <w:t xml:space="preserve"> низкая КАП</w:t>
            </w:r>
          </w:p>
        </w:tc>
        <w:tc>
          <w:tcPr>
            <w:tcW w:w="2280" w:type="dxa"/>
            <w:vAlign w:val="bottom"/>
            <w:gridSpan w:val="2"/>
          </w:tcPr>
          <w:p>
            <w:pPr>
              <w:ind w:left="140"/>
              <w:spacing w:after="0" w:line="165" w:lineRule="exact"/>
              <w:rPr>
                <w:sz w:val="20"/>
                <w:szCs w:val="20"/>
                <w:color w:val="auto"/>
              </w:rPr>
            </w:pPr>
            <w:r>
              <w:rPr>
                <w:rFonts w:ascii="Verdana" w:cs="Verdana" w:eastAsia="Verdana" w:hAnsi="Verdana"/>
                <w:sz w:val="17"/>
                <w:szCs w:val="17"/>
                <w:color w:val="auto"/>
                <w:w w:val="99"/>
              </w:rPr>
              <w:t>минералокортикоидные</w:t>
            </w:r>
          </w:p>
        </w:tc>
        <w:tc>
          <w:tcPr>
            <w:tcW w:w="6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620" w:type="dxa"/>
            <w:vAlign w:val="bottom"/>
            <w:tcBorders>
              <w:lef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Pr>
          <w:p>
            <w:pPr>
              <w:spacing w:after="0"/>
              <w:rPr>
                <w:sz w:val="19"/>
                <w:szCs w:val="19"/>
                <w:color w:val="auto"/>
              </w:rPr>
            </w:pPr>
          </w:p>
        </w:tc>
        <w:tc>
          <w:tcPr>
            <w:tcW w:w="1060" w:type="dxa"/>
            <w:vAlign w:val="bottom"/>
            <w:tcBorders>
              <w:right w:val="single" w:sz="8" w:color="auto"/>
            </w:tcBorders>
          </w:tcPr>
          <w:p>
            <w:pPr>
              <w:spacing w:after="0"/>
              <w:rPr>
                <w:sz w:val="19"/>
                <w:szCs w:val="19"/>
                <w:color w:val="auto"/>
              </w:rPr>
            </w:pPr>
          </w:p>
        </w:tc>
        <w:tc>
          <w:tcPr>
            <w:tcW w:w="1620" w:type="dxa"/>
            <w:vAlign w:val="bottom"/>
          </w:tcPr>
          <w:p>
            <w:pPr>
              <w:ind w:left="140"/>
              <w:spacing w:after="0"/>
              <w:rPr>
                <w:sz w:val="20"/>
                <w:szCs w:val="20"/>
                <w:color w:val="auto"/>
              </w:rPr>
            </w:pPr>
            <w:r>
              <w:rPr>
                <w:rFonts w:ascii="Verdana" w:cs="Verdana" w:eastAsia="Verdana" w:hAnsi="Verdana"/>
                <w:sz w:val="17"/>
                <w:szCs w:val="17"/>
                <w:color w:val="auto"/>
              </w:rPr>
              <w:t>рецепторы</w:t>
            </w:r>
          </w:p>
        </w:tc>
        <w:tc>
          <w:tcPr>
            <w:tcW w:w="660" w:type="dxa"/>
            <w:vAlign w:val="bottom"/>
          </w:tcPr>
          <w:p>
            <w:pPr>
              <w:spacing w:after="0"/>
              <w:rPr>
                <w:sz w:val="19"/>
                <w:szCs w:val="19"/>
                <w:color w:val="auto"/>
              </w:rPr>
            </w:pPr>
          </w:p>
        </w:tc>
        <w:tc>
          <w:tcPr>
            <w:tcW w:w="6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620" w:type="dxa"/>
            <w:vAlign w:val="bottom"/>
            <w:tcBorders>
              <w:left w:val="single" w:sz="8" w:color="auto"/>
              <w:bottom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c>
          <w:tcPr>
            <w:tcW w:w="2880" w:type="dxa"/>
            <w:vAlign w:val="bottom"/>
            <w:tcBorders>
              <w:bottom w:val="single" w:sz="8" w:color="auto"/>
              <w:right w:val="single" w:sz="8" w:color="auto"/>
            </w:tcBorders>
            <w:gridSpan w:val="3"/>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1620" w:type="dxa"/>
            <w:vAlign w:val="bottom"/>
            <w:tcBorders>
              <w:left w:val="single" w:sz="8" w:color="auto"/>
            </w:tcBorders>
          </w:tcPr>
          <w:p>
            <w:pPr>
              <w:ind w:left="160"/>
              <w:spacing w:after="0"/>
              <w:rPr>
                <w:sz w:val="20"/>
                <w:szCs w:val="20"/>
                <w:color w:val="auto"/>
              </w:rPr>
            </w:pPr>
            <w:r>
              <w:rPr>
                <w:rFonts w:ascii="Verdana" w:cs="Verdana" w:eastAsia="Verdana" w:hAnsi="Verdana"/>
                <w:sz w:val="17"/>
                <w:szCs w:val="17"/>
                <w:color w:val="auto"/>
              </w:rPr>
              <w:t>Излечимый</w:t>
            </w:r>
          </w:p>
        </w:tc>
        <w:tc>
          <w:tcPr>
            <w:tcW w:w="1220" w:type="dxa"/>
            <w:vAlign w:val="bottom"/>
            <w:tcBorders>
              <w:right w:val="single" w:sz="8" w:color="auto"/>
            </w:tcBorders>
          </w:tcPr>
          <w:p>
            <w:pPr>
              <w:spacing w:after="0"/>
              <w:rPr>
                <w:sz w:val="24"/>
                <w:szCs w:val="24"/>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rPr>
              <w:t>Гипокалиемия</w:t>
            </w:r>
            <w:r>
              <w:rPr>
                <w:rFonts w:ascii="Verdana" w:cs="Verdana" w:eastAsia="Verdana" w:hAnsi="Verdana"/>
                <w:sz w:val="17"/>
                <w:szCs w:val="17"/>
                <w:color w:val="auto"/>
              </w:rPr>
              <w:t>,</w:t>
            </w:r>
          </w:p>
        </w:tc>
        <w:tc>
          <w:tcPr>
            <w:tcW w:w="1060" w:type="dxa"/>
            <w:vAlign w:val="bottom"/>
            <w:tcBorders>
              <w:right w:val="single" w:sz="8" w:color="auto"/>
            </w:tcBorders>
            <w:vMerge w:val="restart"/>
          </w:tcPr>
          <w:p>
            <w:pPr>
              <w:jc w:val="right"/>
              <w:ind w:right="97"/>
              <w:spacing w:after="0"/>
              <w:rPr>
                <w:sz w:val="20"/>
                <w:szCs w:val="20"/>
                <w:color w:val="auto"/>
              </w:rPr>
            </w:pPr>
            <w:r>
              <w:rPr>
                <w:rFonts w:ascii="Verdana" w:cs="Verdana" w:eastAsia="Verdana" w:hAnsi="Verdana"/>
                <w:sz w:val="17"/>
                <w:szCs w:val="17"/>
                <w:color w:val="auto"/>
              </w:rPr>
              <w:t>алкалоз</w:t>
            </w:r>
            <w:r>
              <w:rPr>
                <w:rFonts w:ascii="Verdana" w:cs="Verdana" w:eastAsia="Verdana" w:hAnsi="Verdana"/>
                <w:sz w:val="17"/>
                <w:szCs w:val="17"/>
                <w:color w:val="auto"/>
              </w:rPr>
              <w:t>,</w:t>
            </w:r>
          </w:p>
        </w:tc>
        <w:tc>
          <w:tcPr>
            <w:tcW w:w="2880" w:type="dxa"/>
            <w:vAlign w:val="bottom"/>
            <w:tcBorders>
              <w:right w:val="single" w:sz="8" w:color="auto"/>
            </w:tcBorders>
            <w:gridSpan w:val="3"/>
          </w:tcPr>
          <w:p>
            <w:pPr>
              <w:ind w:left="140"/>
              <w:spacing w:after="0"/>
              <w:rPr>
                <w:sz w:val="20"/>
                <w:szCs w:val="20"/>
                <w:color w:val="auto"/>
              </w:rPr>
            </w:pPr>
            <w:r>
              <w:rPr>
                <w:rFonts w:ascii="Verdana" w:cs="Verdana" w:eastAsia="Verdana" w:hAnsi="Verdana"/>
                <w:sz w:val="17"/>
                <w:szCs w:val="17"/>
                <w:color w:val="auto"/>
              </w:rPr>
              <w:t xml:space="preserve">Химеризация  гена  </w:t>
            </w:r>
            <w:r>
              <w:rPr>
                <w:rFonts w:ascii="Verdana" w:cs="Verdana" w:eastAsia="Verdana" w:hAnsi="Verdana"/>
                <w:sz w:val="17"/>
                <w:szCs w:val="17"/>
                <w:color w:val="auto"/>
              </w:rPr>
              <w:t>CYP11β1</w:t>
            </w:r>
          </w:p>
        </w:tc>
        <w:tc>
          <w:tcPr>
            <w:tcW w:w="0" w:type="dxa"/>
            <w:vAlign w:val="bottom"/>
          </w:tcPr>
          <w:p>
            <w:pPr>
              <w:spacing w:after="0"/>
              <w:rPr>
                <w:sz w:val="1"/>
                <w:szCs w:val="1"/>
                <w:color w:val="auto"/>
              </w:rPr>
            </w:pPr>
          </w:p>
        </w:tc>
      </w:tr>
      <w:tr>
        <w:trPr>
          <w:trHeight w:val="165"/>
        </w:trPr>
        <w:tc>
          <w:tcPr>
            <w:tcW w:w="2840" w:type="dxa"/>
            <w:vAlign w:val="bottom"/>
            <w:tcBorders>
              <w:left w:val="single" w:sz="8" w:color="auto"/>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глюкокортикоидами</w:t>
            </w:r>
          </w:p>
        </w:tc>
        <w:tc>
          <w:tcPr>
            <w:tcW w:w="1680" w:type="dxa"/>
            <w:vAlign w:val="bottom"/>
          </w:tcPr>
          <w:p>
            <w:pPr>
              <w:ind w:left="140"/>
              <w:spacing w:after="0" w:line="165" w:lineRule="exact"/>
              <w:rPr>
                <w:sz w:val="20"/>
                <w:szCs w:val="20"/>
                <w:color w:val="auto"/>
              </w:rPr>
            </w:pPr>
            <w:r>
              <w:rPr>
                <w:rFonts w:ascii="Verdana" w:cs="Verdana" w:eastAsia="Verdana" w:hAnsi="Verdana"/>
                <w:sz w:val="17"/>
                <w:szCs w:val="17"/>
                <w:color w:val="auto"/>
              </w:rPr>
              <w:t>метаболический</w:t>
            </w:r>
          </w:p>
        </w:tc>
        <w:tc>
          <w:tcPr>
            <w:tcW w:w="1060" w:type="dxa"/>
            <w:vAlign w:val="bottom"/>
            <w:tcBorders>
              <w:right w:val="single" w:sz="8" w:color="auto"/>
            </w:tcBorders>
            <w:vMerge w:val="continue"/>
          </w:tcPr>
          <w:p>
            <w:pPr>
              <w:spacing w:after="0"/>
              <w:rPr>
                <w:sz w:val="14"/>
                <w:szCs w:val="14"/>
                <w:color w:val="auto"/>
              </w:rPr>
            </w:pP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   CYP11β2;</w:t>
            </w:r>
          </w:p>
        </w:tc>
        <w:tc>
          <w:tcPr>
            <w:tcW w:w="660" w:type="dxa"/>
            <w:vAlign w:val="bottom"/>
          </w:tcPr>
          <w:p>
            <w:pPr>
              <w:spacing w:after="0" w:line="165" w:lineRule="exact"/>
              <w:rPr>
                <w:sz w:val="20"/>
                <w:szCs w:val="20"/>
                <w:color w:val="auto"/>
              </w:rPr>
            </w:pPr>
            <w:r>
              <w:rPr>
                <w:rFonts w:ascii="Verdana" w:cs="Verdana" w:eastAsia="Verdana" w:hAnsi="Verdana"/>
                <w:sz w:val="17"/>
                <w:szCs w:val="17"/>
                <w:color w:val="auto"/>
                <w:w w:val="96"/>
              </w:rPr>
              <w:t>эффект</w:t>
            </w:r>
          </w:p>
        </w:tc>
        <w:tc>
          <w:tcPr>
            <w:tcW w:w="600" w:type="dxa"/>
            <w:vAlign w:val="bottom"/>
            <w:tcBorders>
              <w:right w:val="single" w:sz="8" w:color="auto"/>
            </w:tcBorders>
          </w:tcPr>
          <w:p>
            <w:pPr>
              <w:jc w:val="right"/>
              <w:ind w:right="97"/>
              <w:spacing w:after="0" w:line="165" w:lineRule="exact"/>
              <w:rPr>
                <w:sz w:val="20"/>
                <w:szCs w:val="20"/>
                <w:color w:val="auto"/>
              </w:rPr>
            </w:pPr>
            <w:r>
              <w:rPr>
                <w:rFonts w:ascii="Verdana" w:cs="Verdana" w:eastAsia="Verdana" w:hAnsi="Verdana"/>
                <w:sz w:val="17"/>
                <w:szCs w:val="17"/>
                <w:color w:val="auto"/>
              </w:rPr>
              <w:t>от</w:t>
            </w:r>
          </w:p>
        </w:tc>
        <w:tc>
          <w:tcPr>
            <w:tcW w:w="0" w:type="dxa"/>
            <w:vAlign w:val="bottom"/>
          </w:tcPr>
          <w:p>
            <w:pPr>
              <w:spacing w:after="0"/>
              <w:rPr>
                <w:sz w:val="1"/>
                <w:szCs w:val="1"/>
                <w:color w:val="auto"/>
              </w:rPr>
            </w:pPr>
          </w:p>
        </w:tc>
      </w:tr>
      <w:tr>
        <w:trPr>
          <w:trHeight w:val="165"/>
        </w:trPr>
        <w:tc>
          <w:tcPr>
            <w:tcW w:w="1620" w:type="dxa"/>
            <w:vAlign w:val="bottom"/>
            <w:tcBorders>
              <w:left w:val="single" w:sz="8" w:color="auto"/>
            </w:tcBorders>
          </w:tcPr>
          <w:p>
            <w:pPr>
              <w:ind w:left="160"/>
              <w:spacing w:after="0" w:line="165" w:lineRule="exact"/>
              <w:rPr>
                <w:sz w:val="20"/>
                <w:szCs w:val="20"/>
                <w:color w:val="auto"/>
              </w:rPr>
            </w:pPr>
            <w:r>
              <w:rPr>
                <w:rFonts w:ascii="Verdana" w:cs="Verdana" w:eastAsia="Verdana" w:hAnsi="Verdana"/>
                <w:sz w:val="17"/>
                <w:szCs w:val="17"/>
                <w:color w:val="auto"/>
              </w:rPr>
              <w:t>альдостеронизм</w:t>
            </w:r>
          </w:p>
        </w:tc>
        <w:tc>
          <w:tcPr>
            <w:tcW w:w="1220" w:type="dxa"/>
            <w:vAlign w:val="bottom"/>
            <w:tcBorders>
              <w:right w:val="single" w:sz="8" w:color="auto"/>
            </w:tcBorders>
          </w:tcPr>
          <w:p>
            <w:pPr>
              <w:spacing w:after="0"/>
              <w:rPr>
                <w:sz w:val="14"/>
                <w:szCs w:val="14"/>
                <w:color w:val="auto"/>
              </w:rPr>
            </w:pPr>
          </w:p>
        </w:tc>
        <w:tc>
          <w:tcPr>
            <w:tcW w:w="2740" w:type="dxa"/>
            <w:vAlign w:val="bottom"/>
            <w:tcBorders>
              <w:right w:val="single" w:sz="8" w:color="auto"/>
            </w:tcBorders>
            <w:gridSpan w:val="2"/>
          </w:tcPr>
          <w:p>
            <w:pPr>
              <w:ind w:left="140"/>
              <w:spacing w:after="0" w:line="165" w:lineRule="exact"/>
              <w:rPr>
                <w:sz w:val="20"/>
                <w:szCs w:val="20"/>
                <w:color w:val="auto"/>
              </w:rPr>
            </w:pPr>
            <w:r>
              <w:rPr>
                <w:rFonts w:ascii="Verdana" w:cs="Verdana" w:eastAsia="Verdana" w:hAnsi="Verdana"/>
                <w:sz w:val="17"/>
                <w:szCs w:val="17"/>
                <w:color w:val="auto"/>
              </w:rPr>
              <w:t>низкие   АРП   или   КРП</w:t>
            </w:r>
            <w:r>
              <w:rPr>
                <w:rFonts w:ascii="Verdana" w:cs="Verdana" w:eastAsia="Verdana" w:hAnsi="Verdana"/>
                <w:sz w:val="17"/>
                <w:szCs w:val="17"/>
                <w:color w:val="auto"/>
              </w:rPr>
              <w:t>,</w:t>
            </w:r>
          </w:p>
        </w:tc>
        <w:tc>
          <w:tcPr>
            <w:tcW w:w="1620" w:type="dxa"/>
            <w:vAlign w:val="bottom"/>
          </w:tcPr>
          <w:p>
            <w:pPr>
              <w:ind w:left="140"/>
              <w:spacing w:after="0" w:line="165" w:lineRule="exact"/>
              <w:rPr>
                <w:sz w:val="20"/>
                <w:szCs w:val="20"/>
                <w:color w:val="auto"/>
              </w:rPr>
            </w:pPr>
            <w:r>
              <w:rPr>
                <w:rFonts w:ascii="Verdana" w:cs="Verdana" w:eastAsia="Verdana" w:hAnsi="Verdana"/>
                <w:sz w:val="17"/>
                <w:szCs w:val="17"/>
                <w:color w:val="auto"/>
              </w:rPr>
              <w:t>применения</w:t>
            </w:r>
          </w:p>
        </w:tc>
        <w:tc>
          <w:tcPr>
            <w:tcW w:w="660" w:type="dxa"/>
            <w:vAlign w:val="bottom"/>
          </w:tcPr>
          <w:p>
            <w:pPr>
              <w:spacing w:after="0"/>
              <w:rPr>
                <w:sz w:val="14"/>
                <w:szCs w:val="14"/>
                <w:color w:val="auto"/>
              </w:rPr>
            </w:pPr>
          </w:p>
        </w:tc>
        <w:tc>
          <w:tcPr>
            <w:tcW w:w="600" w:type="dxa"/>
            <w:vAlign w:val="bottom"/>
            <w:tcBorders>
              <w:right w:val="single" w:sz="8" w:color="auto"/>
            </w:tcBorders>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620" w:type="dxa"/>
            <w:vAlign w:val="bottom"/>
            <w:tcBorders>
              <w:left w:val="single" w:sz="8" w:color="auto"/>
            </w:tcBorders>
          </w:tcPr>
          <w:p>
            <w:pPr>
              <w:spacing w:after="0"/>
              <w:rPr>
                <w:sz w:val="19"/>
                <w:szCs w:val="19"/>
                <w:color w:val="auto"/>
              </w:rPr>
            </w:pPr>
          </w:p>
        </w:tc>
        <w:tc>
          <w:tcPr>
            <w:tcW w:w="1220" w:type="dxa"/>
            <w:vAlign w:val="bottom"/>
            <w:tcBorders>
              <w:right w:val="single" w:sz="8" w:color="auto"/>
            </w:tcBorders>
          </w:tcPr>
          <w:p>
            <w:pPr>
              <w:spacing w:after="0"/>
              <w:rPr>
                <w:sz w:val="19"/>
                <w:szCs w:val="19"/>
                <w:color w:val="auto"/>
              </w:rPr>
            </w:pPr>
          </w:p>
        </w:tc>
        <w:tc>
          <w:tcPr>
            <w:tcW w:w="1680" w:type="dxa"/>
            <w:vAlign w:val="bottom"/>
          </w:tcPr>
          <w:p>
            <w:pPr>
              <w:ind w:left="140"/>
              <w:spacing w:after="0"/>
              <w:rPr>
                <w:sz w:val="20"/>
                <w:szCs w:val="20"/>
                <w:color w:val="auto"/>
              </w:rPr>
            </w:pPr>
            <w:r>
              <w:rPr>
                <w:rFonts w:ascii="Verdana" w:cs="Verdana" w:eastAsia="Verdana" w:hAnsi="Verdana"/>
                <w:sz w:val="17"/>
                <w:szCs w:val="17"/>
                <w:color w:val="auto"/>
                <w:w w:val="98"/>
              </w:rPr>
              <w:t>повышенная КАП</w:t>
            </w:r>
          </w:p>
        </w:tc>
        <w:tc>
          <w:tcPr>
            <w:tcW w:w="1060" w:type="dxa"/>
            <w:vAlign w:val="bottom"/>
            <w:tcBorders>
              <w:right w:val="single" w:sz="8" w:color="auto"/>
            </w:tcBorders>
          </w:tcPr>
          <w:p>
            <w:pPr>
              <w:spacing w:after="0"/>
              <w:rPr>
                <w:sz w:val="19"/>
                <w:szCs w:val="19"/>
                <w:color w:val="auto"/>
              </w:rPr>
            </w:pPr>
          </w:p>
        </w:tc>
        <w:tc>
          <w:tcPr>
            <w:tcW w:w="2280" w:type="dxa"/>
            <w:vAlign w:val="bottom"/>
            <w:gridSpan w:val="2"/>
          </w:tcPr>
          <w:p>
            <w:pPr>
              <w:ind w:left="140"/>
              <w:spacing w:after="0"/>
              <w:rPr>
                <w:sz w:val="20"/>
                <w:szCs w:val="20"/>
                <w:color w:val="auto"/>
              </w:rPr>
            </w:pPr>
            <w:r>
              <w:rPr>
                <w:rFonts w:ascii="Verdana" w:cs="Verdana" w:eastAsia="Verdana" w:hAnsi="Verdana"/>
                <w:sz w:val="17"/>
                <w:szCs w:val="17"/>
                <w:color w:val="auto"/>
              </w:rPr>
              <w:t>глюкокортикоидов</w:t>
            </w:r>
          </w:p>
        </w:tc>
        <w:tc>
          <w:tcPr>
            <w:tcW w:w="600" w:type="dxa"/>
            <w:vAlign w:val="bottom"/>
            <w:tcBorders>
              <w:right w:val="single" w:sz="8" w:color="auto"/>
            </w:tcBorders>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620" w:type="dxa"/>
            <w:vAlign w:val="bottom"/>
            <w:tcBorders>
              <w:left w:val="single" w:sz="8" w:color="auto"/>
              <w:bottom w:val="single" w:sz="8" w:color="auto"/>
            </w:tcBorders>
          </w:tcPr>
          <w:p>
            <w:pPr>
              <w:spacing w:after="0"/>
              <w:rPr>
                <w:sz w:val="9"/>
                <w:szCs w:val="9"/>
                <w:color w:val="auto"/>
              </w:rPr>
            </w:pPr>
          </w:p>
        </w:tc>
        <w:tc>
          <w:tcPr>
            <w:tcW w:w="1220" w:type="dxa"/>
            <w:vAlign w:val="bottom"/>
            <w:tcBorders>
              <w:bottom w:val="single" w:sz="8" w:color="auto"/>
              <w:right w:val="single" w:sz="8" w:color="auto"/>
            </w:tcBorders>
          </w:tcPr>
          <w:p>
            <w:pPr>
              <w:spacing w:after="0"/>
              <w:rPr>
                <w:sz w:val="9"/>
                <w:szCs w:val="9"/>
                <w:color w:val="auto"/>
              </w:rPr>
            </w:pPr>
          </w:p>
        </w:tc>
        <w:tc>
          <w:tcPr>
            <w:tcW w:w="1680" w:type="dxa"/>
            <w:vAlign w:val="bottom"/>
            <w:tcBorders>
              <w:bottom w:val="single" w:sz="8" w:color="auto"/>
            </w:tcBorders>
          </w:tcPr>
          <w:p>
            <w:pPr>
              <w:spacing w:after="0"/>
              <w:rPr>
                <w:sz w:val="9"/>
                <w:szCs w:val="9"/>
                <w:color w:val="auto"/>
              </w:rPr>
            </w:pPr>
          </w:p>
        </w:tc>
        <w:tc>
          <w:tcPr>
            <w:tcW w:w="1060" w:type="dxa"/>
            <w:vAlign w:val="bottom"/>
            <w:tcBorders>
              <w:bottom w:val="single" w:sz="8" w:color="auto"/>
              <w:right w:val="single" w:sz="8" w:color="auto"/>
            </w:tcBorders>
          </w:tcPr>
          <w:p>
            <w:pPr>
              <w:spacing w:after="0"/>
              <w:rPr>
                <w:sz w:val="9"/>
                <w:szCs w:val="9"/>
                <w:color w:val="auto"/>
              </w:rPr>
            </w:pPr>
          </w:p>
        </w:tc>
        <w:tc>
          <w:tcPr>
            <w:tcW w:w="1620" w:type="dxa"/>
            <w:vAlign w:val="bottom"/>
            <w:tcBorders>
              <w:bottom w:val="single" w:sz="8" w:color="auto"/>
            </w:tcBorders>
          </w:tcPr>
          <w:p>
            <w:pPr>
              <w:spacing w:after="0"/>
              <w:rPr>
                <w:sz w:val="9"/>
                <w:szCs w:val="9"/>
                <w:color w:val="auto"/>
              </w:rPr>
            </w:pPr>
          </w:p>
        </w:tc>
        <w:tc>
          <w:tcPr>
            <w:tcW w:w="660" w:type="dxa"/>
            <w:vAlign w:val="bottom"/>
            <w:tcBorders>
              <w:bottom w:val="single" w:sz="8" w:color="auto"/>
            </w:tcBorders>
          </w:tcPr>
          <w:p>
            <w:pPr>
              <w:spacing w:after="0"/>
              <w:rPr>
                <w:sz w:val="9"/>
                <w:szCs w:val="9"/>
                <w:color w:val="auto"/>
              </w:rPr>
            </w:pPr>
          </w:p>
        </w:tc>
        <w:tc>
          <w:tcPr>
            <w:tcW w:w="600" w:type="dxa"/>
            <w:vAlign w:val="bottom"/>
            <w:tcBorders>
              <w:bottom w:val="single" w:sz="8" w:color="auto"/>
              <w:right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19" w:lineRule="exact"/>
        <w:rPr>
          <w:sz w:val="20"/>
          <w:szCs w:val="20"/>
          <w:color w:val="auto"/>
        </w:rPr>
      </w:pPr>
    </w:p>
    <w:p>
      <w:pPr>
        <w:jc w:val="both"/>
        <w:ind w:left="360" w:right="220"/>
        <w:spacing w:after="0" w:line="334" w:lineRule="auto"/>
        <w:rPr>
          <w:sz w:val="20"/>
          <w:szCs w:val="20"/>
          <w:color w:val="auto"/>
        </w:rPr>
      </w:pPr>
      <w:r>
        <w:rPr>
          <w:rFonts w:ascii="Arial" w:cs="Arial" w:eastAsia="Arial" w:hAnsi="Arial"/>
          <w:sz w:val="27"/>
          <w:szCs w:val="27"/>
          <w:color w:val="auto"/>
        </w:rPr>
        <w:t xml:space="preserve">АРП </w:t>
      </w:r>
      <w:r>
        <w:rPr>
          <w:rFonts w:ascii="Arial" w:cs="Arial" w:eastAsia="Arial" w:hAnsi="Arial"/>
          <w:sz w:val="27"/>
          <w:szCs w:val="27"/>
          <w:color w:val="auto"/>
        </w:rPr>
        <w:t>—</w:t>
      </w:r>
      <w:r>
        <w:rPr>
          <w:rFonts w:ascii="Arial" w:cs="Arial" w:eastAsia="Arial" w:hAnsi="Arial"/>
          <w:sz w:val="27"/>
          <w:szCs w:val="27"/>
          <w:color w:val="auto"/>
        </w:rPr>
        <w:t xml:space="preserve"> активность ренина плазмы</w:t>
      </w:r>
      <w:r>
        <w:rPr>
          <w:rFonts w:ascii="Arial" w:cs="Arial" w:eastAsia="Arial" w:hAnsi="Arial"/>
          <w:sz w:val="27"/>
          <w:szCs w:val="27"/>
          <w:color w:val="auto"/>
        </w:rPr>
        <w:t>,</w:t>
      </w:r>
      <w:r>
        <w:rPr>
          <w:rFonts w:ascii="Arial" w:cs="Arial" w:eastAsia="Arial" w:hAnsi="Arial"/>
          <w:sz w:val="27"/>
          <w:szCs w:val="27"/>
          <w:color w:val="auto"/>
        </w:rPr>
        <w:t xml:space="preserve"> КАП </w:t>
      </w:r>
      <w:r>
        <w:rPr>
          <w:rFonts w:ascii="Arial" w:cs="Arial" w:eastAsia="Arial" w:hAnsi="Arial"/>
          <w:sz w:val="27"/>
          <w:szCs w:val="27"/>
          <w:color w:val="auto"/>
        </w:rPr>
        <w:t>—</w:t>
      </w:r>
      <w:r>
        <w:rPr>
          <w:rFonts w:ascii="Arial" w:cs="Arial" w:eastAsia="Arial" w:hAnsi="Arial"/>
          <w:sz w:val="27"/>
          <w:szCs w:val="27"/>
          <w:color w:val="auto"/>
        </w:rPr>
        <w:t xml:space="preserve"> концентрация альдостерона плазмы</w:t>
      </w:r>
      <w:r>
        <w:rPr>
          <w:rFonts w:ascii="Arial" w:cs="Arial" w:eastAsia="Arial" w:hAnsi="Arial"/>
          <w:sz w:val="27"/>
          <w:szCs w:val="27"/>
          <w:color w:val="auto"/>
        </w:rPr>
        <w:t>,</w:t>
      </w:r>
      <w:r>
        <w:rPr>
          <w:rFonts w:ascii="Arial" w:cs="Arial" w:eastAsia="Arial" w:hAnsi="Arial"/>
          <w:sz w:val="27"/>
          <w:szCs w:val="27"/>
          <w:color w:val="auto"/>
        </w:rPr>
        <w:t xml:space="preserve"> КРП </w:t>
      </w:r>
      <w:r>
        <w:rPr>
          <w:rFonts w:ascii="Arial" w:cs="Arial" w:eastAsia="Arial" w:hAnsi="Arial"/>
          <w:sz w:val="27"/>
          <w:szCs w:val="27"/>
          <w:color w:val="auto"/>
        </w:rPr>
        <w:t>—</w:t>
      </w:r>
      <w:r>
        <w:rPr>
          <w:rFonts w:ascii="Arial" w:cs="Arial" w:eastAsia="Arial" w:hAnsi="Arial"/>
          <w:sz w:val="27"/>
          <w:szCs w:val="27"/>
          <w:color w:val="auto"/>
        </w:rPr>
        <w:t xml:space="preserve"> концентрация ренина плазмы</w:t>
      </w:r>
      <w:r>
        <w:rPr>
          <w:rFonts w:ascii="Arial" w:cs="Arial" w:eastAsia="Arial" w:hAnsi="Arial"/>
          <w:sz w:val="27"/>
          <w:szCs w:val="27"/>
          <w:color w:val="auto"/>
        </w:rPr>
        <w:t>.</w:t>
      </w:r>
    </w:p>
    <w:p>
      <w:pPr>
        <w:sectPr>
          <w:pgSz w:w="11900" w:h="16840" w:orient="portrait"/>
          <w:cols w:equalWidth="0" w:num="1">
            <w:col w:w="9020"/>
          </w:cols>
          <w:pgMar w:left="1440" w:top="19" w:right="1440" w:bottom="70" w:gutter="0" w:footer="0" w:header="0"/>
        </w:sectPr>
      </w:pPr>
    </w:p>
    <w:bookmarkStart w:id="160" w:name="page161"/>
    <w:bookmarkEnd w:id="160"/>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3/</w:t>
      </w:r>
      <w:r>
        <w:rPr>
          <w:rFonts w:ascii="Arial" w:cs="Arial" w:eastAsia="Arial" w:hAnsi="Arial"/>
          <w:sz w:val="27"/>
          <w:szCs w:val="27"/>
          <w:b w:val="1"/>
          <w:bCs w:val="1"/>
          <w:color w:val="auto"/>
        </w:rPr>
        <w:t>Г</w:t>
      </w:r>
      <w:r>
        <w:rPr>
          <w:rFonts w:ascii="Arial" w:cs="Arial" w:eastAsia="Arial" w:hAnsi="Arial"/>
          <w:sz w:val="27"/>
          <w:szCs w:val="27"/>
          <w:b w:val="1"/>
          <w:bCs w:val="1"/>
          <w:color w:val="auto"/>
        </w:rPr>
        <w:t>5.</w:t>
      </w:r>
      <w:r>
        <w:rPr>
          <w:rFonts w:ascii="Arial" w:cs="Arial" w:eastAsia="Arial" w:hAnsi="Arial"/>
          <w:sz w:val="27"/>
          <w:szCs w:val="27"/>
          <w:b w:val="1"/>
          <w:bCs w:val="1"/>
          <w:color w:val="auto"/>
        </w:rPr>
        <w:t xml:space="preserve"> Лекарственные препараты и другие субстанции</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приводящие к повышению артериального давления</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116205</wp:posOffset>
            </wp:positionV>
            <wp:extent cx="5365115" cy="4631055"/>
            <wp:wrapNone/>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411">
                      <a:extLst>
                        <a:ext uri="{28A0092B-C50C-407E-A947-70E740481C1C}"/>
                      </a:extLst>
                    </a:blip>
                    <a:srcRect/>
                    <a:stretch>
                      <a:fillRect/>
                    </a:stretch>
                  </pic:blipFill>
                  <pic:spPr bwMode="auto">
                    <a:xfrm>
                      <a:off x="0" y="0"/>
                      <a:ext cx="5365115" cy="4631055"/>
                    </a:xfrm>
                    <a:prstGeom prst="rect">
                      <a:avLst/>
                    </a:prstGeom>
                    <a:noFill/>
                  </pic:spPr>
                </pic:pic>
              </a:graphicData>
            </a:graphic>
          </wp:anchor>
        </w:drawing>
      </w:r>
    </w:p>
    <w:p>
      <w:pPr>
        <w:spacing w:after="0" w:line="302"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Препарат</w:t>
      </w:r>
      <w:r>
        <w:rPr>
          <w:rFonts w:ascii="Verdana" w:cs="Verdana" w:eastAsia="Verdana" w:hAnsi="Verdana"/>
          <w:sz w:val="17"/>
          <w:szCs w:val="17"/>
          <w:b w:val="1"/>
          <w:bCs w:val="1"/>
          <w:color w:val="auto"/>
        </w:rPr>
        <w:t>/</w:t>
      </w:r>
      <w:r>
        <w:rPr>
          <w:rFonts w:ascii="Verdana" w:cs="Verdana" w:eastAsia="Verdana" w:hAnsi="Verdana"/>
          <w:sz w:val="17"/>
          <w:szCs w:val="17"/>
          <w:b w:val="1"/>
          <w:bCs w:val="1"/>
          <w:color w:val="auto"/>
        </w:rPr>
        <w:t>субстанция</w:t>
      </w:r>
    </w:p>
    <w:p>
      <w:pPr>
        <w:spacing w:after="0" w:line="114" w:lineRule="exact"/>
        <w:rPr>
          <w:sz w:val="20"/>
          <w:szCs w:val="20"/>
          <w:color w:val="auto"/>
        </w:rPr>
      </w:pPr>
    </w:p>
    <w:tbl>
      <w:tblPr>
        <w:tblLayout w:type="fixed"/>
        <w:tblInd w:w="360" w:type="dxa"/>
        <w:tblCellMar>
          <w:top w:w="0" w:type="dxa"/>
          <w:left w:w="0" w:type="dxa"/>
          <w:bottom w:w="0" w:type="dxa"/>
          <w:right w:w="0" w:type="dxa"/>
        </w:tblCellMar>
      </w:tblPr>
      <w:tr>
        <w:trPr>
          <w:trHeight w:val="315"/>
        </w:trPr>
        <w:tc>
          <w:tcPr>
            <w:tcW w:w="3180" w:type="dxa"/>
            <w:vAlign w:val="bottom"/>
            <w:tcBorders>
              <w:top w:val="single" w:sz="8" w:color="auto"/>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Оральные контрацептивы</w:t>
            </w:r>
          </w:p>
        </w:tc>
        <w:tc>
          <w:tcPr>
            <w:tcW w:w="5260" w:type="dxa"/>
            <w:vAlign w:val="bottom"/>
            <w:tcBorders>
              <w:top w:val="single" w:sz="8" w:color="auto"/>
            </w:tcBorders>
            <w:gridSpan w:val="8"/>
          </w:tcPr>
          <w:p>
            <w:pPr>
              <w:ind w:left="160"/>
              <w:spacing w:after="0"/>
              <w:rPr>
                <w:sz w:val="20"/>
                <w:szCs w:val="20"/>
                <w:color w:val="auto"/>
              </w:rPr>
            </w:pPr>
            <w:r>
              <w:rPr>
                <w:rFonts w:ascii="Verdana" w:cs="Verdana" w:eastAsia="Verdana" w:hAnsi="Verdana"/>
                <w:sz w:val="17"/>
                <w:szCs w:val="17"/>
                <w:color w:val="auto"/>
              </w:rPr>
              <w:t>Особенно с содержанием эстрогенов</w:t>
            </w:r>
            <w:r>
              <w:rPr>
                <w:rFonts w:ascii="Verdana" w:cs="Verdana" w:eastAsia="Verdana" w:hAnsi="Verdana"/>
                <w:sz w:val="17"/>
                <w:szCs w:val="17"/>
                <w:color w:val="auto"/>
              </w:rPr>
              <w:t>;</w:t>
            </w:r>
            <w:r>
              <w:rPr>
                <w:rFonts w:ascii="Verdana" w:cs="Verdana" w:eastAsia="Verdana" w:hAnsi="Verdana"/>
                <w:sz w:val="17"/>
                <w:szCs w:val="17"/>
                <w:color w:val="auto"/>
              </w:rPr>
              <w:t xml:space="preserve"> вызывают АГ </w:t>
            </w:r>
            <w:r>
              <w:rPr>
                <w:rFonts w:ascii="Verdana" w:cs="Verdana" w:eastAsia="Verdana" w:hAnsi="Verdana"/>
                <w:sz w:val="17"/>
                <w:szCs w:val="17"/>
                <w:color w:val="auto"/>
              </w:rPr>
              <w:t>~</w:t>
            </w:r>
            <w:r>
              <w:rPr>
                <w:rFonts w:ascii="Verdana" w:cs="Verdana" w:eastAsia="Verdana" w:hAnsi="Verdana"/>
                <w:sz w:val="17"/>
                <w:szCs w:val="17"/>
                <w:color w:val="auto"/>
              </w:rPr>
              <w:t xml:space="preserve"> у</w:t>
            </w:r>
          </w:p>
        </w:tc>
        <w:tc>
          <w:tcPr>
            <w:tcW w:w="0" w:type="dxa"/>
            <w:vAlign w:val="bottom"/>
          </w:tcPr>
          <w:p>
            <w:pPr>
              <w:spacing w:after="0"/>
              <w:rPr>
                <w:sz w:val="1"/>
                <w:szCs w:val="1"/>
                <w:color w:val="auto"/>
              </w:rPr>
            </w:pPr>
          </w:p>
        </w:tc>
      </w:tr>
      <w:tr>
        <w:trPr>
          <w:trHeight w:val="220"/>
        </w:trPr>
        <w:tc>
          <w:tcPr>
            <w:tcW w:w="1500" w:type="dxa"/>
            <w:vAlign w:val="bottom"/>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4840" w:type="dxa"/>
            <w:vAlign w:val="bottom"/>
            <w:gridSpan w:val="7"/>
          </w:tcPr>
          <w:p>
            <w:pPr>
              <w:ind w:left="160"/>
              <w:spacing w:after="0"/>
              <w:rPr>
                <w:sz w:val="20"/>
                <w:szCs w:val="20"/>
                <w:color w:val="auto"/>
              </w:rPr>
            </w:pPr>
            <w:r>
              <w:rPr>
                <w:rFonts w:ascii="Verdana" w:cs="Verdana" w:eastAsia="Verdana" w:hAnsi="Verdana"/>
                <w:sz w:val="17"/>
                <w:szCs w:val="17"/>
                <w:color w:val="auto"/>
                <w:w w:val="98"/>
              </w:rPr>
              <w:t xml:space="preserve">5% </w:t>
            </w:r>
            <w:r>
              <w:rPr>
                <w:rFonts w:ascii="Verdana" w:cs="Verdana" w:eastAsia="Verdana" w:hAnsi="Verdana"/>
                <w:sz w:val="17"/>
                <w:szCs w:val="17"/>
                <w:color w:val="auto"/>
                <w:w w:val="98"/>
              </w:rPr>
              <w:t>женщин</w:t>
            </w:r>
            <w:r>
              <w:rPr>
                <w:rFonts w:ascii="Verdana" w:cs="Verdana" w:eastAsia="Verdana" w:hAnsi="Verdana"/>
                <w:sz w:val="17"/>
                <w:szCs w:val="17"/>
                <w:color w:val="auto"/>
                <w:w w:val="98"/>
              </w:rPr>
              <w:t xml:space="preserve">, </w:t>
            </w:r>
            <w:r>
              <w:rPr>
                <w:rFonts w:ascii="Verdana" w:cs="Verdana" w:eastAsia="Verdana" w:hAnsi="Verdana"/>
                <w:sz w:val="17"/>
                <w:szCs w:val="17"/>
                <w:color w:val="auto"/>
                <w:w w:val="98"/>
              </w:rPr>
              <w:t>обычно легкую</w:t>
            </w:r>
            <w:r>
              <w:rPr>
                <w:rFonts w:ascii="Verdana" w:cs="Verdana" w:eastAsia="Verdana" w:hAnsi="Verdana"/>
                <w:sz w:val="17"/>
                <w:szCs w:val="17"/>
                <w:color w:val="auto"/>
                <w:w w:val="98"/>
              </w:rPr>
              <w:t xml:space="preserve">, </w:t>
            </w:r>
            <w:r>
              <w:rPr>
                <w:rFonts w:ascii="Verdana" w:cs="Verdana" w:eastAsia="Verdana" w:hAnsi="Verdana"/>
                <w:sz w:val="17"/>
                <w:szCs w:val="17"/>
                <w:color w:val="auto"/>
                <w:w w:val="98"/>
              </w:rPr>
              <w:t>но возможна и тяжелая</w:t>
            </w: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3180" w:type="dxa"/>
            <w:vAlign w:val="bottom"/>
            <w:tcBorders>
              <w:bottom w:val="single" w:sz="8" w:color="auto"/>
              <w:right w:val="single" w:sz="8" w:color="auto"/>
            </w:tcBorders>
            <w:gridSpan w:val="2"/>
          </w:tcPr>
          <w:p>
            <w:pPr>
              <w:spacing w:after="0"/>
              <w:rPr>
                <w:sz w:val="9"/>
                <w:szCs w:val="9"/>
                <w:color w:val="auto"/>
              </w:rPr>
            </w:pPr>
          </w:p>
        </w:tc>
        <w:tc>
          <w:tcPr>
            <w:tcW w:w="4840" w:type="dxa"/>
            <w:vAlign w:val="bottom"/>
            <w:tcBorders>
              <w:bottom w:val="single" w:sz="8" w:color="auto"/>
            </w:tcBorders>
            <w:gridSpan w:val="7"/>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343"/>
        </w:trPr>
        <w:tc>
          <w:tcPr>
            <w:tcW w:w="3180" w:type="dxa"/>
            <w:vAlign w:val="bottom"/>
            <w:tcBorders>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Препараты для снижения веса</w:t>
            </w:r>
          </w:p>
        </w:tc>
        <w:tc>
          <w:tcPr>
            <w:tcW w:w="4840" w:type="dxa"/>
            <w:vAlign w:val="bottom"/>
            <w:gridSpan w:val="7"/>
          </w:tcPr>
          <w:p>
            <w:pPr>
              <w:ind w:left="160"/>
              <w:spacing w:after="0"/>
              <w:rPr>
                <w:sz w:val="20"/>
                <w:szCs w:val="20"/>
                <w:color w:val="auto"/>
              </w:rPr>
            </w:pP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фенилпропаноламин и сибутрамин</w:t>
            </w:r>
          </w:p>
        </w:tc>
        <w:tc>
          <w:tcPr>
            <w:tcW w:w="42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17"/>
        </w:trPr>
        <w:tc>
          <w:tcPr>
            <w:tcW w:w="1500" w:type="dxa"/>
            <w:vAlign w:val="bottom"/>
            <w:tcBorders>
              <w:bottom w:val="single" w:sz="8" w:color="auto"/>
            </w:tcBorders>
          </w:tcPr>
          <w:p>
            <w:pPr>
              <w:spacing w:after="0"/>
              <w:rPr>
                <w:sz w:val="10"/>
                <w:szCs w:val="10"/>
                <w:color w:val="auto"/>
              </w:rPr>
            </w:pPr>
          </w:p>
        </w:tc>
        <w:tc>
          <w:tcPr>
            <w:tcW w:w="1680" w:type="dxa"/>
            <w:vAlign w:val="bottom"/>
            <w:tcBorders>
              <w:bottom w:val="single" w:sz="8" w:color="auto"/>
              <w:right w:val="single" w:sz="8" w:color="auto"/>
            </w:tcBorders>
          </w:tcPr>
          <w:p>
            <w:pPr>
              <w:spacing w:after="0"/>
              <w:rPr>
                <w:sz w:val="10"/>
                <w:szCs w:val="10"/>
                <w:color w:val="auto"/>
              </w:rPr>
            </w:pPr>
          </w:p>
        </w:tc>
        <w:tc>
          <w:tcPr>
            <w:tcW w:w="5260" w:type="dxa"/>
            <w:vAlign w:val="bottom"/>
            <w:tcBorders>
              <w:bottom w:val="single" w:sz="8" w:color="auto"/>
            </w:tcBorders>
            <w:gridSpan w:val="8"/>
          </w:tcPr>
          <w:p>
            <w:pPr>
              <w:spacing w:after="0"/>
              <w:rPr>
                <w:sz w:val="10"/>
                <w:szCs w:val="10"/>
                <w:color w:val="auto"/>
              </w:rPr>
            </w:pPr>
          </w:p>
        </w:tc>
        <w:tc>
          <w:tcPr>
            <w:tcW w:w="0" w:type="dxa"/>
            <w:vAlign w:val="bottom"/>
          </w:tcPr>
          <w:p>
            <w:pPr>
              <w:spacing w:after="0"/>
              <w:rPr>
                <w:sz w:val="1"/>
                <w:szCs w:val="1"/>
                <w:color w:val="auto"/>
              </w:rPr>
            </w:pPr>
          </w:p>
        </w:tc>
      </w:tr>
      <w:tr>
        <w:trPr>
          <w:trHeight w:val="295"/>
        </w:trPr>
        <w:tc>
          <w:tcPr>
            <w:tcW w:w="1500" w:type="dxa"/>
            <w:vAlign w:val="bottom"/>
          </w:tcPr>
          <w:p>
            <w:pPr>
              <w:ind w:left="160"/>
              <w:spacing w:after="0"/>
              <w:rPr>
                <w:sz w:val="20"/>
                <w:szCs w:val="20"/>
                <w:color w:val="auto"/>
              </w:rPr>
            </w:pPr>
            <w:r>
              <w:rPr>
                <w:rFonts w:ascii="Verdana" w:cs="Verdana" w:eastAsia="Verdana" w:hAnsi="Verdana"/>
                <w:sz w:val="17"/>
                <w:szCs w:val="17"/>
                <w:color w:val="auto"/>
              </w:rPr>
              <w:t>Назальные</w:t>
            </w:r>
          </w:p>
        </w:tc>
        <w:tc>
          <w:tcPr>
            <w:tcW w:w="1680" w:type="dxa"/>
            <w:vAlign w:val="bottom"/>
            <w:tcBorders>
              <w:right w:val="single" w:sz="8" w:color="auto"/>
            </w:tcBorders>
          </w:tcPr>
          <w:p>
            <w:pPr>
              <w:ind w:left="100"/>
              <w:spacing w:after="0"/>
              <w:rPr>
                <w:sz w:val="20"/>
                <w:szCs w:val="20"/>
                <w:color w:val="auto"/>
              </w:rPr>
            </w:pPr>
            <w:r>
              <w:rPr>
                <w:rFonts w:ascii="Verdana" w:cs="Verdana" w:eastAsia="Verdana" w:hAnsi="Verdana"/>
                <w:sz w:val="17"/>
                <w:szCs w:val="17"/>
                <w:color w:val="auto"/>
              </w:rPr>
              <w:t>противоотечные</w:t>
            </w:r>
          </w:p>
        </w:tc>
        <w:tc>
          <w:tcPr>
            <w:tcW w:w="5260" w:type="dxa"/>
            <w:vAlign w:val="bottom"/>
            <w:gridSpan w:val="8"/>
          </w:tcPr>
          <w:p>
            <w:pPr>
              <w:ind w:left="160"/>
              <w:spacing w:after="0"/>
              <w:rPr>
                <w:sz w:val="20"/>
                <w:szCs w:val="20"/>
                <w:color w:val="auto"/>
              </w:rPr>
            </w:pP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фенилэфрина  гидрохлорид  и  нафазолина</w:t>
            </w:r>
          </w:p>
        </w:tc>
        <w:tc>
          <w:tcPr>
            <w:tcW w:w="0" w:type="dxa"/>
            <w:vAlign w:val="bottom"/>
          </w:tcPr>
          <w:p>
            <w:pPr>
              <w:spacing w:after="0"/>
              <w:rPr>
                <w:sz w:val="1"/>
                <w:szCs w:val="1"/>
                <w:color w:val="auto"/>
              </w:rPr>
            </w:pPr>
          </w:p>
        </w:tc>
      </w:tr>
      <w:tr>
        <w:trPr>
          <w:trHeight w:val="220"/>
        </w:trPr>
        <w:tc>
          <w:tcPr>
            <w:tcW w:w="1500" w:type="dxa"/>
            <w:vAlign w:val="bottom"/>
          </w:tcPr>
          <w:p>
            <w:pPr>
              <w:ind w:left="160"/>
              <w:spacing w:after="0"/>
              <w:rPr>
                <w:sz w:val="20"/>
                <w:szCs w:val="20"/>
                <w:color w:val="auto"/>
              </w:rPr>
            </w:pPr>
            <w:r>
              <w:rPr>
                <w:rFonts w:ascii="Verdana" w:cs="Verdana" w:eastAsia="Verdana" w:hAnsi="Verdana"/>
                <w:sz w:val="17"/>
                <w:szCs w:val="17"/>
                <w:color w:val="auto"/>
              </w:rPr>
              <w:t>препараты</w:t>
            </w:r>
          </w:p>
        </w:tc>
        <w:tc>
          <w:tcPr>
            <w:tcW w:w="1680" w:type="dxa"/>
            <w:vAlign w:val="bottom"/>
            <w:tcBorders>
              <w:right w:val="single" w:sz="8" w:color="auto"/>
            </w:tcBorders>
          </w:tcPr>
          <w:p>
            <w:pPr>
              <w:spacing w:after="0"/>
              <w:rPr>
                <w:sz w:val="19"/>
                <w:szCs w:val="19"/>
                <w:color w:val="auto"/>
              </w:rPr>
            </w:pPr>
          </w:p>
        </w:tc>
        <w:tc>
          <w:tcPr>
            <w:tcW w:w="1300" w:type="dxa"/>
            <w:vAlign w:val="bottom"/>
          </w:tcPr>
          <w:p>
            <w:pPr>
              <w:ind w:left="160"/>
              <w:spacing w:after="0"/>
              <w:rPr>
                <w:sz w:val="20"/>
                <w:szCs w:val="20"/>
                <w:color w:val="auto"/>
              </w:rPr>
            </w:pPr>
            <w:r>
              <w:rPr>
                <w:rFonts w:ascii="Verdana" w:cs="Verdana" w:eastAsia="Verdana" w:hAnsi="Verdana"/>
                <w:sz w:val="17"/>
                <w:szCs w:val="17"/>
                <w:color w:val="auto"/>
                <w:w w:val="98"/>
              </w:rPr>
              <w:t>гидрохлорид</w:t>
            </w:r>
          </w:p>
        </w:tc>
        <w:tc>
          <w:tcPr>
            <w:tcW w:w="240" w:type="dxa"/>
            <w:vAlign w:val="bottom"/>
          </w:tcPr>
          <w:p>
            <w:pPr>
              <w:spacing w:after="0"/>
              <w:rPr>
                <w:sz w:val="19"/>
                <w:szCs w:val="19"/>
                <w:color w:val="auto"/>
              </w:rPr>
            </w:pPr>
          </w:p>
        </w:tc>
        <w:tc>
          <w:tcPr>
            <w:tcW w:w="700" w:type="dxa"/>
            <w:vAlign w:val="bottom"/>
          </w:tcPr>
          <w:p>
            <w:pPr>
              <w:spacing w:after="0"/>
              <w:rPr>
                <w:sz w:val="19"/>
                <w:szCs w:val="19"/>
                <w:color w:val="auto"/>
              </w:rPr>
            </w:pPr>
          </w:p>
        </w:tc>
        <w:tc>
          <w:tcPr>
            <w:tcW w:w="540" w:type="dxa"/>
            <w:vAlign w:val="bottom"/>
          </w:tcPr>
          <w:p>
            <w:pPr>
              <w:spacing w:after="0"/>
              <w:rPr>
                <w:sz w:val="19"/>
                <w:szCs w:val="19"/>
                <w:color w:val="auto"/>
              </w:rPr>
            </w:pPr>
          </w:p>
        </w:tc>
        <w:tc>
          <w:tcPr>
            <w:tcW w:w="86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500" w:type="dxa"/>
            <w:vAlign w:val="bottom"/>
            <w:tcBorders>
              <w:bottom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5260" w:type="dxa"/>
            <w:vAlign w:val="bottom"/>
            <w:tcBorders>
              <w:bottom w:val="single" w:sz="8" w:color="auto"/>
            </w:tcBorders>
            <w:gridSpan w:val="8"/>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1500" w:type="dxa"/>
            <w:vAlign w:val="bottom"/>
          </w:tcPr>
          <w:p>
            <w:pPr>
              <w:ind w:left="160"/>
              <w:spacing w:after="0"/>
              <w:rPr>
                <w:sz w:val="20"/>
                <w:szCs w:val="20"/>
                <w:color w:val="auto"/>
              </w:rPr>
            </w:pPr>
            <w:r>
              <w:rPr>
                <w:rFonts w:ascii="Verdana" w:cs="Verdana" w:eastAsia="Verdana" w:hAnsi="Verdana"/>
                <w:sz w:val="17"/>
                <w:szCs w:val="17"/>
                <w:color w:val="auto"/>
              </w:rPr>
              <w:t>Стимуляторы</w:t>
            </w:r>
          </w:p>
        </w:tc>
        <w:tc>
          <w:tcPr>
            <w:tcW w:w="1680" w:type="dxa"/>
            <w:vAlign w:val="bottom"/>
            <w:tcBorders>
              <w:right w:val="single" w:sz="8" w:color="auto"/>
            </w:tcBorders>
          </w:tcPr>
          <w:p>
            <w:pPr>
              <w:spacing w:after="0"/>
              <w:rPr>
                <w:sz w:val="24"/>
                <w:szCs w:val="24"/>
                <w:color w:val="auto"/>
              </w:rPr>
            </w:pPr>
          </w:p>
        </w:tc>
        <w:tc>
          <w:tcPr>
            <w:tcW w:w="5260" w:type="dxa"/>
            <w:vAlign w:val="bottom"/>
            <w:gridSpan w:val="8"/>
          </w:tcPr>
          <w:p>
            <w:pPr>
              <w:ind w:left="160"/>
              <w:spacing w:after="0"/>
              <w:rPr>
                <w:sz w:val="20"/>
                <w:szCs w:val="20"/>
                <w:color w:val="auto"/>
              </w:rPr>
            </w:pPr>
            <w:r>
              <w:rPr>
                <w:rFonts w:ascii="Verdana" w:cs="Verdana" w:eastAsia="Verdana" w:hAnsi="Verdana"/>
                <w:sz w:val="17"/>
                <w:szCs w:val="17"/>
                <w:color w:val="auto"/>
              </w:rPr>
              <w:t>Амфетамины</w:t>
            </w:r>
            <w:r>
              <w:rPr>
                <w:rFonts w:ascii="Verdana" w:cs="Verdana" w:eastAsia="Verdana" w:hAnsi="Verdana"/>
                <w:sz w:val="17"/>
                <w:szCs w:val="17"/>
                <w:color w:val="auto"/>
              </w:rPr>
              <w:t>,</w:t>
            </w:r>
            <w:r>
              <w:rPr>
                <w:rFonts w:ascii="Verdana" w:cs="Verdana" w:eastAsia="Verdana" w:hAnsi="Verdana"/>
                <w:sz w:val="17"/>
                <w:szCs w:val="17"/>
                <w:color w:val="auto"/>
              </w:rPr>
              <w:t xml:space="preserve">  кокаин</w:t>
            </w:r>
            <w:r>
              <w:rPr>
                <w:rFonts w:ascii="Verdana" w:cs="Verdana" w:eastAsia="Verdana" w:hAnsi="Verdana"/>
                <w:sz w:val="17"/>
                <w:szCs w:val="17"/>
                <w:color w:val="auto"/>
              </w:rPr>
              <w:t>,</w:t>
            </w:r>
            <w:r>
              <w:rPr>
                <w:rFonts w:ascii="Verdana" w:cs="Verdana" w:eastAsia="Verdana" w:hAnsi="Verdana"/>
                <w:sz w:val="17"/>
                <w:szCs w:val="17"/>
                <w:color w:val="auto"/>
              </w:rPr>
              <w:t xml:space="preserve">  экстази</w:t>
            </w:r>
            <w:r>
              <w:rPr>
                <w:rFonts w:ascii="Verdana" w:cs="Verdana" w:eastAsia="Verdana" w:hAnsi="Verdana"/>
                <w:sz w:val="17"/>
                <w:szCs w:val="17"/>
                <w:color w:val="auto"/>
              </w:rPr>
              <w:t>;</w:t>
            </w:r>
            <w:r>
              <w:rPr>
                <w:rFonts w:ascii="Verdana" w:cs="Verdana" w:eastAsia="Verdana" w:hAnsi="Verdana"/>
                <w:sz w:val="17"/>
                <w:szCs w:val="17"/>
                <w:color w:val="auto"/>
              </w:rPr>
              <w:t xml:space="preserve">  обычно  вызывают</w:t>
            </w:r>
          </w:p>
        </w:tc>
        <w:tc>
          <w:tcPr>
            <w:tcW w:w="0" w:type="dxa"/>
            <w:vAlign w:val="bottom"/>
          </w:tcPr>
          <w:p>
            <w:pPr>
              <w:spacing w:after="0"/>
              <w:rPr>
                <w:sz w:val="1"/>
                <w:szCs w:val="1"/>
                <w:color w:val="auto"/>
              </w:rPr>
            </w:pPr>
          </w:p>
        </w:tc>
      </w:tr>
      <w:tr>
        <w:trPr>
          <w:trHeight w:val="220"/>
        </w:trPr>
        <w:tc>
          <w:tcPr>
            <w:tcW w:w="1500" w:type="dxa"/>
            <w:vAlign w:val="bottom"/>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4060" w:type="dxa"/>
            <w:vAlign w:val="bottom"/>
            <w:gridSpan w:val="6"/>
          </w:tcPr>
          <w:p>
            <w:pPr>
              <w:ind w:left="160"/>
              <w:spacing w:after="0"/>
              <w:rPr>
                <w:sz w:val="20"/>
                <w:szCs w:val="20"/>
                <w:color w:val="auto"/>
              </w:rPr>
            </w:pPr>
            <w:r>
              <w:rPr>
                <w:rFonts w:ascii="Verdana" w:cs="Verdana" w:eastAsia="Verdana" w:hAnsi="Verdana"/>
                <w:sz w:val="17"/>
                <w:szCs w:val="17"/>
                <w:color w:val="auto"/>
              </w:rPr>
              <w:t>острый подъем АД</w:t>
            </w:r>
            <w:r>
              <w:rPr>
                <w:rFonts w:ascii="Verdana" w:cs="Verdana" w:eastAsia="Verdana" w:hAnsi="Verdana"/>
                <w:sz w:val="17"/>
                <w:szCs w:val="17"/>
                <w:color w:val="auto"/>
              </w:rPr>
              <w:t>,</w:t>
            </w:r>
            <w:r>
              <w:rPr>
                <w:rFonts w:ascii="Verdana" w:cs="Verdana" w:eastAsia="Verdana" w:hAnsi="Verdana"/>
                <w:sz w:val="17"/>
                <w:szCs w:val="17"/>
                <w:color w:val="auto"/>
              </w:rPr>
              <w:t xml:space="preserve"> а не хроническую АГ</w:t>
            </w: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500" w:type="dxa"/>
            <w:vAlign w:val="bottom"/>
            <w:tcBorders>
              <w:bottom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1300" w:type="dxa"/>
            <w:vAlign w:val="bottom"/>
            <w:tcBorders>
              <w:bottom w:val="single" w:sz="8" w:color="auto"/>
            </w:tcBorders>
          </w:tcPr>
          <w:p>
            <w:pPr>
              <w:spacing w:after="0"/>
              <w:rPr>
                <w:sz w:val="9"/>
                <w:szCs w:val="9"/>
                <w:color w:val="auto"/>
              </w:rPr>
            </w:pPr>
          </w:p>
        </w:tc>
        <w:tc>
          <w:tcPr>
            <w:tcW w:w="240" w:type="dxa"/>
            <w:vAlign w:val="bottom"/>
            <w:tcBorders>
              <w:bottom w:val="single" w:sz="8" w:color="auto"/>
            </w:tcBorders>
          </w:tcPr>
          <w:p>
            <w:pPr>
              <w:spacing w:after="0"/>
              <w:rPr>
                <w:sz w:val="9"/>
                <w:szCs w:val="9"/>
                <w:color w:val="auto"/>
              </w:rPr>
            </w:pPr>
          </w:p>
        </w:tc>
        <w:tc>
          <w:tcPr>
            <w:tcW w:w="1240" w:type="dxa"/>
            <w:vAlign w:val="bottom"/>
            <w:tcBorders>
              <w:bottom w:val="single" w:sz="8" w:color="auto"/>
            </w:tcBorders>
            <w:gridSpan w:val="2"/>
          </w:tcPr>
          <w:p>
            <w:pPr>
              <w:spacing w:after="0"/>
              <w:rPr>
                <w:sz w:val="9"/>
                <w:szCs w:val="9"/>
                <w:color w:val="auto"/>
              </w:rPr>
            </w:pPr>
          </w:p>
        </w:tc>
        <w:tc>
          <w:tcPr>
            <w:tcW w:w="1280" w:type="dxa"/>
            <w:vAlign w:val="bottom"/>
            <w:tcBorders>
              <w:bottom w:val="single" w:sz="8" w:color="auto"/>
            </w:tcBorders>
            <w:gridSpan w:val="2"/>
          </w:tcPr>
          <w:p>
            <w:pPr>
              <w:spacing w:after="0"/>
              <w:rPr>
                <w:sz w:val="9"/>
                <w:szCs w:val="9"/>
                <w:color w:val="auto"/>
              </w:rPr>
            </w:pPr>
          </w:p>
        </w:tc>
        <w:tc>
          <w:tcPr>
            <w:tcW w:w="1200" w:type="dxa"/>
            <w:vAlign w:val="bottom"/>
            <w:tcBorders>
              <w:bottom w:val="single" w:sz="8" w:color="auto"/>
            </w:tcBorders>
            <w:gridSpan w:val="2"/>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1500" w:type="dxa"/>
            <w:vAlign w:val="bottom"/>
          </w:tcPr>
          <w:p>
            <w:pPr>
              <w:ind w:left="160"/>
              <w:spacing w:after="0"/>
              <w:rPr>
                <w:sz w:val="20"/>
                <w:szCs w:val="20"/>
                <w:color w:val="auto"/>
              </w:rPr>
            </w:pPr>
            <w:r>
              <w:rPr>
                <w:rFonts w:ascii="Verdana" w:cs="Verdana" w:eastAsia="Verdana" w:hAnsi="Verdana"/>
                <w:sz w:val="17"/>
                <w:szCs w:val="17"/>
                <w:color w:val="auto"/>
              </w:rPr>
              <w:t>Лакрица</w:t>
            </w:r>
          </w:p>
        </w:tc>
        <w:tc>
          <w:tcPr>
            <w:tcW w:w="1680" w:type="dxa"/>
            <w:vAlign w:val="bottom"/>
            <w:tcBorders>
              <w:right w:val="single" w:sz="8" w:color="auto"/>
            </w:tcBorders>
          </w:tcPr>
          <w:p>
            <w:pPr>
              <w:spacing w:after="0"/>
              <w:rPr>
                <w:sz w:val="24"/>
                <w:szCs w:val="24"/>
                <w:color w:val="auto"/>
              </w:rPr>
            </w:pPr>
          </w:p>
        </w:tc>
        <w:tc>
          <w:tcPr>
            <w:tcW w:w="1300" w:type="dxa"/>
            <w:vAlign w:val="bottom"/>
          </w:tcPr>
          <w:p>
            <w:pPr>
              <w:ind w:left="160"/>
              <w:spacing w:after="0"/>
              <w:rPr>
                <w:sz w:val="20"/>
                <w:szCs w:val="20"/>
                <w:color w:val="auto"/>
              </w:rPr>
            </w:pPr>
            <w:r>
              <w:rPr>
                <w:rFonts w:ascii="Verdana" w:cs="Verdana" w:eastAsia="Verdana" w:hAnsi="Verdana"/>
                <w:sz w:val="17"/>
                <w:szCs w:val="17"/>
                <w:color w:val="auto"/>
                <w:w w:val="97"/>
              </w:rPr>
              <w:t>Хроническое</w:t>
            </w:r>
          </w:p>
        </w:tc>
        <w:tc>
          <w:tcPr>
            <w:tcW w:w="240" w:type="dxa"/>
            <w:vAlign w:val="bottom"/>
            <w:vMerge w:val="restart"/>
          </w:tcPr>
          <w:p>
            <w:pPr>
              <w:ind w:left="120"/>
              <w:spacing w:after="0"/>
              <w:rPr>
                <w:sz w:val="20"/>
                <w:szCs w:val="20"/>
                <w:color w:val="auto"/>
              </w:rPr>
            </w:pPr>
            <w:r>
              <w:rPr>
                <w:rFonts w:ascii="Verdana" w:cs="Verdana" w:eastAsia="Verdana" w:hAnsi="Verdana"/>
                <w:sz w:val="17"/>
                <w:szCs w:val="17"/>
                <w:color w:val="auto"/>
                <w:w w:val="98"/>
              </w:rPr>
              <w:t>к</w:t>
            </w:r>
          </w:p>
        </w:tc>
        <w:tc>
          <w:tcPr>
            <w:tcW w:w="1240" w:type="dxa"/>
            <w:vAlign w:val="bottom"/>
            <w:gridSpan w:val="2"/>
          </w:tcPr>
          <w:p>
            <w:pPr>
              <w:ind w:left="20"/>
              <w:spacing w:after="0"/>
              <w:rPr>
                <w:sz w:val="20"/>
                <w:szCs w:val="20"/>
                <w:color w:val="auto"/>
              </w:rPr>
            </w:pPr>
            <w:r>
              <w:rPr>
                <w:rFonts w:ascii="Verdana" w:cs="Verdana" w:eastAsia="Verdana" w:hAnsi="Verdana"/>
                <w:sz w:val="17"/>
                <w:szCs w:val="17"/>
                <w:color w:val="auto"/>
              </w:rPr>
              <w:t>избыточное</w:t>
            </w:r>
          </w:p>
        </w:tc>
        <w:tc>
          <w:tcPr>
            <w:tcW w:w="1280" w:type="dxa"/>
            <w:vAlign w:val="bottom"/>
            <w:gridSpan w:val="2"/>
          </w:tcPr>
          <w:p>
            <w:pPr>
              <w:ind w:left="80"/>
              <w:spacing w:after="0"/>
              <w:rPr>
                <w:sz w:val="20"/>
                <w:szCs w:val="20"/>
                <w:color w:val="auto"/>
              </w:rPr>
            </w:pPr>
            <w:r>
              <w:rPr>
                <w:rFonts w:ascii="Verdana" w:cs="Verdana" w:eastAsia="Verdana" w:hAnsi="Verdana"/>
                <w:sz w:val="17"/>
                <w:szCs w:val="17"/>
                <w:color w:val="auto"/>
                <w:w w:val="95"/>
              </w:rPr>
              <w:t>употребление</w:t>
            </w:r>
          </w:p>
        </w:tc>
        <w:tc>
          <w:tcPr>
            <w:tcW w:w="1200" w:type="dxa"/>
            <w:vAlign w:val="bottom"/>
            <w:gridSpan w:val="2"/>
          </w:tcPr>
          <w:p>
            <w:pPr>
              <w:jc w:val="right"/>
              <w:ind w:right="77"/>
              <w:spacing w:after="0"/>
              <w:rPr>
                <w:sz w:val="20"/>
                <w:szCs w:val="20"/>
                <w:color w:val="auto"/>
              </w:rPr>
            </w:pPr>
            <w:r>
              <w:rPr>
                <w:rFonts w:ascii="Verdana" w:cs="Verdana" w:eastAsia="Verdana" w:hAnsi="Verdana"/>
                <w:sz w:val="17"/>
                <w:szCs w:val="17"/>
                <w:color w:val="auto"/>
              </w:rPr>
              <w:t>лакрицы</w:t>
            </w:r>
          </w:p>
        </w:tc>
        <w:tc>
          <w:tcPr>
            <w:tcW w:w="0" w:type="dxa"/>
            <w:vAlign w:val="bottom"/>
          </w:tcPr>
          <w:p>
            <w:pPr>
              <w:spacing w:after="0"/>
              <w:rPr>
                <w:sz w:val="1"/>
                <w:szCs w:val="1"/>
                <w:color w:val="auto"/>
              </w:rPr>
            </w:pPr>
          </w:p>
        </w:tc>
      </w:tr>
      <w:tr>
        <w:trPr>
          <w:trHeight w:val="165"/>
        </w:trPr>
        <w:tc>
          <w:tcPr>
            <w:tcW w:w="1500" w:type="dxa"/>
            <w:vAlign w:val="bottom"/>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1300" w:type="dxa"/>
            <w:vAlign w:val="bottom"/>
          </w:tcPr>
          <w:p>
            <w:pPr>
              <w:ind w:left="160"/>
              <w:spacing w:after="0" w:line="165" w:lineRule="exact"/>
              <w:rPr>
                <w:sz w:val="20"/>
                <w:szCs w:val="20"/>
                <w:color w:val="auto"/>
              </w:rPr>
            </w:pPr>
            <w:r>
              <w:rPr>
                <w:rFonts w:ascii="Verdana" w:cs="Verdana" w:eastAsia="Verdana" w:hAnsi="Verdana"/>
                <w:sz w:val="17"/>
                <w:szCs w:val="17"/>
                <w:color w:val="auto"/>
              </w:rPr>
              <w:t>приводит</w:t>
            </w:r>
          </w:p>
        </w:tc>
        <w:tc>
          <w:tcPr>
            <w:tcW w:w="240" w:type="dxa"/>
            <w:vAlign w:val="bottom"/>
            <w:vMerge w:val="continue"/>
          </w:tcPr>
          <w:p>
            <w:pPr>
              <w:spacing w:after="0"/>
              <w:rPr>
                <w:sz w:val="14"/>
                <w:szCs w:val="14"/>
                <w:color w:val="auto"/>
              </w:rPr>
            </w:pPr>
          </w:p>
        </w:tc>
        <w:tc>
          <w:tcPr>
            <w:tcW w:w="2100" w:type="dxa"/>
            <w:vAlign w:val="bottom"/>
            <w:gridSpan w:val="3"/>
          </w:tcPr>
          <w:p>
            <w:pPr>
              <w:jc w:val="center"/>
              <w:spacing w:after="0" w:line="165" w:lineRule="exact"/>
              <w:rPr>
                <w:sz w:val="20"/>
                <w:szCs w:val="20"/>
                <w:color w:val="auto"/>
              </w:rPr>
            </w:pPr>
            <w:r>
              <w:rPr>
                <w:rFonts w:ascii="Verdana" w:cs="Verdana" w:eastAsia="Verdana" w:hAnsi="Verdana"/>
                <w:sz w:val="17"/>
                <w:szCs w:val="17"/>
                <w:color w:val="auto"/>
                <w:w w:val="97"/>
              </w:rPr>
              <w:t>проявлениям</w:t>
            </w:r>
            <w:r>
              <w:rPr>
                <w:rFonts w:ascii="Verdana" w:cs="Verdana" w:eastAsia="Verdana" w:hAnsi="Verdana"/>
                <w:sz w:val="17"/>
                <w:szCs w:val="17"/>
                <w:color w:val="auto"/>
                <w:w w:val="97"/>
              </w:rPr>
              <w:t>,</w:t>
            </w:r>
          </w:p>
        </w:tc>
        <w:tc>
          <w:tcPr>
            <w:tcW w:w="1200" w:type="dxa"/>
            <w:vAlign w:val="bottom"/>
            <w:gridSpan w:val="2"/>
          </w:tcPr>
          <w:p>
            <w:pPr>
              <w:ind w:left="20"/>
              <w:spacing w:after="0" w:line="165" w:lineRule="exact"/>
              <w:rPr>
                <w:sz w:val="20"/>
                <w:szCs w:val="20"/>
                <w:color w:val="auto"/>
              </w:rPr>
            </w:pPr>
            <w:r>
              <w:rPr>
                <w:rFonts w:ascii="Verdana" w:cs="Verdana" w:eastAsia="Verdana" w:hAnsi="Verdana"/>
                <w:sz w:val="17"/>
                <w:szCs w:val="17"/>
                <w:color w:val="auto"/>
              </w:rPr>
              <w:t>похожим</w:t>
            </w:r>
          </w:p>
        </w:tc>
        <w:tc>
          <w:tcPr>
            <w:tcW w:w="420" w:type="dxa"/>
            <w:vAlign w:val="bottom"/>
          </w:tcPr>
          <w:p>
            <w:pPr>
              <w:jc w:val="right"/>
              <w:ind w:right="77"/>
              <w:spacing w:after="0" w:line="165" w:lineRule="exact"/>
              <w:rPr>
                <w:sz w:val="20"/>
                <w:szCs w:val="20"/>
                <w:color w:val="auto"/>
              </w:rPr>
            </w:pPr>
            <w:r>
              <w:rPr>
                <w:rFonts w:ascii="Verdana" w:cs="Verdana" w:eastAsia="Verdana" w:hAnsi="Verdana"/>
                <w:sz w:val="17"/>
                <w:szCs w:val="17"/>
                <w:color w:val="auto"/>
              </w:rPr>
              <w:t>на</w:t>
            </w:r>
          </w:p>
        </w:tc>
        <w:tc>
          <w:tcPr>
            <w:tcW w:w="0" w:type="dxa"/>
            <w:vAlign w:val="bottom"/>
          </w:tcPr>
          <w:p>
            <w:pPr>
              <w:spacing w:after="0"/>
              <w:rPr>
                <w:sz w:val="1"/>
                <w:szCs w:val="1"/>
                <w:color w:val="auto"/>
              </w:rPr>
            </w:pPr>
          </w:p>
        </w:tc>
      </w:tr>
      <w:tr>
        <w:trPr>
          <w:trHeight w:val="165"/>
        </w:trPr>
        <w:tc>
          <w:tcPr>
            <w:tcW w:w="1500" w:type="dxa"/>
            <w:vAlign w:val="bottom"/>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2240" w:type="dxa"/>
            <w:vAlign w:val="bottom"/>
            <w:gridSpan w:val="3"/>
          </w:tcPr>
          <w:p>
            <w:pPr>
              <w:ind w:left="160"/>
              <w:spacing w:after="0" w:line="165" w:lineRule="exact"/>
              <w:rPr>
                <w:sz w:val="20"/>
                <w:szCs w:val="20"/>
                <w:color w:val="auto"/>
              </w:rPr>
            </w:pPr>
            <w:r>
              <w:rPr>
                <w:rFonts w:ascii="Verdana" w:cs="Verdana" w:eastAsia="Verdana" w:hAnsi="Verdana"/>
                <w:sz w:val="17"/>
                <w:szCs w:val="17"/>
                <w:color w:val="auto"/>
              </w:rPr>
              <w:t>гиперальдостеронизм</w:t>
            </w:r>
          </w:p>
        </w:tc>
        <w:tc>
          <w:tcPr>
            <w:tcW w:w="540" w:type="dxa"/>
            <w:vAlign w:val="bottom"/>
          </w:tcPr>
          <w:p>
            <w:pPr>
              <w:jc w:val="center"/>
              <w:ind w:left="137"/>
              <w:spacing w:after="0" w:line="165" w:lineRule="exact"/>
              <w:rPr>
                <w:sz w:val="20"/>
                <w:szCs w:val="20"/>
                <w:color w:val="auto"/>
              </w:rPr>
            </w:pPr>
            <w:r>
              <w:rPr>
                <w:rFonts w:ascii="Verdana" w:cs="Verdana" w:eastAsia="Verdana" w:hAnsi="Verdana"/>
                <w:sz w:val="17"/>
                <w:szCs w:val="17"/>
                <w:color w:val="auto"/>
              </w:rPr>
              <w:t>за</w:t>
            </w:r>
          </w:p>
        </w:tc>
        <w:tc>
          <w:tcPr>
            <w:tcW w:w="860" w:type="dxa"/>
            <w:vAlign w:val="bottom"/>
          </w:tcPr>
          <w:p>
            <w:pPr>
              <w:jc w:val="right"/>
              <w:spacing w:after="0" w:line="165" w:lineRule="exact"/>
              <w:rPr>
                <w:sz w:val="20"/>
                <w:szCs w:val="20"/>
                <w:color w:val="auto"/>
              </w:rPr>
            </w:pPr>
            <w:r>
              <w:rPr>
                <w:rFonts w:ascii="Verdana" w:cs="Verdana" w:eastAsia="Verdana" w:hAnsi="Verdana"/>
                <w:sz w:val="17"/>
                <w:szCs w:val="17"/>
                <w:color w:val="auto"/>
              </w:rPr>
              <w:t>счет</w:t>
            </w:r>
          </w:p>
        </w:tc>
        <w:tc>
          <w:tcPr>
            <w:tcW w:w="420" w:type="dxa"/>
            <w:vAlign w:val="bottom"/>
            <w:vMerge w:val="restart"/>
          </w:tcPr>
          <w:p>
            <w:pPr>
              <w:ind w:left="180"/>
              <w:spacing w:after="0"/>
              <w:rPr>
                <w:sz w:val="20"/>
                <w:szCs w:val="20"/>
                <w:color w:val="auto"/>
              </w:rPr>
            </w:pPr>
            <w:r>
              <w:rPr>
                <w:rFonts w:ascii="Verdana" w:cs="Verdana" w:eastAsia="Verdana" w:hAnsi="Verdana"/>
                <w:sz w:val="17"/>
                <w:szCs w:val="17"/>
                <w:color w:val="auto"/>
              </w:rPr>
              <w:t>и</w:t>
            </w:r>
          </w:p>
        </w:tc>
        <w:tc>
          <w:tcPr>
            <w:tcW w:w="1200" w:type="dxa"/>
            <w:vAlign w:val="bottom"/>
            <w:gridSpan w:val="2"/>
          </w:tcPr>
          <w:p>
            <w:pPr>
              <w:jc w:val="right"/>
              <w:ind w:right="77"/>
              <w:spacing w:after="0" w:line="165" w:lineRule="exact"/>
              <w:rPr>
                <w:sz w:val="20"/>
                <w:szCs w:val="20"/>
                <w:color w:val="auto"/>
              </w:rPr>
            </w:pPr>
            <w:r>
              <w:rPr>
                <w:rFonts w:ascii="Verdana" w:cs="Verdana" w:eastAsia="Verdana" w:hAnsi="Verdana"/>
                <w:sz w:val="17"/>
                <w:szCs w:val="17"/>
                <w:color w:val="auto"/>
                <w:w w:val="98"/>
              </w:rPr>
              <w:t>стимуляции</w:t>
            </w:r>
          </w:p>
        </w:tc>
        <w:tc>
          <w:tcPr>
            <w:tcW w:w="0" w:type="dxa"/>
            <w:vAlign w:val="bottom"/>
          </w:tcPr>
          <w:p>
            <w:pPr>
              <w:spacing w:after="0"/>
              <w:rPr>
                <w:sz w:val="1"/>
                <w:szCs w:val="1"/>
                <w:color w:val="auto"/>
              </w:rPr>
            </w:pPr>
          </w:p>
        </w:tc>
      </w:tr>
      <w:tr>
        <w:trPr>
          <w:trHeight w:val="165"/>
        </w:trPr>
        <w:tc>
          <w:tcPr>
            <w:tcW w:w="1500" w:type="dxa"/>
            <w:vAlign w:val="bottom"/>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2240" w:type="dxa"/>
            <w:vAlign w:val="bottom"/>
            <w:gridSpan w:val="3"/>
          </w:tcPr>
          <w:p>
            <w:pPr>
              <w:ind w:left="160"/>
              <w:spacing w:after="0" w:line="165" w:lineRule="exact"/>
              <w:rPr>
                <w:sz w:val="20"/>
                <w:szCs w:val="20"/>
                <w:color w:val="auto"/>
              </w:rPr>
            </w:pPr>
            <w:r>
              <w:rPr>
                <w:rFonts w:ascii="Verdana" w:cs="Verdana" w:eastAsia="Verdana" w:hAnsi="Verdana"/>
                <w:sz w:val="17"/>
                <w:szCs w:val="17"/>
                <w:color w:val="auto"/>
                <w:w w:val="97"/>
              </w:rPr>
              <w:t>минералокортикоидных</w:t>
            </w:r>
          </w:p>
        </w:tc>
        <w:tc>
          <w:tcPr>
            <w:tcW w:w="1400" w:type="dxa"/>
            <w:vAlign w:val="bottom"/>
            <w:gridSpan w:val="2"/>
          </w:tcPr>
          <w:p>
            <w:pPr>
              <w:jc w:val="right"/>
              <w:ind w:right="37"/>
              <w:spacing w:after="0" w:line="165" w:lineRule="exact"/>
              <w:rPr>
                <w:sz w:val="20"/>
                <w:szCs w:val="20"/>
                <w:color w:val="auto"/>
              </w:rPr>
            </w:pPr>
            <w:r>
              <w:rPr>
                <w:rFonts w:ascii="Verdana" w:cs="Verdana" w:eastAsia="Verdana" w:hAnsi="Verdana"/>
                <w:sz w:val="17"/>
                <w:szCs w:val="17"/>
                <w:color w:val="auto"/>
              </w:rPr>
              <w:t>рецепторов</w:t>
            </w:r>
          </w:p>
        </w:tc>
        <w:tc>
          <w:tcPr>
            <w:tcW w:w="420" w:type="dxa"/>
            <w:vAlign w:val="bottom"/>
            <w:vMerge w:val="continue"/>
          </w:tcPr>
          <w:p>
            <w:pPr>
              <w:spacing w:after="0"/>
              <w:rPr>
                <w:sz w:val="14"/>
                <w:szCs w:val="14"/>
                <w:color w:val="auto"/>
              </w:rPr>
            </w:pPr>
          </w:p>
        </w:tc>
        <w:tc>
          <w:tcPr>
            <w:tcW w:w="1200" w:type="dxa"/>
            <w:vAlign w:val="bottom"/>
            <w:gridSpan w:val="2"/>
          </w:tcPr>
          <w:p>
            <w:pPr>
              <w:jc w:val="right"/>
              <w:ind w:right="77"/>
              <w:spacing w:after="0" w:line="165" w:lineRule="exact"/>
              <w:rPr>
                <w:sz w:val="20"/>
                <w:szCs w:val="20"/>
                <w:color w:val="auto"/>
              </w:rPr>
            </w:pPr>
            <w:r>
              <w:rPr>
                <w:rFonts w:ascii="Verdana" w:cs="Verdana" w:eastAsia="Verdana" w:hAnsi="Verdana"/>
                <w:sz w:val="17"/>
                <w:szCs w:val="17"/>
                <w:color w:val="auto"/>
              </w:rPr>
              <w:t>угнетения</w:t>
            </w:r>
          </w:p>
        </w:tc>
        <w:tc>
          <w:tcPr>
            <w:tcW w:w="0" w:type="dxa"/>
            <w:vAlign w:val="bottom"/>
          </w:tcPr>
          <w:p>
            <w:pPr>
              <w:spacing w:after="0"/>
              <w:rPr>
                <w:sz w:val="1"/>
                <w:szCs w:val="1"/>
                <w:color w:val="auto"/>
              </w:rPr>
            </w:pPr>
          </w:p>
        </w:tc>
      </w:tr>
      <w:tr>
        <w:trPr>
          <w:trHeight w:val="220"/>
        </w:trPr>
        <w:tc>
          <w:tcPr>
            <w:tcW w:w="1500" w:type="dxa"/>
            <w:vAlign w:val="bottom"/>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2240" w:type="dxa"/>
            <w:vAlign w:val="bottom"/>
            <w:gridSpan w:val="3"/>
          </w:tcPr>
          <w:p>
            <w:pPr>
              <w:ind w:left="160"/>
              <w:spacing w:after="0"/>
              <w:rPr>
                <w:sz w:val="20"/>
                <w:szCs w:val="20"/>
                <w:color w:val="auto"/>
              </w:rPr>
            </w:pPr>
            <w:r>
              <w:rPr>
                <w:rFonts w:ascii="Verdana" w:cs="Verdana" w:eastAsia="Verdana" w:hAnsi="Verdana"/>
                <w:sz w:val="17"/>
                <w:szCs w:val="17"/>
                <w:color w:val="auto"/>
                <w:w w:val="98"/>
              </w:rPr>
              <w:t>метаболизма кортизола</w:t>
            </w:r>
          </w:p>
        </w:tc>
        <w:tc>
          <w:tcPr>
            <w:tcW w:w="540" w:type="dxa"/>
            <w:vAlign w:val="bottom"/>
          </w:tcPr>
          <w:p>
            <w:pPr>
              <w:spacing w:after="0"/>
              <w:rPr>
                <w:sz w:val="19"/>
                <w:szCs w:val="19"/>
                <w:color w:val="auto"/>
              </w:rPr>
            </w:pPr>
          </w:p>
        </w:tc>
        <w:tc>
          <w:tcPr>
            <w:tcW w:w="86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3180" w:type="dxa"/>
            <w:vAlign w:val="bottom"/>
            <w:tcBorders>
              <w:bottom w:val="single" w:sz="8" w:color="auto"/>
              <w:right w:val="single" w:sz="8" w:color="auto"/>
            </w:tcBorders>
            <w:gridSpan w:val="2"/>
          </w:tcPr>
          <w:p>
            <w:pPr>
              <w:spacing w:after="0"/>
              <w:rPr>
                <w:sz w:val="9"/>
                <w:szCs w:val="9"/>
                <w:color w:val="auto"/>
              </w:rPr>
            </w:pPr>
          </w:p>
        </w:tc>
        <w:tc>
          <w:tcPr>
            <w:tcW w:w="5260" w:type="dxa"/>
            <w:vAlign w:val="bottom"/>
            <w:tcBorders>
              <w:bottom w:val="single" w:sz="8" w:color="auto"/>
            </w:tcBorders>
            <w:gridSpan w:val="8"/>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3180" w:type="dxa"/>
            <w:vAlign w:val="bottom"/>
            <w:tcBorders>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Иммуносупрессанты</w:t>
            </w:r>
          </w:p>
        </w:tc>
        <w:tc>
          <w:tcPr>
            <w:tcW w:w="5260" w:type="dxa"/>
            <w:vAlign w:val="bottom"/>
            <w:gridSpan w:val="8"/>
          </w:tcPr>
          <w:p>
            <w:pPr>
              <w:ind w:left="160"/>
              <w:spacing w:after="0"/>
              <w:rPr>
                <w:sz w:val="20"/>
                <w:szCs w:val="20"/>
                <w:color w:val="auto"/>
              </w:rPr>
            </w:pP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циклоспорин  А  </w:t>
            </w:r>
            <w:r>
              <w:rPr>
                <w:rFonts w:ascii="Verdana" w:cs="Verdana" w:eastAsia="Verdana" w:hAnsi="Verdana"/>
                <w:sz w:val="17"/>
                <w:szCs w:val="17"/>
                <w:color w:val="auto"/>
              </w:rPr>
              <w:t>(</w:t>
            </w:r>
            <w:r>
              <w:rPr>
                <w:rFonts w:ascii="Verdana" w:cs="Verdana" w:eastAsia="Verdana" w:hAnsi="Verdana"/>
                <w:sz w:val="17"/>
                <w:szCs w:val="17"/>
                <w:color w:val="auto"/>
              </w:rPr>
              <w:t>такролимус  оказывает</w:t>
            </w:r>
          </w:p>
        </w:tc>
        <w:tc>
          <w:tcPr>
            <w:tcW w:w="0" w:type="dxa"/>
            <w:vAlign w:val="bottom"/>
          </w:tcPr>
          <w:p>
            <w:pPr>
              <w:spacing w:after="0"/>
              <w:rPr>
                <w:sz w:val="1"/>
                <w:szCs w:val="1"/>
                <w:color w:val="auto"/>
              </w:rPr>
            </w:pPr>
          </w:p>
        </w:tc>
      </w:tr>
      <w:tr>
        <w:trPr>
          <w:trHeight w:val="165"/>
        </w:trPr>
        <w:tc>
          <w:tcPr>
            <w:tcW w:w="1500" w:type="dxa"/>
            <w:vAlign w:val="bottom"/>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5260" w:type="dxa"/>
            <w:vAlign w:val="bottom"/>
            <w:gridSpan w:val="8"/>
          </w:tcPr>
          <w:p>
            <w:pPr>
              <w:ind w:left="160"/>
              <w:spacing w:after="0" w:line="165" w:lineRule="exact"/>
              <w:rPr>
                <w:sz w:val="20"/>
                <w:szCs w:val="20"/>
                <w:color w:val="auto"/>
              </w:rPr>
            </w:pPr>
            <w:r>
              <w:rPr>
                <w:rFonts w:ascii="Verdana" w:cs="Verdana" w:eastAsia="Verdana" w:hAnsi="Verdana"/>
                <w:sz w:val="17"/>
                <w:szCs w:val="17"/>
                <w:color w:val="auto"/>
              </w:rPr>
              <w:t>меньшее действие на АД</w:t>
            </w:r>
            <w:r>
              <w:rPr>
                <w:rFonts w:ascii="Verdana" w:cs="Verdana" w:eastAsia="Verdana" w:hAnsi="Verdana"/>
                <w:sz w:val="17"/>
                <w:szCs w:val="17"/>
                <w:color w:val="auto"/>
              </w:rPr>
              <w:t>,</w:t>
            </w:r>
            <w:r>
              <w:rPr>
                <w:rFonts w:ascii="Verdana" w:cs="Verdana" w:eastAsia="Verdana" w:hAnsi="Verdana"/>
                <w:sz w:val="17"/>
                <w:szCs w:val="17"/>
                <w:color w:val="auto"/>
              </w:rPr>
              <w:t xml:space="preserve"> а рапамицин практически его</w:t>
            </w:r>
          </w:p>
        </w:tc>
        <w:tc>
          <w:tcPr>
            <w:tcW w:w="0" w:type="dxa"/>
            <w:vAlign w:val="bottom"/>
          </w:tcPr>
          <w:p>
            <w:pPr>
              <w:spacing w:after="0"/>
              <w:rPr>
                <w:sz w:val="1"/>
                <w:szCs w:val="1"/>
                <w:color w:val="auto"/>
              </w:rPr>
            </w:pPr>
          </w:p>
        </w:tc>
      </w:tr>
      <w:tr>
        <w:trPr>
          <w:trHeight w:val="165"/>
        </w:trPr>
        <w:tc>
          <w:tcPr>
            <w:tcW w:w="1500" w:type="dxa"/>
            <w:vAlign w:val="bottom"/>
          </w:tcPr>
          <w:p>
            <w:pPr>
              <w:spacing w:after="0"/>
              <w:rPr>
                <w:sz w:val="14"/>
                <w:szCs w:val="14"/>
                <w:color w:val="auto"/>
              </w:rPr>
            </w:pPr>
          </w:p>
        </w:tc>
        <w:tc>
          <w:tcPr>
            <w:tcW w:w="1680" w:type="dxa"/>
            <w:vAlign w:val="bottom"/>
            <w:tcBorders>
              <w:right w:val="single" w:sz="8" w:color="auto"/>
            </w:tcBorders>
          </w:tcPr>
          <w:p>
            <w:pPr>
              <w:spacing w:after="0"/>
              <w:rPr>
                <w:sz w:val="14"/>
                <w:szCs w:val="14"/>
                <w:color w:val="auto"/>
              </w:rPr>
            </w:pPr>
          </w:p>
        </w:tc>
        <w:tc>
          <w:tcPr>
            <w:tcW w:w="5260" w:type="dxa"/>
            <w:vAlign w:val="bottom"/>
            <w:gridSpan w:val="8"/>
          </w:tcPr>
          <w:p>
            <w:pPr>
              <w:ind w:left="160"/>
              <w:spacing w:after="0" w:line="165" w:lineRule="exact"/>
              <w:rPr>
                <w:sz w:val="20"/>
                <w:szCs w:val="20"/>
                <w:color w:val="auto"/>
              </w:rPr>
            </w:pPr>
            <w:r>
              <w:rPr>
                <w:rFonts w:ascii="Verdana" w:cs="Verdana" w:eastAsia="Verdana" w:hAnsi="Verdana"/>
                <w:sz w:val="17"/>
                <w:szCs w:val="17"/>
                <w:color w:val="auto"/>
              </w:rPr>
              <w:t>не имеет</w:t>
            </w:r>
            <w:r>
              <w:rPr>
                <w:rFonts w:ascii="Verdana" w:cs="Verdana" w:eastAsia="Verdana" w:hAnsi="Verdana"/>
                <w:sz w:val="17"/>
                <w:szCs w:val="17"/>
                <w:color w:val="auto"/>
              </w:rPr>
              <w:t>)</w:t>
            </w:r>
            <w:r>
              <w:rPr>
                <w:rFonts w:ascii="Verdana" w:cs="Verdana" w:eastAsia="Verdana" w:hAnsi="Verdana"/>
                <w:sz w:val="17"/>
                <w:szCs w:val="17"/>
                <w:color w:val="auto"/>
              </w:rPr>
              <w:t xml:space="preserve"> и стероиды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кортикостероиды и</w:t>
            </w:r>
          </w:p>
        </w:tc>
        <w:tc>
          <w:tcPr>
            <w:tcW w:w="0" w:type="dxa"/>
            <w:vAlign w:val="bottom"/>
          </w:tcPr>
          <w:p>
            <w:pPr>
              <w:spacing w:after="0"/>
              <w:rPr>
                <w:sz w:val="1"/>
                <w:szCs w:val="1"/>
                <w:color w:val="auto"/>
              </w:rPr>
            </w:pPr>
          </w:p>
        </w:tc>
      </w:tr>
      <w:tr>
        <w:trPr>
          <w:trHeight w:val="220"/>
        </w:trPr>
        <w:tc>
          <w:tcPr>
            <w:tcW w:w="1500" w:type="dxa"/>
            <w:vAlign w:val="bottom"/>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1540" w:type="dxa"/>
            <w:vAlign w:val="bottom"/>
            <w:gridSpan w:val="2"/>
          </w:tcPr>
          <w:p>
            <w:pPr>
              <w:ind w:left="160"/>
              <w:spacing w:after="0"/>
              <w:rPr>
                <w:sz w:val="20"/>
                <w:szCs w:val="20"/>
                <w:color w:val="auto"/>
              </w:rPr>
            </w:pPr>
            <w:r>
              <w:rPr>
                <w:rFonts w:ascii="Verdana" w:cs="Verdana" w:eastAsia="Verdana" w:hAnsi="Verdana"/>
                <w:sz w:val="17"/>
                <w:szCs w:val="17"/>
                <w:color w:val="auto"/>
                <w:w w:val="98"/>
              </w:rPr>
              <w:t>гидрокортизон</w:t>
            </w:r>
            <w:r>
              <w:rPr>
                <w:rFonts w:ascii="Verdana" w:cs="Verdana" w:eastAsia="Verdana" w:hAnsi="Verdana"/>
                <w:sz w:val="17"/>
                <w:szCs w:val="17"/>
                <w:color w:val="auto"/>
                <w:w w:val="98"/>
              </w:rPr>
              <w:t>)</w:t>
            </w:r>
          </w:p>
        </w:tc>
        <w:tc>
          <w:tcPr>
            <w:tcW w:w="700" w:type="dxa"/>
            <w:vAlign w:val="bottom"/>
          </w:tcPr>
          <w:p>
            <w:pPr>
              <w:spacing w:after="0"/>
              <w:rPr>
                <w:sz w:val="19"/>
                <w:szCs w:val="19"/>
                <w:color w:val="auto"/>
              </w:rPr>
            </w:pPr>
          </w:p>
        </w:tc>
        <w:tc>
          <w:tcPr>
            <w:tcW w:w="540" w:type="dxa"/>
            <w:vAlign w:val="bottom"/>
          </w:tcPr>
          <w:p>
            <w:pPr>
              <w:spacing w:after="0"/>
              <w:rPr>
                <w:sz w:val="19"/>
                <w:szCs w:val="19"/>
                <w:color w:val="auto"/>
              </w:rPr>
            </w:pPr>
          </w:p>
        </w:tc>
        <w:tc>
          <w:tcPr>
            <w:tcW w:w="86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500" w:type="dxa"/>
            <w:vAlign w:val="bottom"/>
            <w:tcBorders>
              <w:bottom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1300" w:type="dxa"/>
            <w:vAlign w:val="bottom"/>
            <w:tcBorders>
              <w:bottom w:val="single" w:sz="8" w:color="auto"/>
            </w:tcBorders>
          </w:tcPr>
          <w:p>
            <w:pPr>
              <w:spacing w:after="0"/>
              <w:rPr>
                <w:sz w:val="9"/>
                <w:szCs w:val="9"/>
                <w:color w:val="auto"/>
              </w:rPr>
            </w:pPr>
          </w:p>
        </w:tc>
        <w:tc>
          <w:tcPr>
            <w:tcW w:w="240" w:type="dxa"/>
            <w:vAlign w:val="bottom"/>
            <w:tcBorders>
              <w:bottom w:val="single" w:sz="8" w:color="auto"/>
            </w:tcBorders>
          </w:tcPr>
          <w:p>
            <w:pPr>
              <w:spacing w:after="0"/>
              <w:rPr>
                <w:sz w:val="9"/>
                <w:szCs w:val="9"/>
                <w:color w:val="auto"/>
              </w:rPr>
            </w:pPr>
          </w:p>
        </w:tc>
        <w:tc>
          <w:tcPr>
            <w:tcW w:w="700" w:type="dxa"/>
            <w:vAlign w:val="bottom"/>
            <w:tcBorders>
              <w:bottom w:val="single" w:sz="8" w:color="auto"/>
            </w:tcBorders>
          </w:tcPr>
          <w:p>
            <w:pPr>
              <w:spacing w:after="0"/>
              <w:rPr>
                <w:sz w:val="9"/>
                <w:szCs w:val="9"/>
                <w:color w:val="auto"/>
              </w:rPr>
            </w:pPr>
          </w:p>
        </w:tc>
        <w:tc>
          <w:tcPr>
            <w:tcW w:w="540" w:type="dxa"/>
            <w:vAlign w:val="bottom"/>
            <w:tcBorders>
              <w:bottom w:val="single" w:sz="8" w:color="auto"/>
            </w:tcBorders>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78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1500" w:type="dxa"/>
            <w:vAlign w:val="bottom"/>
          </w:tcPr>
          <w:p>
            <w:pPr>
              <w:ind w:left="160"/>
              <w:spacing w:after="0"/>
              <w:rPr>
                <w:sz w:val="20"/>
                <w:szCs w:val="20"/>
                <w:color w:val="auto"/>
              </w:rPr>
            </w:pPr>
            <w:r>
              <w:rPr>
                <w:rFonts w:ascii="Verdana" w:cs="Verdana" w:eastAsia="Verdana" w:hAnsi="Verdana"/>
                <w:sz w:val="17"/>
                <w:szCs w:val="17"/>
                <w:color w:val="auto"/>
              </w:rPr>
              <w:t>Нестероидные</w:t>
            </w:r>
          </w:p>
        </w:tc>
        <w:tc>
          <w:tcPr>
            <w:tcW w:w="1680" w:type="dxa"/>
            <w:vAlign w:val="bottom"/>
            <w:tcBorders>
              <w:right w:val="single" w:sz="8" w:color="auto"/>
            </w:tcBorders>
          </w:tcPr>
          <w:p>
            <w:pPr>
              <w:spacing w:after="0"/>
              <w:rPr>
                <w:sz w:val="24"/>
                <w:szCs w:val="24"/>
                <w:color w:val="auto"/>
              </w:rPr>
            </w:pPr>
          </w:p>
        </w:tc>
        <w:tc>
          <w:tcPr>
            <w:tcW w:w="1300" w:type="dxa"/>
            <w:vAlign w:val="bottom"/>
          </w:tcPr>
          <w:p>
            <w:pPr>
              <w:spacing w:after="0"/>
              <w:rPr>
                <w:sz w:val="24"/>
                <w:szCs w:val="24"/>
                <w:color w:val="auto"/>
              </w:rPr>
            </w:pPr>
          </w:p>
        </w:tc>
        <w:tc>
          <w:tcPr>
            <w:tcW w:w="240" w:type="dxa"/>
            <w:vAlign w:val="bottom"/>
          </w:tcPr>
          <w:p>
            <w:pPr>
              <w:spacing w:after="0"/>
              <w:rPr>
                <w:sz w:val="24"/>
                <w:szCs w:val="24"/>
                <w:color w:val="auto"/>
              </w:rPr>
            </w:pPr>
          </w:p>
        </w:tc>
        <w:tc>
          <w:tcPr>
            <w:tcW w:w="700" w:type="dxa"/>
            <w:vAlign w:val="bottom"/>
          </w:tcPr>
          <w:p>
            <w:pPr>
              <w:spacing w:after="0"/>
              <w:rPr>
                <w:sz w:val="24"/>
                <w:szCs w:val="24"/>
                <w:color w:val="auto"/>
              </w:rPr>
            </w:pPr>
          </w:p>
        </w:tc>
        <w:tc>
          <w:tcPr>
            <w:tcW w:w="540" w:type="dxa"/>
            <w:vAlign w:val="bottom"/>
          </w:tcPr>
          <w:p>
            <w:pPr>
              <w:spacing w:after="0"/>
              <w:rPr>
                <w:sz w:val="24"/>
                <w:szCs w:val="24"/>
                <w:color w:val="auto"/>
              </w:rPr>
            </w:pPr>
          </w:p>
        </w:tc>
        <w:tc>
          <w:tcPr>
            <w:tcW w:w="860" w:type="dxa"/>
            <w:vAlign w:val="bottom"/>
          </w:tcPr>
          <w:p>
            <w:pPr>
              <w:spacing w:after="0"/>
              <w:rPr>
                <w:sz w:val="24"/>
                <w:szCs w:val="24"/>
                <w:color w:val="auto"/>
              </w:rPr>
            </w:pPr>
          </w:p>
        </w:tc>
        <w:tc>
          <w:tcPr>
            <w:tcW w:w="420" w:type="dxa"/>
            <w:vAlign w:val="bottom"/>
          </w:tcPr>
          <w:p>
            <w:pPr>
              <w:spacing w:after="0"/>
              <w:rPr>
                <w:sz w:val="24"/>
                <w:szCs w:val="24"/>
                <w:color w:val="auto"/>
              </w:rPr>
            </w:pPr>
          </w:p>
        </w:tc>
        <w:tc>
          <w:tcPr>
            <w:tcW w:w="780" w:type="dxa"/>
            <w:vAlign w:val="bottom"/>
          </w:tcPr>
          <w:p>
            <w:pPr>
              <w:spacing w:after="0"/>
              <w:rPr>
                <w:sz w:val="24"/>
                <w:szCs w:val="24"/>
                <w:color w:val="auto"/>
              </w:rPr>
            </w:pPr>
          </w:p>
        </w:tc>
        <w:tc>
          <w:tcPr>
            <w:tcW w:w="420" w:type="dxa"/>
            <w:vAlign w:val="bottom"/>
          </w:tcPr>
          <w:p>
            <w:pPr>
              <w:spacing w:after="0"/>
              <w:rPr>
                <w:sz w:val="24"/>
                <w:szCs w:val="24"/>
                <w:color w:val="auto"/>
              </w:rPr>
            </w:pPr>
          </w:p>
        </w:tc>
        <w:tc>
          <w:tcPr>
            <w:tcW w:w="0" w:type="dxa"/>
            <w:vAlign w:val="bottom"/>
          </w:tcPr>
          <w:p>
            <w:pPr>
              <w:spacing w:after="0"/>
              <w:rPr>
                <w:sz w:val="1"/>
                <w:szCs w:val="1"/>
                <w:color w:val="auto"/>
              </w:rPr>
            </w:pPr>
          </w:p>
        </w:tc>
      </w:tr>
      <w:tr>
        <w:trPr>
          <w:trHeight w:val="165"/>
        </w:trPr>
        <w:tc>
          <w:tcPr>
            <w:tcW w:w="3180" w:type="dxa"/>
            <w:vAlign w:val="bottom"/>
            <w:tcBorders>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противовоспалительные</w:t>
            </w:r>
          </w:p>
        </w:tc>
        <w:tc>
          <w:tcPr>
            <w:tcW w:w="1300" w:type="dxa"/>
            <w:vAlign w:val="bottom"/>
          </w:tcPr>
          <w:p>
            <w:pPr>
              <w:spacing w:after="0"/>
              <w:rPr>
                <w:sz w:val="14"/>
                <w:szCs w:val="14"/>
                <w:color w:val="auto"/>
              </w:rPr>
            </w:pPr>
          </w:p>
        </w:tc>
        <w:tc>
          <w:tcPr>
            <w:tcW w:w="240" w:type="dxa"/>
            <w:vAlign w:val="bottom"/>
          </w:tcPr>
          <w:p>
            <w:pPr>
              <w:spacing w:after="0"/>
              <w:rPr>
                <w:sz w:val="14"/>
                <w:szCs w:val="14"/>
                <w:color w:val="auto"/>
              </w:rPr>
            </w:pPr>
          </w:p>
        </w:tc>
        <w:tc>
          <w:tcPr>
            <w:tcW w:w="700" w:type="dxa"/>
            <w:vAlign w:val="bottom"/>
          </w:tcPr>
          <w:p>
            <w:pPr>
              <w:spacing w:after="0"/>
              <w:rPr>
                <w:sz w:val="14"/>
                <w:szCs w:val="14"/>
                <w:color w:val="auto"/>
              </w:rPr>
            </w:pPr>
          </w:p>
        </w:tc>
        <w:tc>
          <w:tcPr>
            <w:tcW w:w="540" w:type="dxa"/>
            <w:vAlign w:val="bottom"/>
          </w:tcPr>
          <w:p>
            <w:pPr>
              <w:spacing w:after="0"/>
              <w:rPr>
                <w:sz w:val="14"/>
                <w:szCs w:val="14"/>
                <w:color w:val="auto"/>
              </w:rPr>
            </w:pPr>
          </w:p>
        </w:tc>
        <w:tc>
          <w:tcPr>
            <w:tcW w:w="86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780" w:type="dxa"/>
            <w:vAlign w:val="bottom"/>
          </w:tcPr>
          <w:p>
            <w:pPr>
              <w:spacing w:after="0"/>
              <w:rPr>
                <w:sz w:val="14"/>
                <w:szCs w:val="14"/>
                <w:color w:val="auto"/>
              </w:rPr>
            </w:pPr>
          </w:p>
        </w:tc>
        <w:tc>
          <w:tcPr>
            <w:tcW w:w="420" w:type="dxa"/>
            <w:vAlign w:val="bottom"/>
          </w:tcPr>
          <w:p>
            <w:pPr>
              <w:spacing w:after="0"/>
              <w:rPr>
                <w:sz w:val="14"/>
                <w:szCs w:val="14"/>
                <w:color w:val="auto"/>
              </w:rPr>
            </w:pPr>
          </w:p>
        </w:tc>
        <w:tc>
          <w:tcPr>
            <w:tcW w:w="0" w:type="dxa"/>
            <w:vAlign w:val="bottom"/>
          </w:tcPr>
          <w:p>
            <w:pPr>
              <w:spacing w:after="0"/>
              <w:rPr>
                <w:sz w:val="1"/>
                <w:szCs w:val="1"/>
                <w:color w:val="auto"/>
              </w:rPr>
            </w:pPr>
          </w:p>
        </w:tc>
      </w:tr>
      <w:tr>
        <w:trPr>
          <w:trHeight w:val="220"/>
        </w:trPr>
        <w:tc>
          <w:tcPr>
            <w:tcW w:w="1500" w:type="dxa"/>
            <w:vAlign w:val="bottom"/>
          </w:tcPr>
          <w:p>
            <w:pPr>
              <w:ind w:left="160"/>
              <w:spacing w:after="0"/>
              <w:rPr>
                <w:sz w:val="20"/>
                <w:szCs w:val="20"/>
                <w:color w:val="auto"/>
              </w:rPr>
            </w:pPr>
            <w:r>
              <w:rPr>
                <w:rFonts w:ascii="Verdana" w:cs="Verdana" w:eastAsia="Verdana" w:hAnsi="Verdana"/>
                <w:sz w:val="17"/>
                <w:szCs w:val="17"/>
                <w:color w:val="auto"/>
              </w:rPr>
              <w:t>препараты</w:t>
            </w:r>
          </w:p>
        </w:tc>
        <w:tc>
          <w:tcPr>
            <w:tcW w:w="1680" w:type="dxa"/>
            <w:vAlign w:val="bottom"/>
            <w:tcBorders>
              <w:right w:val="single" w:sz="8" w:color="auto"/>
            </w:tcBorders>
          </w:tcPr>
          <w:p>
            <w:pPr>
              <w:spacing w:after="0"/>
              <w:rPr>
                <w:sz w:val="19"/>
                <w:szCs w:val="19"/>
                <w:color w:val="auto"/>
              </w:rPr>
            </w:pPr>
          </w:p>
        </w:tc>
        <w:tc>
          <w:tcPr>
            <w:tcW w:w="1300" w:type="dxa"/>
            <w:vAlign w:val="bottom"/>
          </w:tcPr>
          <w:p>
            <w:pPr>
              <w:spacing w:after="0"/>
              <w:rPr>
                <w:sz w:val="19"/>
                <w:szCs w:val="19"/>
                <w:color w:val="auto"/>
              </w:rPr>
            </w:pPr>
          </w:p>
        </w:tc>
        <w:tc>
          <w:tcPr>
            <w:tcW w:w="240" w:type="dxa"/>
            <w:vAlign w:val="bottom"/>
          </w:tcPr>
          <w:p>
            <w:pPr>
              <w:spacing w:after="0"/>
              <w:rPr>
                <w:sz w:val="19"/>
                <w:szCs w:val="19"/>
                <w:color w:val="auto"/>
              </w:rPr>
            </w:pPr>
          </w:p>
        </w:tc>
        <w:tc>
          <w:tcPr>
            <w:tcW w:w="700" w:type="dxa"/>
            <w:vAlign w:val="bottom"/>
          </w:tcPr>
          <w:p>
            <w:pPr>
              <w:spacing w:after="0"/>
              <w:rPr>
                <w:sz w:val="19"/>
                <w:szCs w:val="19"/>
                <w:color w:val="auto"/>
              </w:rPr>
            </w:pPr>
          </w:p>
        </w:tc>
        <w:tc>
          <w:tcPr>
            <w:tcW w:w="540" w:type="dxa"/>
            <w:vAlign w:val="bottom"/>
          </w:tcPr>
          <w:p>
            <w:pPr>
              <w:spacing w:after="0"/>
              <w:rPr>
                <w:sz w:val="19"/>
                <w:szCs w:val="19"/>
                <w:color w:val="auto"/>
              </w:rPr>
            </w:pPr>
          </w:p>
        </w:tc>
        <w:tc>
          <w:tcPr>
            <w:tcW w:w="86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3180" w:type="dxa"/>
            <w:vAlign w:val="bottom"/>
            <w:tcBorders>
              <w:bottom w:val="single" w:sz="8" w:color="auto"/>
              <w:right w:val="single" w:sz="8" w:color="auto"/>
            </w:tcBorders>
            <w:gridSpan w:val="2"/>
          </w:tcPr>
          <w:p>
            <w:pPr>
              <w:spacing w:after="0"/>
              <w:rPr>
                <w:sz w:val="9"/>
                <w:szCs w:val="9"/>
                <w:color w:val="auto"/>
              </w:rPr>
            </w:pPr>
          </w:p>
        </w:tc>
        <w:tc>
          <w:tcPr>
            <w:tcW w:w="5260" w:type="dxa"/>
            <w:vAlign w:val="bottom"/>
            <w:tcBorders>
              <w:bottom w:val="single" w:sz="8" w:color="auto"/>
            </w:tcBorders>
            <w:gridSpan w:val="8"/>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3180" w:type="dxa"/>
            <w:vAlign w:val="bottom"/>
            <w:tcBorders>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Антиангиогенные</w:t>
            </w:r>
          </w:p>
        </w:tc>
        <w:tc>
          <w:tcPr>
            <w:tcW w:w="5260" w:type="dxa"/>
            <w:vAlign w:val="bottom"/>
            <w:gridSpan w:val="8"/>
          </w:tcPr>
          <w:p>
            <w:pPr>
              <w:ind w:left="160"/>
              <w:spacing w:after="0"/>
              <w:rPr>
                <w:sz w:val="20"/>
                <w:szCs w:val="20"/>
                <w:color w:val="auto"/>
              </w:rPr>
            </w:pP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ингибиторы  эндотелиального  сосудистого</w:t>
            </w:r>
          </w:p>
        </w:tc>
        <w:tc>
          <w:tcPr>
            <w:tcW w:w="0" w:type="dxa"/>
            <w:vAlign w:val="bottom"/>
          </w:tcPr>
          <w:p>
            <w:pPr>
              <w:spacing w:after="0"/>
              <w:rPr>
                <w:sz w:val="1"/>
                <w:szCs w:val="1"/>
                <w:color w:val="auto"/>
              </w:rPr>
            </w:pPr>
          </w:p>
        </w:tc>
      </w:tr>
      <w:tr>
        <w:trPr>
          <w:trHeight w:val="165"/>
        </w:trPr>
        <w:tc>
          <w:tcPr>
            <w:tcW w:w="3180" w:type="dxa"/>
            <w:vAlign w:val="bottom"/>
            <w:tcBorders>
              <w:right w:val="single" w:sz="8" w:color="auto"/>
            </w:tcBorders>
            <w:gridSpan w:val="2"/>
          </w:tcPr>
          <w:p>
            <w:pPr>
              <w:ind w:left="160"/>
              <w:spacing w:after="0" w:line="165" w:lineRule="exact"/>
              <w:rPr>
                <w:sz w:val="20"/>
                <w:szCs w:val="20"/>
                <w:color w:val="auto"/>
              </w:rPr>
            </w:pPr>
            <w:r>
              <w:rPr>
                <w:rFonts w:ascii="Verdana" w:cs="Verdana" w:eastAsia="Verdana" w:hAnsi="Verdana"/>
                <w:sz w:val="17"/>
                <w:szCs w:val="17"/>
                <w:color w:val="auto"/>
              </w:rPr>
              <w:t>противоопухолевые препараты</w:t>
            </w:r>
          </w:p>
        </w:tc>
        <w:tc>
          <w:tcPr>
            <w:tcW w:w="1300" w:type="dxa"/>
            <w:vAlign w:val="bottom"/>
          </w:tcPr>
          <w:p>
            <w:pPr>
              <w:ind w:left="160"/>
              <w:spacing w:after="0" w:line="165" w:lineRule="exact"/>
              <w:rPr>
                <w:sz w:val="20"/>
                <w:szCs w:val="20"/>
                <w:color w:val="auto"/>
              </w:rPr>
            </w:pPr>
            <w:r>
              <w:rPr>
                <w:rFonts w:ascii="Verdana" w:cs="Verdana" w:eastAsia="Verdana" w:hAnsi="Verdana"/>
                <w:sz w:val="17"/>
                <w:szCs w:val="17"/>
                <w:color w:val="auto"/>
              </w:rPr>
              <w:t>фактора</w:t>
            </w:r>
          </w:p>
        </w:tc>
        <w:tc>
          <w:tcPr>
            <w:tcW w:w="940" w:type="dxa"/>
            <w:vAlign w:val="bottom"/>
            <w:gridSpan w:val="2"/>
          </w:tcPr>
          <w:p>
            <w:pPr>
              <w:ind w:left="40"/>
              <w:spacing w:after="0" w:line="165" w:lineRule="exact"/>
              <w:rPr>
                <w:sz w:val="20"/>
                <w:szCs w:val="20"/>
                <w:color w:val="auto"/>
              </w:rPr>
            </w:pPr>
            <w:r>
              <w:rPr>
                <w:rFonts w:ascii="Verdana" w:cs="Verdana" w:eastAsia="Verdana" w:hAnsi="Verdana"/>
                <w:sz w:val="17"/>
                <w:szCs w:val="17"/>
                <w:color w:val="auto"/>
              </w:rPr>
              <w:t>роста</w:t>
            </w:r>
          </w:p>
        </w:tc>
        <w:tc>
          <w:tcPr>
            <w:tcW w:w="1400" w:type="dxa"/>
            <w:vAlign w:val="bottom"/>
            <w:gridSpan w:val="2"/>
          </w:tcPr>
          <w:p>
            <w:pPr>
              <w:jc w:val="right"/>
              <w:spacing w:after="0" w:line="165" w:lineRule="exact"/>
              <w:rPr>
                <w:sz w:val="20"/>
                <w:szCs w:val="20"/>
                <w:color w:val="auto"/>
              </w:rPr>
            </w:pPr>
            <w:r>
              <w:rPr>
                <w:rFonts w:ascii="Verdana" w:cs="Verdana" w:eastAsia="Verdana" w:hAnsi="Verdana"/>
                <w:sz w:val="17"/>
                <w:szCs w:val="17"/>
                <w:color w:val="auto"/>
                <w:w w:val="98"/>
              </w:rPr>
              <w:t>(</w:t>
            </w:r>
            <w:r>
              <w:rPr>
                <w:rFonts w:ascii="Verdana" w:cs="Verdana" w:eastAsia="Verdana" w:hAnsi="Verdana"/>
                <w:sz w:val="17"/>
                <w:szCs w:val="17"/>
                <w:color w:val="auto"/>
                <w:w w:val="98"/>
              </w:rPr>
              <w:t>бевацизумаб</w:t>
            </w:r>
            <w:r>
              <w:rPr>
                <w:rFonts w:ascii="Verdana" w:cs="Verdana" w:eastAsia="Verdana" w:hAnsi="Verdana"/>
                <w:sz w:val="17"/>
                <w:szCs w:val="17"/>
                <w:color w:val="auto"/>
                <w:w w:val="98"/>
              </w:rPr>
              <w:t>),</w:t>
            </w:r>
          </w:p>
        </w:tc>
        <w:tc>
          <w:tcPr>
            <w:tcW w:w="420" w:type="dxa"/>
            <w:vAlign w:val="bottom"/>
          </w:tcPr>
          <w:p>
            <w:pPr>
              <w:spacing w:after="0"/>
              <w:rPr>
                <w:sz w:val="14"/>
                <w:szCs w:val="14"/>
                <w:color w:val="auto"/>
              </w:rPr>
            </w:pPr>
          </w:p>
        </w:tc>
        <w:tc>
          <w:tcPr>
            <w:tcW w:w="1200" w:type="dxa"/>
            <w:vAlign w:val="bottom"/>
            <w:gridSpan w:val="2"/>
          </w:tcPr>
          <w:p>
            <w:pPr>
              <w:jc w:val="right"/>
              <w:ind w:right="77"/>
              <w:spacing w:after="0" w:line="165" w:lineRule="exact"/>
              <w:rPr>
                <w:sz w:val="20"/>
                <w:szCs w:val="20"/>
                <w:color w:val="auto"/>
              </w:rPr>
            </w:pPr>
            <w:r>
              <w:rPr>
                <w:rFonts w:ascii="Verdana" w:cs="Verdana" w:eastAsia="Verdana" w:hAnsi="Verdana"/>
                <w:sz w:val="17"/>
                <w:szCs w:val="17"/>
                <w:color w:val="auto"/>
                <w:w w:val="97"/>
              </w:rPr>
              <w:t>ингибиторы</w:t>
            </w:r>
          </w:p>
        </w:tc>
        <w:tc>
          <w:tcPr>
            <w:tcW w:w="0" w:type="dxa"/>
            <w:vAlign w:val="bottom"/>
          </w:tcPr>
          <w:p>
            <w:pPr>
              <w:spacing w:after="0"/>
              <w:rPr>
                <w:sz w:val="1"/>
                <w:szCs w:val="1"/>
                <w:color w:val="auto"/>
              </w:rPr>
            </w:pPr>
          </w:p>
        </w:tc>
      </w:tr>
      <w:tr>
        <w:trPr>
          <w:trHeight w:val="220"/>
        </w:trPr>
        <w:tc>
          <w:tcPr>
            <w:tcW w:w="1500" w:type="dxa"/>
            <w:vAlign w:val="bottom"/>
          </w:tcPr>
          <w:p>
            <w:pPr>
              <w:spacing w:after="0"/>
              <w:rPr>
                <w:sz w:val="19"/>
                <w:szCs w:val="19"/>
                <w:color w:val="auto"/>
              </w:rPr>
            </w:pPr>
          </w:p>
        </w:tc>
        <w:tc>
          <w:tcPr>
            <w:tcW w:w="1680" w:type="dxa"/>
            <w:vAlign w:val="bottom"/>
            <w:tcBorders>
              <w:right w:val="single" w:sz="8" w:color="auto"/>
            </w:tcBorders>
          </w:tcPr>
          <w:p>
            <w:pPr>
              <w:spacing w:after="0"/>
              <w:rPr>
                <w:sz w:val="19"/>
                <w:szCs w:val="19"/>
                <w:color w:val="auto"/>
              </w:rPr>
            </w:pPr>
          </w:p>
        </w:tc>
        <w:tc>
          <w:tcPr>
            <w:tcW w:w="4060" w:type="dxa"/>
            <w:vAlign w:val="bottom"/>
            <w:gridSpan w:val="6"/>
          </w:tcPr>
          <w:p>
            <w:pPr>
              <w:ind w:left="160"/>
              <w:spacing w:after="0"/>
              <w:rPr>
                <w:sz w:val="20"/>
                <w:szCs w:val="20"/>
                <w:color w:val="auto"/>
              </w:rPr>
            </w:pPr>
            <w:r>
              <w:rPr>
                <w:rFonts w:ascii="Verdana" w:cs="Verdana" w:eastAsia="Verdana" w:hAnsi="Verdana"/>
                <w:sz w:val="17"/>
                <w:szCs w:val="17"/>
                <w:color w:val="auto"/>
              </w:rPr>
              <w:t xml:space="preserve">тирозинкиназы </w:t>
            </w:r>
            <w:r>
              <w:rPr>
                <w:rFonts w:ascii="Verdana" w:cs="Verdana" w:eastAsia="Verdana" w:hAnsi="Verdana"/>
                <w:sz w:val="17"/>
                <w:szCs w:val="17"/>
                <w:color w:val="auto"/>
              </w:rPr>
              <w:t>(</w:t>
            </w:r>
            <w:r>
              <w:rPr>
                <w:rFonts w:ascii="Verdana" w:cs="Verdana" w:eastAsia="Verdana" w:hAnsi="Verdana"/>
                <w:sz w:val="17"/>
                <w:szCs w:val="17"/>
                <w:color w:val="auto"/>
              </w:rPr>
              <w:t>сунитиниб</w:t>
            </w:r>
            <w:r>
              <w:rPr>
                <w:rFonts w:ascii="Verdana" w:cs="Verdana" w:eastAsia="Verdana" w:hAnsi="Verdana"/>
                <w:sz w:val="17"/>
                <w:szCs w:val="17"/>
                <w:color w:val="auto"/>
              </w:rPr>
              <w:t>)</w:t>
            </w:r>
            <w:r>
              <w:rPr>
                <w:rFonts w:ascii="Verdana" w:cs="Verdana" w:eastAsia="Verdana" w:hAnsi="Verdana"/>
                <w:sz w:val="17"/>
                <w:szCs w:val="17"/>
                <w:color w:val="auto"/>
              </w:rPr>
              <w:t xml:space="preserve"> и сорафениб</w:t>
            </w: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3180" w:type="dxa"/>
            <w:vAlign w:val="bottom"/>
            <w:tcBorders>
              <w:bottom w:val="single" w:sz="8" w:color="auto"/>
              <w:right w:val="single" w:sz="8" w:color="auto"/>
            </w:tcBorders>
            <w:gridSpan w:val="2"/>
          </w:tcPr>
          <w:p>
            <w:pPr>
              <w:spacing w:after="0"/>
              <w:rPr>
                <w:sz w:val="9"/>
                <w:szCs w:val="9"/>
                <w:color w:val="auto"/>
              </w:rPr>
            </w:pPr>
          </w:p>
        </w:tc>
        <w:tc>
          <w:tcPr>
            <w:tcW w:w="5260" w:type="dxa"/>
            <w:vAlign w:val="bottom"/>
            <w:tcBorders>
              <w:bottom w:val="single" w:sz="8" w:color="auto"/>
            </w:tcBorders>
            <w:gridSpan w:val="8"/>
          </w:tcPr>
          <w:p>
            <w:pPr>
              <w:spacing w:after="0"/>
              <w:rPr>
                <w:sz w:val="9"/>
                <w:szCs w:val="9"/>
                <w:color w:val="auto"/>
              </w:rPr>
            </w:pPr>
          </w:p>
        </w:tc>
        <w:tc>
          <w:tcPr>
            <w:tcW w:w="0" w:type="dxa"/>
            <w:vAlign w:val="bottom"/>
          </w:tcPr>
          <w:p>
            <w:pPr>
              <w:spacing w:after="0"/>
              <w:rPr>
                <w:sz w:val="1"/>
                <w:szCs w:val="1"/>
                <w:color w:val="auto"/>
              </w:rPr>
            </w:pPr>
          </w:p>
        </w:tc>
      </w:tr>
      <w:tr>
        <w:trPr>
          <w:trHeight w:val="295"/>
        </w:trPr>
        <w:tc>
          <w:tcPr>
            <w:tcW w:w="3180" w:type="dxa"/>
            <w:vAlign w:val="bottom"/>
            <w:tcBorders>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Другие препараты и субстанции</w:t>
            </w:r>
            <w:r>
              <w:rPr>
                <w:rFonts w:ascii="Verdana" w:cs="Verdana" w:eastAsia="Verdana" w:hAnsi="Verdana"/>
                <w:sz w:val="17"/>
                <w:szCs w:val="17"/>
                <w:color w:val="auto"/>
              </w:rPr>
              <w:t>,</w:t>
            </w:r>
          </w:p>
        </w:tc>
        <w:tc>
          <w:tcPr>
            <w:tcW w:w="5260" w:type="dxa"/>
            <w:vAlign w:val="bottom"/>
            <w:gridSpan w:val="8"/>
          </w:tcPr>
          <w:p>
            <w:pPr>
              <w:ind w:left="160"/>
              <w:spacing w:after="0"/>
              <w:rPr>
                <w:sz w:val="20"/>
                <w:szCs w:val="20"/>
                <w:color w:val="auto"/>
              </w:rPr>
            </w:pPr>
            <w:r>
              <w:rPr>
                <w:rFonts w:ascii="Verdana" w:cs="Verdana" w:eastAsia="Verdana" w:hAnsi="Verdana"/>
                <w:sz w:val="17"/>
                <w:szCs w:val="17"/>
                <w:color w:val="auto"/>
              </w:rPr>
              <w:t>Анаболические стероиды</w:t>
            </w:r>
            <w:r>
              <w:rPr>
                <w:rFonts w:ascii="Verdana" w:cs="Verdana" w:eastAsia="Verdana" w:hAnsi="Verdana"/>
                <w:sz w:val="17"/>
                <w:szCs w:val="17"/>
                <w:color w:val="auto"/>
              </w:rPr>
              <w:t>,</w:t>
            </w:r>
            <w:r>
              <w:rPr>
                <w:rFonts w:ascii="Verdana" w:cs="Verdana" w:eastAsia="Verdana" w:hAnsi="Verdana"/>
                <w:sz w:val="17"/>
                <w:szCs w:val="17"/>
                <w:color w:val="auto"/>
              </w:rPr>
              <w:t xml:space="preserve"> эритропоэтин</w:t>
            </w:r>
            <w:r>
              <w:rPr>
                <w:rFonts w:ascii="Verdana" w:cs="Verdana" w:eastAsia="Verdana" w:hAnsi="Verdana"/>
                <w:sz w:val="17"/>
                <w:szCs w:val="17"/>
                <w:color w:val="auto"/>
              </w:rPr>
              <w:t>,</w:t>
            </w:r>
            <w:r>
              <w:rPr>
                <w:rFonts w:ascii="Verdana" w:cs="Verdana" w:eastAsia="Verdana" w:hAnsi="Verdana"/>
                <w:sz w:val="17"/>
                <w:szCs w:val="17"/>
                <w:color w:val="auto"/>
              </w:rPr>
              <w:t xml:space="preserve"> растительные</w:t>
            </w:r>
          </w:p>
        </w:tc>
        <w:tc>
          <w:tcPr>
            <w:tcW w:w="0" w:type="dxa"/>
            <w:vAlign w:val="bottom"/>
          </w:tcPr>
          <w:p>
            <w:pPr>
              <w:spacing w:after="0"/>
              <w:rPr>
                <w:sz w:val="1"/>
                <w:szCs w:val="1"/>
                <w:color w:val="auto"/>
              </w:rPr>
            </w:pPr>
          </w:p>
        </w:tc>
      </w:tr>
      <w:tr>
        <w:trPr>
          <w:trHeight w:val="220"/>
        </w:trPr>
        <w:tc>
          <w:tcPr>
            <w:tcW w:w="3180" w:type="dxa"/>
            <w:vAlign w:val="bottom"/>
            <w:tcBorders>
              <w:right w:val="single" w:sz="8" w:color="auto"/>
            </w:tcBorders>
            <w:gridSpan w:val="2"/>
          </w:tcPr>
          <w:p>
            <w:pPr>
              <w:ind w:left="160"/>
              <w:spacing w:after="0"/>
              <w:rPr>
                <w:sz w:val="20"/>
                <w:szCs w:val="20"/>
                <w:color w:val="auto"/>
              </w:rPr>
            </w:pPr>
            <w:r>
              <w:rPr>
                <w:rFonts w:ascii="Verdana" w:cs="Verdana" w:eastAsia="Verdana" w:hAnsi="Verdana"/>
                <w:sz w:val="17"/>
                <w:szCs w:val="17"/>
                <w:color w:val="auto"/>
              </w:rPr>
              <w:t>способные повышать АД</w:t>
            </w:r>
          </w:p>
        </w:tc>
        <w:tc>
          <w:tcPr>
            <w:tcW w:w="3640" w:type="dxa"/>
            <w:vAlign w:val="bottom"/>
            <w:gridSpan w:val="5"/>
          </w:tcPr>
          <w:p>
            <w:pPr>
              <w:ind w:left="160"/>
              <w:spacing w:after="0"/>
              <w:rPr>
                <w:sz w:val="20"/>
                <w:szCs w:val="20"/>
                <w:color w:val="auto"/>
              </w:rPr>
            </w:pPr>
            <w:r>
              <w:rPr>
                <w:rFonts w:ascii="Verdana" w:cs="Verdana" w:eastAsia="Verdana" w:hAnsi="Verdana"/>
                <w:sz w:val="17"/>
                <w:szCs w:val="17"/>
                <w:color w:val="auto"/>
              </w:rPr>
              <w:t xml:space="preserve">препараты </w:t>
            </w:r>
            <w:r>
              <w:rPr>
                <w:rFonts w:ascii="Verdana" w:cs="Verdana" w:eastAsia="Verdana" w:hAnsi="Verdana"/>
                <w:sz w:val="17"/>
                <w:szCs w:val="17"/>
                <w:color w:val="auto"/>
              </w:rPr>
              <w:t>(</w:t>
            </w:r>
            <w:r>
              <w:rPr>
                <w:rFonts w:ascii="Verdana" w:cs="Verdana" w:eastAsia="Verdana" w:hAnsi="Verdana"/>
                <w:sz w:val="17"/>
                <w:szCs w:val="17"/>
                <w:color w:val="auto"/>
              </w:rPr>
              <w:t>эфедра и марихуана</w:t>
            </w:r>
            <w:r>
              <w:rPr>
                <w:rFonts w:ascii="Verdana" w:cs="Verdana" w:eastAsia="Verdana" w:hAnsi="Verdana"/>
                <w:sz w:val="17"/>
                <w:szCs w:val="17"/>
                <w:color w:val="auto"/>
              </w:rPr>
              <w:t>)</w:t>
            </w:r>
          </w:p>
        </w:tc>
        <w:tc>
          <w:tcPr>
            <w:tcW w:w="420" w:type="dxa"/>
            <w:vAlign w:val="bottom"/>
          </w:tcPr>
          <w:p>
            <w:pPr>
              <w:spacing w:after="0"/>
              <w:rPr>
                <w:sz w:val="19"/>
                <w:szCs w:val="19"/>
                <w:color w:val="auto"/>
              </w:rPr>
            </w:pPr>
          </w:p>
        </w:tc>
        <w:tc>
          <w:tcPr>
            <w:tcW w:w="780" w:type="dxa"/>
            <w:vAlign w:val="bottom"/>
          </w:tcPr>
          <w:p>
            <w:pPr>
              <w:spacing w:after="0"/>
              <w:rPr>
                <w:sz w:val="19"/>
                <w:szCs w:val="19"/>
                <w:color w:val="auto"/>
              </w:rPr>
            </w:pPr>
          </w:p>
        </w:tc>
        <w:tc>
          <w:tcPr>
            <w:tcW w:w="420" w:type="dxa"/>
            <w:vAlign w:val="bottom"/>
          </w:tcPr>
          <w:p>
            <w:pPr>
              <w:spacing w:after="0"/>
              <w:rPr>
                <w:sz w:val="19"/>
                <w:szCs w:val="19"/>
                <w:color w:val="auto"/>
              </w:rPr>
            </w:pPr>
          </w:p>
        </w:tc>
        <w:tc>
          <w:tcPr>
            <w:tcW w:w="0" w:type="dxa"/>
            <w:vAlign w:val="bottom"/>
          </w:tcPr>
          <w:p>
            <w:pPr>
              <w:spacing w:after="0"/>
              <w:rPr>
                <w:sz w:val="1"/>
                <w:szCs w:val="1"/>
                <w:color w:val="auto"/>
              </w:rPr>
            </w:pPr>
          </w:p>
        </w:tc>
      </w:tr>
      <w:tr>
        <w:trPr>
          <w:trHeight w:val="110"/>
        </w:trPr>
        <w:tc>
          <w:tcPr>
            <w:tcW w:w="1500" w:type="dxa"/>
            <w:vAlign w:val="bottom"/>
            <w:tcBorders>
              <w:bottom w:val="single" w:sz="8" w:color="auto"/>
            </w:tcBorders>
          </w:tcPr>
          <w:p>
            <w:pPr>
              <w:spacing w:after="0"/>
              <w:rPr>
                <w:sz w:val="9"/>
                <w:szCs w:val="9"/>
                <w:color w:val="auto"/>
              </w:rPr>
            </w:pPr>
          </w:p>
        </w:tc>
        <w:tc>
          <w:tcPr>
            <w:tcW w:w="1680" w:type="dxa"/>
            <w:vAlign w:val="bottom"/>
            <w:tcBorders>
              <w:bottom w:val="single" w:sz="8" w:color="auto"/>
              <w:right w:val="single" w:sz="8" w:color="auto"/>
            </w:tcBorders>
          </w:tcPr>
          <w:p>
            <w:pPr>
              <w:spacing w:after="0"/>
              <w:rPr>
                <w:sz w:val="9"/>
                <w:szCs w:val="9"/>
                <w:color w:val="auto"/>
              </w:rPr>
            </w:pPr>
          </w:p>
        </w:tc>
        <w:tc>
          <w:tcPr>
            <w:tcW w:w="1300" w:type="dxa"/>
            <w:vAlign w:val="bottom"/>
            <w:tcBorders>
              <w:bottom w:val="single" w:sz="8" w:color="auto"/>
            </w:tcBorders>
          </w:tcPr>
          <w:p>
            <w:pPr>
              <w:spacing w:after="0"/>
              <w:rPr>
                <w:sz w:val="9"/>
                <w:szCs w:val="9"/>
                <w:color w:val="auto"/>
              </w:rPr>
            </w:pPr>
          </w:p>
        </w:tc>
        <w:tc>
          <w:tcPr>
            <w:tcW w:w="240" w:type="dxa"/>
            <w:vAlign w:val="bottom"/>
            <w:tcBorders>
              <w:bottom w:val="single" w:sz="8" w:color="auto"/>
            </w:tcBorders>
          </w:tcPr>
          <w:p>
            <w:pPr>
              <w:spacing w:after="0"/>
              <w:rPr>
                <w:sz w:val="9"/>
                <w:szCs w:val="9"/>
                <w:color w:val="auto"/>
              </w:rPr>
            </w:pPr>
          </w:p>
        </w:tc>
        <w:tc>
          <w:tcPr>
            <w:tcW w:w="700" w:type="dxa"/>
            <w:vAlign w:val="bottom"/>
            <w:tcBorders>
              <w:bottom w:val="single" w:sz="8" w:color="auto"/>
            </w:tcBorders>
          </w:tcPr>
          <w:p>
            <w:pPr>
              <w:spacing w:after="0"/>
              <w:rPr>
                <w:sz w:val="9"/>
                <w:szCs w:val="9"/>
                <w:color w:val="auto"/>
              </w:rPr>
            </w:pPr>
          </w:p>
        </w:tc>
        <w:tc>
          <w:tcPr>
            <w:tcW w:w="540" w:type="dxa"/>
            <w:vAlign w:val="bottom"/>
            <w:tcBorders>
              <w:bottom w:val="single" w:sz="8" w:color="auto"/>
            </w:tcBorders>
          </w:tcPr>
          <w:p>
            <w:pPr>
              <w:spacing w:after="0"/>
              <w:rPr>
                <w:sz w:val="9"/>
                <w:szCs w:val="9"/>
                <w:color w:val="auto"/>
              </w:rPr>
            </w:pPr>
          </w:p>
        </w:tc>
        <w:tc>
          <w:tcPr>
            <w:tcW w:w="86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780" w:type="dxa"/>
            <w:vAlign w:val="bottom"/>
            <w:tcBorders>
              <w:bottom w:val="single" w:sz="8" w:color="auto"/>
            </w:tcBorders>
          </w:tcPr>
          <w:p>
            <w:pPr>
              <w:spacing w:after="0"/>
              <w:rPr>
                <w:sz w:val="9"/>
                <w:szCs w:val="9"/>
                <w:color w:val="auto"/>
              </w:rPr>
            </w:pPr>
          </w:p>
        </w:tc>
        <w:tc>
          <w:tcPr>
            <w:tcW w:w="420" w:type="dxa"/>
            <w:vAlign w:val="bottom"/>
            <w:tcBorders>
              <w:bottom w:val="single" w:sz="8" w:color="auto"/>
            </w:tcBorders>
          </w:tcPr>
          <w:p>
            <w:pPr>
              <w:spacing w:after="0"/>
              <w:rPr>
                <w:sz w:val="9"/>
                <w:szCs w:val="9"/>
                <w:color w:val="auto"/>
              </w:rPr>
            </w:pPr>
          </w:p>
        </w:tc>
        <w:tc>
          <w:tcPr>
            <w:tcW w:w="0" w:type="dxa"/>
            <w:vAlign w:val="bottom"/>
          </w:tcPr>
          <w:p>
            <w:pPr>
              <w:spacing w:after="0"/>
              <w:rPr>
                <w:sz w:val="1"/>
                <w:szCs w:val="1"/>
                <w:color w:val="auto"/>
              </w:rPr>
            </w:pPr>
          </w:p>
        </w:tc>
      </w:tr>
    </w:tbl>
    <w:p>
      <w:pPr>
        <w:spacing w:after="0" w:line="200" w:lineRule="exact"/>
        <w:rPr>
          <w:sz w:val="20"/>
          <w:szCs w:val="20"/>
          <w:color w:val="auto"/>
        </w:rPr>
      </w:pPr>
    </w:p>
    <w:p>
      <w:pPr>
        <w:spacing w:after="0" w:line="200" w:lineRule="exact"/>
        <w:rPr>
          <w:sz w:val="20"/>
          <w:szCs w:val="20"/>
          <w:color w:val="auto"/>
        </w:rPr>
      </w:pPr>
    </w:p>
    <w:p>
      <w:pPr>
        <w:spacing w:after="0" w:line="280" w:lineRule="exact"/>
        <w:rPr>
          <w:sz w:val="20"/>
          <w:szCs w:val="20"/>
          <w:color w:val="auto"/>
        </w:rPr>
      </w:pPr>
    </w:p>
    <w:p>
      <w:pPr>
        <w:jc w:val="both"/>
        <w:ind w:left="360" w:right="220"/>
        <w:spacing w:after="0" w:line="319" w:lineRule="auto"/>
        <w:rPr>
          <w:sz w:val="20"/>
          <w:szCs w:val="20"/>
          <w:color w:val="auto"/>
        </w:rPr>
      </w:pPr>
      <w:r>
        <w:rPr>
          <w:rFonts w:ascii="Arial" w:cs="Arial" w:eastAsia="Arial" w:hAnsi="Arial"/>
          <w:sz w:val="27"/>
          <w:szCs w:val="27"/>
          <w:b w:val="1"/>
          <w:bCs w:val="1"/>
          <w:color w:val="auto"/>
        </w:rPr>
        <w:t>Таблица П</w:t>
      </w:r>
      <w:r>
        <w:rPr>
          <w:rFonts w:ascii="Arial" w:cs="Arial" w:eastAsia="Arial" w:hAnsi="Arial"/>
          <w:sz w:val="27"/>
          <w:szCs w:val="27"/>
          <w:b w:val="1"/>
          <w:bCs w:val="1"/>
          <w:color w:val="auto"/>
        </w:rPr>
        <w:t>4/</w:t>
      </w:r>
      <w:r>
        <w:rPr>
          <w:rFonts w:ascii="Arial" w:cs="Arial" w:eastAsia="Arial" w:hAnsi="Arial"/>
          <w:sz w:val="27"/>
          <w:szCs w:val="27"/>
          <w:b w:val="1"/>
          <w:bCs w:val="1"/>
          <w:color w:val="auto"/>
        </w:rPr>
        <w:t>Г</w:t>
      </w:r>
      <w:r>
        <w:rPr>
          <w:rFonts w:ascii="Arial" w:cs="Arial" w:eastAsia="Arial" w:hAnsi="Arial"/>
          <w:sz w:val="27"/>
          <w:szCs w:val="27"/>
          <w:b w:val="1"/>
          <w:bCs w:val="1"/>
          <w:color w:val="auto"/>
        </w:rPr>
        <w:t>5.</w:t>
      </w:r>
      <w:r>
        <w:rPr>
          <w:rFonts w:ascii="Arial" w:cs="Arial" w:eastAsia="Arial" w:hAnsi="Arial"/>
          <w:sz w:val="27"/>
          <w:szCs w:val="27"/>
          <w:b w:val="1"/>
          <w:bCs w:val="1"/>
          <w:color w:val="auto"/>
        </w:rPr>
        <w:t xml:space="preserve"> Мероприятия</w:t>
      </w:r>
      <w:r>
        <w:rPr>
          <w:rFonts w:ascii="Arial" w:cs="Arial" w:eastAsia="Arial" w:hAnsi="Arial"/>
          <w:sz w:val="27"/>
          <w:szCs w:val="27"/>
          <w:b w:val="1"/>
          <w:bCs w:val="1"/>
          <w:color w:val="auto"/>
        </w:rPr>
        <w:t>,</w:t>
      </w:r>
      <w:r>
        <w:rPr>
          <w:rFonts w:ascii="Arial" w:cs="Arial" w:eastAsia="Arial" w:hAnsi="Arial"/>
          <w:sz w:val="27"/>
          <w:szCs w:val="27"/>
          <w:b w:val="1"/>
          <w:bCs w:val="1"/>
          <w:color w:val="auto"/>
        </w:rPr>
        <w:t xml:space="preserve"> которые могут повысить приверженность пациентов с артериальной гипертензией к лекарственной терапии</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229235</wp:posOffset>
            </wp:positionH>
            <wp:positionV relativeFrom="paragraph">
              <wp:posOffset>535305</wp:posOffset>
            </wp:positionV>
            <wp:extent cx="5365115" cy="3277870"/>
            <wp:wrapNone/>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412">
                      <a:extLst>
                        <a:ext uri="{28A0092B-C50C-407E-A947-70E740481C1C}"/>
                      </a:extLst>
                    </a:blip>
                    <a:srcRect/>
                    <a:stretch>
                      <a:fillRect/>
                    </a:stretch>
                  </pic:blipFill>
                  <pic:spPr bwMode="auto">
                    <a:xfrm>
                      <a:off x="0" y="0"/>
                      <a:ext cx="5365115" cy="327787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3"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На уровне врача</w:t>
      </w:r>
    </w:p>
    <w:p>
      <w:pPr>
        <w:spacing w:after="0" w:line="278" w:lineRule="exact"/>
        <w:rPr>
          <w:sz w:val="20"/>
          <w:szCs w:val="20"/>
          <w:color w:val="auto"/>
        </w:rPr>
      </w:pPr>
    </w:p>
    <w:p>
      <w:pPr>
        <w:jc w:val="both"/>
        <w:ind w:left="520" w:right="380"/>
        <w:spacing w:after="0" w:line="204" w:lineRule="auto"/>
        <w:rPr>
          <w:sz w:val="20"/>
          <w:szCs w:val="20"/>
          <w:color w:val="auto"/>
        </w:rPr>
      </w:pPr>
      <w:r>
        <w:rPr>
          <w:rFonts w:ascii="Verdana" w:cs="Verdana" w:eastAsia="Verdana" w:hAnsi="Verdana"/>
          <w:sz w:val="17"/>
          <w:szCs w:val="17"/>
          <w:color w:val="auto"/>
        </w:rPr>
        <w:t>Предоставление пациенту информации о рисках при АГ и преимуществах терапии</w:t>
      </w:r>
      <w:r>
        <w:rPr>
          <w:rFonts w:ascii="Verdana" w:cs="Verdana" w:eastAsia="Verdana" w:hAnsi="Verdana"/>
          <w:sz w:val="17"/>
          <w:szCs w:val="17"/>
          <w:color w:val="auto"/>
        </w:rPr>
        <w:t>,</w:t>
      </w:r>
      <w:r>
        <w:rPr>
          <w:rFonts w:ascii="Verdana" w:cs="Verdana" w:eastAsia="Verdana" w:hAnsi="Verdana"/>
          <w:sz w:val="17"/>
          <w:szCs w:val="17"/>
          <w:color w:val="auto"/>
        </w:rPr>
        <w:t xml:space="preserve"> согласование стратегии лечения</w:t>
      </w:r>
      <w:r>
        <w:rPr>
          <w:rFonts w:ascii="Verdana" w:cs="Verdana" w:eastAsia="Verdana" w:hAnsi="Verdana"/>
          <w:sz w:val="17"/>
          <w:szCs w:val="17"/>
          <w:color w:val="auto"/>
        </w:rPr>
        <w:t>,</w:t>
      </w:r>
      <w:r>
        <w:rPr>
          <w:rFonts w:ascii="Verdana" w:cs="Verdana" w:eastAsia="Verdana" w:hAnsi="Verdana"/>
          <w:sz w:val="17"/>
          <w:szCs w:val="17"/>
          <w:color w:val="auto"/>
        </w:rPr>
        <w:t xml:space="preserve"> направленной на поддержание нормального АД с использованием рекомендаций по изменению образа жизни и назначения фиксированных комбинаций</w:t>
      </w:r>
      <w:r>
        <w:rPr>
          <w:rFonts w:ascii="Verdana" w:cs="Verdana" w:eastAsia="Verdana" w:hAnsi="Verdana"/>
          <w:sz w:val="17"/>
          <w:szCs w:val="17"/>
          <w:color w:val="auto"/>
        </w:rPr>
        <w:t>;</w:t>
      </w:r>
      <w:r>
        <w:rPr>
          <w:rFonts w:ascii="Verdana" w:cs="Verdana" w:eastAsia="Verdana" w:hAnsi="Verdana"/>
          <w:sz w:val="17"/>
          <w:szCs w:val="17"/>
          <w:color w:val="auto"/>
        </w:rPr>
        <w:t xml:space="preserve"> использование информационных материалов</w:t>
      </w:r>
      <w:r>
        <w:rPr>
          <w:rFonts w:ascii="Verdana" w:cs="Verdana" w:eastAsia="Verdana" w:hAnsi="Verdana"/>
          <w:sz w:val="17"/>
          <w:szCs w:val="17"/>
          <w:color w:val="auto"/>
        </w:rPr>
        <w:t>,</w:t>
      </w:r>
      <w:r>
        <w:rPr>
          <w:rFonts w:ascii="Verdana" w:cs="Verdana" w:eastAsia="Verdana" w:hAnsi="Verdana"/>
          <w:sz w:val="17"/>
          <w:szCs w:val="17"/>
          <w:color w:val="auto"/>
        </w:rPr>
        <w:t xml:space="preserve"> программ обучения</w:t>
      </w:r>
      <w:r>
        <w:rPr>
          <w:rFonts w:ascii="Verdana" w:cs="Verdana" w:eastAsia="Verdana" w:hAnsi="Verdana"/>
          <w:sz w:val="17"/>
          <w:szCs w:val="17"/>
          <w:color w:val="auto"/>
        </w:rPr>
        <w:t>,</w:t>
      </w:r>
      <w:r>
        <w:rPr>
          <w:rFonts w:ascii="Verdana" w:cs="Verdana" w:eastAsia="Verdana" w:hAnsi="Verdana"/>
          <w:sz w:val="17"/>
          <w:szCs w:val="17"/>
          <w:color w:val="auto"/>
        </w:rPr>
        <w:t xml:space="preserve"> консультирование с помощью компьютерных технологий</w:t>
      </w:r>
    </w:p>
    <w:p>
      <w:pPr>
        <w:spacing w:after="0" w:line="262"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Получение обратной связи в отношении соблюдения рекомендаций и наличия улучшения</w:t>
      </w:r>
    </w:p>
    <w:p>
      <w:pPr>
        <w:spacing w:after="0" w:line="274" w:lineRule="exact"/>
        <w:rPr>
          <w:sz w:val="20"/>
          <w:szCs w:val="20"/>
          <w:color w:val="auto"/>
        </w:rPr>
      </w:pPr>
    </w:p>
    <w:p>
      <w:pPr>
        <w:jc w:val="both"/>
        <w:ind w:left="520" w:right="380"/>
        <w:spacing w:after="0" w:line="223" w:lineRule="auto"/>
        <w:rPr>
          <w:sz w:val="20"/>
          <w:szCs w:val="20"/>
          <w:color w:val="auto"/>
        </w:rPr>
      </w:pPr>
      <w:r>
        <w:rPr>
          <w:rFonts w:ascii="Verdana" w:cs="Verdana" w:eastAsia="Verdana" w:hAnsi="Verdana"/>
          <w:sz w:val="17"/>
          <w:szCs w:val="17"/>
          <w:color w:val="auto"/>
        </w:rPr>
        <w:t>Оценка и разрешение индивидуальных проблем</w:t>
      </w:r>
      <w:r>
        <w:rPr>
          <w:rFonts w:ascii="Verdana" w:cs="Verdana" w:eastAsia="Verdana" w:hAnsi="Verdana"/>
          <w:sz w:val="17"/>
          <w:szCs w:val="17"/>
          <w:color w:val="auto"/>
        </w:rPr>
        <w:t>,</w:t>
      </w:r>
      <w:r>
        <w:rPr>
          <w:rFonts w:ascii="Verdana" w:cs="Verdana" w:eastAsia="Verdana" w:hAnsi="Verdana"/>
          <w:sz w:val="17"/>
          <w:szCs w:val="17"/>
          <w:color w:val="auto"/>
        </w:rPr>
        <w:t xml:space="preserve"> препятствующих высокой приверженности к лечению</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Сотрудничество с другими медицинскими сотрудниками</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На уровне пациента</w:t>
      </w:r>
    </w:p>
    <w:p>
      <w:pPr>
        <w:spacing w:after="0" w:line="278"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Самоконтроль АД </w:t>
      </w:r>
      <w:r>
        <w:rPr>
          <w:rFonts w:ascii="Verdana" w:cs="Verdana" w:eastAsia="Verdana" w:hAnsi="Verdana"/>
          <w:sz w:val="17"/>
          <w:szCs w:val="17"/>
          <w:color w:val="auto"/>
        </w:rPr>
        <w:t>(</w:t>
      </w:r>
      <w:r>
        <w:rPr>
          <w:rFonts w:ascii="Verdana" w:cs="Verdana" w:eastAsia="Verdana" w:hAnsi="Verdana"/>
          <w:sz w:val="17"/>
          <w:szCs w:val="17"/>
          <w:color w:val="auto"/>
        </w:rPr>
        <w:t>в том числе телемониторирование</w:t>
      </w:r>
      <w:r>
        <w:rPr>
          <w:rFonts w:ascii="Verdana" w:cs="Verdana" w:eastAsia="Verdana" w:hAnsi="Verdana"/>
          <w:sz w:val="17"/>
          <w:szCs w:val="17"/>
          <w:color w:val="auto"/>
        </w:rPr>
        <w:t>)</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Групповые занятия и тренинги</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Рекомендации в сочетании с мотивационными стратегиями</w:t>
      </w:r>
    </w:p>
    <w:p>
      <w:pPr>
        <w:spacing w:after="0" w:line="20" w:lineRule="exact"/>
        <w:rPr>
          <w:sz w:val="20"/>
          <w:szCs w:val="20"/>
          <w:color w:val="auto"/>
        </w:rPr>
      </w:pPr>
    </w:p>
    <w:p>
      <w:pPr>
        <w:sectPr>
          <w:pgSz w:w="11900" w:h="16840" w:orient="portrait"/>
          <w:cols w:equalWidth="0" w:num="1">
            <w:col w:w="9020"/>
          </w:cols>
          <w:pgMar w:left="1440" w:top="19" w:right="1440" w:bottom="0" w:gutter="0" w:footer="0" w:header="0"/>
        </w:sectPr>
      </w:pPr>
    </w:p>
    <w:bookmarkStart w:id="161" w:name="page162"/>
    <w:bookmarkEnd w:id="161"/>
    <w:p>
      <w:pPr>
        <w:ind w:left="520"/>
        <w:spacing w:after="0"/>
        <w:rPr>
          <w:sz w:val="20"/>
          <w:szCs w:val="20"/>
          <w:color w:val="auto"/>
        </w:rPr>
      </w:pPr>
      <w:r>
        <w:rPr>
          <w:rFonts w:ascii="Verdana" w:cs="Verdana" w:eastAsia="Verdana" w:hAnsi="Verdana"/>
          <w:sz w:val="17"/>
          <w:szCs w:val="17"/>
          <w:color w:val="auto"/>
        </w:rPr>
        <w:drawing>
          <wp:anchor simplePos="0" relativeHeight="251657728" behindDoc="1" locked="0" layoutInCell="0" allowOverlap="1">
            <wp:simplePos x="0" y="0"/>
            <wp:positionH relativeFrom="page">
              <wp:posOffset>1143635</wp:posOffset>
            </wp:positionH>
            <wp:positionV relativeFrom="page">
              <wp:posOffset>0</wp:posOffset>
            </wp:positionV>
            <wp:extent cx="5365115" cy="4088130"/>
            <wp:wrapNone/>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413">
                      <a:extLst>
                        <a:ext uri="{28A0092B-C50C-407E-A947-70E740481C1C}"/>
                      </a:extLst>
                    </a:blip>
                    <a:srcRect/>
                    <a:stretch>
                      <a:fillRect/>
                    </a:stretch>
                  </pic:blipFill>
                  <pic:spPr bwMode="auto">
                    <a:xfrm>
                      <a:off x="0" y="0"/>
                      <a:ext cx="5365115" cy="4088130"/>
                    </a:xfrm>
                    <a:prstGeom prst="rect">
                      <a:avLst/>
                    </a:prstGeom>
                    <a:noFill/>
                  </pic:spPr>
                </pic:pic>
              </a:graphicData>
            </a:graphic>
          </wp:anchor>
        </w:drawing>
        <w:t>Использование систем напоминания</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Получение поддержки семьи и общества</w:t>
      </w:r>
    </w:p>
    <w:p>
      <w:pPr>
        <w:spacing w:after="0" w:line="274"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Обеспечение лекарственными препаратами на рабочем месте</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На уровне лекарственной терапии</w:t>
      </w:r>
    </w:p>
    <w:p>
      <w:pPr>
        <w:spacing w:after="0" w:line="278"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Упрощение схем приема препарата</w:t>
      </w:r>
      <w:r>
        <w:rPr>
          <w:rFonts w:ascii="Verdana" w:cs="Verdana" w:eastAsia="Verdana" w:hAnsi="Verdana"/>
          <w:sz w:val="17"/>
          <w:szCs w:val="17"/>
          <w:color w:val="auto"/>
        </w:rPr>
        <w:t>,</w:t>
      </w:r>
      <w:r>
        <w:rPr>
          <w:rFonts w:ascii="Verdana" w:cs="Verdana" w:eastAsia="Verdana" w:hAnsi="Verdana"/>
          <w:sz w:val="17"/>
          <w:szCs w:val="17"/>
          <w:color w:val="auto"/>
        </w:rPr>
        <w:t xml:space="preserve"> предпочтение </w:t>
      </w:r>
      <w:r>
        <w:rPr>
          <w:rFonts w:ascii="Verdana" w:cs="Verdana" w:eastAsia="Verdana" w:hAnsi="Verdana"/>
          <w:sz w:val="17"/>
          <w:szCs w:val="17"/>
          <w:color w:val="auto"/>
        </w:rPr>
        <w:t>—</w:t>
      </w:r>
      <w:r>
        <w:rPr>
          <w:rFonts w:ascii="Verdana" w:cs="Verdana" w:eastAsia="Verdana" w:hAnsi="Verdana"/>
          <w:sz w:val="17"/>
          <w:szCs w:val="17"/>
          <w:color w:val="auto"/>
        </w:rPr>
        <w:t xml:space="preserve"> фиксированным комбинациям и стратегии </w:t>
      </w:r>
      <w:r>
        <w:rPr>
          <w:rFonts w:ascii="Verdana" w:cs="Verdana" w:eastAsia="Verdana" w:hAnsi="Verdana"/>
          <w:sz w:val="17"/>
          <w:szCs w:val="17"/>
          <w:color w:val="auto"/>
        </w:rPr>
        <w:t>«</w:t>
      </w:r>
      <w:r>
        <w:rPr>
          <w:rFonts w:ascii="Verdana" w:cs="Verdana" w:eastAsia="Verdana" w:hAnsi="Verdana"/>
          <w:sz w:val="17"/>
          <w:szCs w:val="17"/>
          <w:color w:val="auto"/>
        </w:rPr>
        <w:t>одной таблетки</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Упаковки с системой напоминаний</w:t>
      </w:r>
    </w:p>
    <w:p>
      <w:pPr>
        <w:spacing w:after="0" w:line="270" w:lineRule="exact"/>
        <w:rPr>
          <w:sz w:val="20"/>
          <w:szCs w:val="20"/>
          <w:color w:val="auto"/>
        </w:rPr>
      </w:pPr>
    </w:p>
    <w:p>
      <w:pPr>
        <w:ind w:left="520"/>
        <w:spacing w:after="0"/>
        <w:rPr>
          <w:sz w:val="20"/>
          <w:szCs w:val="20"/>
          <w:color w:val="auto"/>
        </w:rPr>
      </w:pPr>
      <w:r>
        <w:rPr>
          <w:rFonts w:ascii="Verdana" w:cs="Verdana" w:eastAsia="Verdana" w:hAnsi="Verdana"/>
          <w:sz w:val="17"/>
          <w:szCs w:val="17"/>
          <w:b w:val="1"/>
          <w:bCs w:val="1"/>
          <w:color w:val="auto"/>
        </w:rPr>
        <w:t>На уровне системы здравоохранения</w:t>
      </w:r>
    </w:p>
    <w:p>
      <w:pPr>
        <w:spacing w:after="0" w:line="278"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 xml:space="preserve">Поддержка развития систем мониторирования </w:t>
      </w:r>
      <w:r>
        <w:rPr>
          <w:rFonts w:ascii="Verdana" w:cs="Verdana" w:eastAsia="Verdana" w:hAnsi="Verdana"/>
          <w:sz w:val="17"/>
          <w:szCs w:val="17"/>
          <w:color w:val="auto"/>
        </w:rPr>
        <w:t>(</w:t>
      </w:r>
      <w:r>
        <w:rPr>
          <w:rFonts w:ascii="Verdana" w:cs="Verdana" w:eastAsia="Verdana" w:hAnsi="Verdana"/>
          <w:sz w:val="17"/>
          <w:szCs w:val="17"/>
          <w:color w:val="auto"/>
        </w:rPr>
        <w:t>телефонные контакты</w:t>
      </w:r>
      <w:r>
        <w:rPr>
          <w:rFonts w:ascii="Verdana" w:cs="Verdana" w:eastAsia="Verdana" w:hAnsi="Verdana"/>
          <w:sz w:val="17"/>
          <w:szCs w:val="17"/>
          <w:color w:val="auto"/>
        </w:rPr>
        <w:t>,</w:t>
      </w:r>
      <w:r>
        <w:rPr>
          <w:rFonts w:ascii="Verdana" w:cs="Verdana" w:eastAsia="Verdana" w:hAnsi="Verdana"/>
          <w:sz w:val="17"/>
          <w:szCs w:val="17"/>
          <w:color w:val="auto"/>
        </w:rPr>
        <w:t xml:space="preserve"> посещения на дому</w:t>
      </w:r>
      <w:r>
        <w:rPr>
          <w:rFonts w:ascii="Verdana" w:cs="Verdana" w:eastAsia="Verdana" w:hAnsi="Verdana"/>
          <w:sz w:val="17"/>
          <w:szCs w:val="17"/>
          <w:color w:val="auto"/>
        </w:rPr>
        <w:t>,</w:t>
      </w:r>
      <w:r>
        <w:rPr>
          <w:rFonts w:ascii="Verdana" w:cs="Verdana" w:eastAsia="Verdana" w:hAnsi="Verdana"/>
          <w:sz w:val="17"/>
          <w:szCs w:val="17"/>
          <w:color w:val="auto"/>
        </w:rPr>
        <w:t xml:space="preserve"> телемониторинг результатов домашнего контроля АД</w:t>
      </w:r>
      <w:r>
        <w:rPr>
          <w:rFonts w:ascii="Verdana" w:cs="Verdana" w:eastAsia="Verdana" w:hAnsi="Verdana"/>
          <w:sz w:val="17"/>
          <w:szCs w:val="17"/>
          <w:color w:val="auto"/>
        </w:rPr>
        <w:t>)</w:t>
      </w:r>
    </w:p>
    <w:p>
      <w:pPr>
        <w:spacing w:after="0" w:line="261"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 xml:space="preserve">Финансовая поддержка системы взаимодействия между различными представителями системы здравоохранения </w:t>
      </w:r>
      <w:r>
        <w:rPr>
          <w:rFonts w:ascii="Verdana" w:cs="Verdana" w:eastAsia="Verdana" w:hAnsi="Verdana"/>
          <w:sz w:val="17"/>
          <w:szCs w:val="17"/>
          <w:color w:val="auto"/>
        </w:rPr>
        <w:t>(</w:t>
      </w:r>
      <w:r>
        <w:rPr>
          <w:rFonts w:ascii="Verdana" w:cs="Verdana" w:eastAsia="Verdana" w:hAnsi="Verdana"/>
          <w:sz w:val="17"/>
          <w:szCs w:val="17"/>
          <w:color w:val="auto"/>
        </w:rPr>
        <w:t>например</w:t>
      </w:r>
      <w:r>
        <w:rPr>
          <w:rFonts w:ascii="Verdana" w:cs="Verdana" w:eastAsia="Verdana" w:hAnsi="Verdana"/>
          <w:sz w:val="17"/>
          <w:szCs w:val="17"/>
          <w:color w:val="auto"/>
        </w:rPr>
        <w:t>,</w:t>
      </w:r>
      <w:r>
        <w:rPr>
          <w:rFonts w:ascii="Verdana" w:cs="Verdana" w:eastAsia="Verdana" w:hAnsi="Verdana"/>
          <w:sz w:val="17"/>
          <w:szCs w:val="17"/>
          <w:color w:val="auto"/>
        </w:rPr>
        <w:t xml:space="preserve"> фармацевты и медицинские сестры</w:t>
      </w:r>
      <w:r>
        <w:rPr>
          <w:rFonts w:ascii="Verdana" w:cs="Verdana" w:eastAsia="Verdana" w:hAnsi="Verdana"/>
          <w:sz w:val="17"/>
          <w:szCs w:val="17"/>
          <w:color w:val="auto"/>
        </w:rPr>
        <w:t>)</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 xml:space="preserve">Система компенсации стратегии </w:t>
      </w:r>
      <w:r>
        <w:rPr>
          <w:rFonts w:ascii="Verdana" w:cs="Verdana" w:eastAsia="Verdana" w:hAnsi="Verdana"/>
          <w:sz w:val="17"/>
          <w:szCs w:val="17"/>
          <w:color w:val="auto"/>
        </w:rPr>
        <w:t>«</w:t>
      </w:r>
      <w:r>
        <w:rPr>
          <w:rFonts w:ascii="Verdana" w:cs="Verdana" w:eastAsia="Verdana" w:hAnsi="Verdana"/>
          <w:sz w:val="17"/>
          <w:szCs w:val="17"/>
          <w:color w:val="auto"/>
        </w:rPr>
        <w:t>одной таблетки</w:t>
      </w:r>
      <w:r>
        <w:rPr>
          <w:rFonts w:ascii="Verdana" w:cs="Verdana" w:eastAsia="Verdana" w:hAnsi="Verdana"/>
          <w:sz w:val="17"/>
          <w:szCs w:val="17"/>
          <w:color w:val="auto"/>
        </w:rPr>
        <w:t>»</w:t>
      </w:r>
    </w:p>
    <w:p>
      <w:pPr>
        <w:spacing w:after="0" w:line="274" w:lineRule="exact"/>
        <w:rPr>
          <w:sz w:val="20"/>
          <w:szCs w:val="20"/>
          <w:color w:val="auto"/>
        </w:rPr>
      </w:pPr>
    </w:p>
    <w:p>
      <w:pPr>
        <w:ind w:left="520" w:right="380"/>
        <w:spacing w:after="0" w:line="223" w:lineRule="auto"/>
        <w:rPr>
          <w:sz w:val="20"/>
          <w:szCs w:val="20"/>
          <w:color w:val="auto"/>
        </w:rPr>
      </w:pPr>
      <w:r>
        <w:rPr>
          <w:rFonts w:ascii="Verdana" w:cs="Verdana" w:eastAsia="Verdana" w:hAnsi="Verdana"/>
          <w:sz w:val="17"/>
          <w:szCs w:val="17"/>
          <w:color w:val="auto"/>
        </w:rPr>
        <w:t>Развитие национальных баз данных</w:t>
      </w:r>
      <w:r>
        <w:rPr>
          <w:rFonts w:ascii="Verdana" w:cs="Verdana" w:eastAsia="Verdana" w:hAnsi="Verdana"/>
          <w:sz w:val="17"/>
          <w:szCs w:val="17"/>
          <w:color w:val="auto"/>
        </w:rPr>
        <w:t>,</w:t>
      </w:r>
      <w:r>
        <w:rPr>
          <w:rFonts w:ascii="Verdana" w:cs="Verdana" w:eastAsia="Verdana" w:hAnsi="Verdana"/>
          <w:sz w:val="17"/>
          <w:szCs w:val="17"/>
          <w:color w:val="auto"/>
        </w:rPr>
        <w:t xml:space="preserve"> включая данные о назначении лекарственных препаратов</w:t>
      </w:r>
      <w:r>
        <w:rPr>
          <w:rFonts w:ascii="Verdana" w:cs="Verdana" w:eastAsia="Verdana" w:hAnsi="Verdana"/>
          <w:sz w:val="17"/>
          <w:szCs w:val="17"/>
          <w:color w:val="auto"/>
        </w:rPr>
        <w:t>,</w:t>
      </w:r>
      <w:r>
        <w:rPr>
          <w:rFonts w:ascii="Verdana" w:cs="Verdana" w:eastAsia="Verdana" w:hAnsi="Verdana"/>
          <w:sz w:val="17"/>
          <w:szCs w:val="17"/>
          <w:color w:val="auto"/>
        </w:rPr>
        <w:t xml:space="preserve"> доступных для врачей и фармацевтов</w:t>
      </w:r>
    </w:p>
    <w:p>
      <w:pPr>
        <w:spacing w:after="0" w:line="261" w:lineRule="exact"/>
        <w:rPr>
          <w:sz w:val="20"/>
          <w:szCs w:val="20"/>
          <w:color w:val="auto"/>
        </w:rPr>
      </w:pPr>
    </w:p>
    <w:p>
      <w:pPr>
        <w:ind w:left="520"/>
        <w:spacing w:after="0"/>
        <w:rPr>
          <w:sz w:val="20"/>
          <w:szCs w:val="20"/>
          <w:color w:val="auto"/>
        </w:rPr>
      </w:pPr>
      <w:r>
        <w:rPr>
          <w:rFonts w:ascii="Verdana" w:cs="Verdana" w:eastAsia="Verdana" w:hAnsi="Verdana"/>
          <w:sz w:val="17"/>
          <w:szCs w:val="17"/>
          <w:color w:val="auto"/>
        </w:rPr>
        <w:t>Доступность препаратов</w:t>
      </w:r>
    </w:p>
    <w:sectPr>
      <w:pgSz w:w="11900" w:h="16840" w:orient="portrait"/>
      <w:cols w:equalWidth="0" w:num="1">
        <w:col w:w="9020"/>
      </w:cols>
      <w:pgMar w:left="1440" w:top="143" w:right="1440" w:bottom="1440" w:gutter="0" w:footer="0" w:header="0"/>
    </w:sectPr>
  </w:body>
</w:document>
</file>

<file path=word/fontTable.xml><?xml version="1.0" encoding="utf-8"?>
<w:font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400001FF" w:csb1="FFFF0000"/>
  </w:font>
  <w:font w:name="Lucida Sans Unicode">
    <w:panose1 w:val="020B0602030504020204"/>
    <w:charset w:val="00"/>
    <w:family w:val="auto"/>
    <w:pitch w:val="variable"/>
    <w:sig w:usb0="80001AFF" w:usb1="0000396B" w:usb2="00000000" w:usb3="00000000" w:csb0="200000BF" w:csb1="D7F70000"/>
  </w:font>
  <w:font w:name="Verdana">
    <w:panose1 w:val="020B0604030504040204"/>
    <w:charset w:val="CC"/>
    <w:family w:val="swiss"/>
    <w:pitch w:val="variable"/>
    <w:sig w:usb0="A10006FF" w:usb1="4000205B" w:usb2="00000010" w:usb3="00000000" w:csb0="2000019F" w:csb1="00000000"/>
  </w:font>
</w:fonts>
</file>

<file path=word/numbering.xml><?xml version="1.0" encoding="utf-8"?>
<w:numbering xmlns:w="http://schemas.openxmlformats.org/wordprocessingml/2006/main">
  <w:abstractNum w:abstractNumId="0">
    <w:nsid w:val="649BB77C"/>
    <w:multiLevelType w:val="hybridMultilevel"/>
    <w:lvl w:ilvl="0">
      <w:lvlJc w:val="left"/>
      <w:lvlText w:val="с"/>
      <w:numFmt w:val="bullet"/>
      <w:start w:val="1"/>
    </w:lvl>
  </w:abstractNum>
  <w:abstractNum w:abstractNumId="1">
    <w:nsid w:val="275AC794"/>
    <w:multiLevelType w:val="hybridMultilevel"/>
    <w:lvl w:ilvl="0">
      <w:lvlJc w:val="left"/>
      <w:lvlText w:val="к"/>
      <w:numFmt w:val="bullet"/>
      <w:start w:val="1"/>
    </w:lvl>
  </w:abstractNum>
  <w:abstractNum w:abstractNumId="2">
    <w:nsid w:val="39386575"/>
    <w:multiLevelType w:val="hybridMultilevel"/>
    <w:lvl w:ilvl="0">
      <w:lvlJc w:val="left"/>
      <w:lvlText w:val="в"/>
      <w:numFmt w:val="bullet"/>
      <w:start w:val="1"/>
    </w:lvl>
  </w:abstractNum>
  <w:abstractNum w:abstractNumId="3">
    <w:nsid w:val="1CF10FD8"/>
    <w:multiLevelType w:val="hybridMultilevel"/>
    <w:lvl w:ilvl="0">
      <w:lvlJc w:val="left"/>
      <w:lvlText w:val="%1."/>
      <w:numFmt w:val="decimal"/>
      <w:start w:val="1"/>
    </w:lvl>
  </w:abstractNum>
  <w:abstractNum w:abstractNumId="4">
    <w:nsid w:val="180115BE"/>
    <w:multiLevelType w:val="hybridMultilevel"/>
    <w:lvl w:ilvl="0">
      <w:lvlJc w:val="left"/>
      <w:lvlText w:val="•"/>
      <w:numFmt w:val="bullet"/>
      <w:start w:val="1"/>
    </w:lvl>
  </w:abstractNum>
  <w:abstractNum w:abstractNumId="5">
    <w:nsid w:val="235BA861"/>
    <w:multiLevelType w:val="hybridMultilevel"/>
    <w:lvl w:ilvl="0">
      <w:lvlJc w:val="left"/>
      <w:lvlText w:val="•"/>
      <w:numFmt w:val="bullet"/>
      <w:start w:val="1"/>
    </w:lvl>
  </w:abstractNum>
  <w:abstractNum w:abstractNumId="6">
    <w:nsid w:val="47398C89"/>
    <w:multiLevelType w:val="hybridMultilevel"/>
    <w:lvl w:ilvl="0">
      <w:lvlJc w:val="left"/>
      <w:lvlText w:val="В"/>
      <w:numFmt w:val="bullet"/>
      <w:start w:val="1"/>
    </w:lvl>
  </w:abstractNum>
  <w:abstractNum w:abstractNumId="7">
    <w:nsid w:val="354FE9F9"/>
    <w:multiLevelType w:val="hybridMultilevel"/>
    <w:lvl w:ilvl="0">
      <w:lvlJc w:val="left"/>
      <w:lvlText w:val="%1."/>
      <w:numFmt w:val="decimal"/>
      <w:start w:val="2"/>
    </w:lvl>
  </w:abstractNum>
  <w:abstractNum w:abstractNumId="8">
    <w:nsid w:val="15B5AF5C"/>
    <w:multiLevelType w:val="hybridMultilevel"/>
    <w:lvl w:ilvl="0">
      <w:lvlJc w:val="left"/>
      <w:lvlText w:val="В"/>
      <w:numFmt w:val="bullet"/>
      <w:start w:val="1"/>
    </w:lvl>
  </w:abstractNum>
  <w:abstractNum w:abstractNumId="9">
    <w:nsid w:val="741226BB"/>
    <w:multiLevelType w:val="hybridMultilevel"/>
    <w:lvl w:ilvl="0">
      <w:lvlJc w:val="left"/>
      <w:lvlText w:val="У"/>
      <w:numFmt w:val="bullet"/>
      <w:start w:val="1"/>
    </w:lvl>
  </w:abstractNum>
  <w:abstractNum w:abstractNumId="10">
    <w:nsid w:val="D34B6A8"/>
    <w:multiLevelType w:val="hybridMultilevel"/>
    <w:lvl w:ilvl="0">
      <w:lvlJc w:val="left"/>
      <w:lvlText w:val="%1."/>
      <w:numFmt w:val="decimal"/>
      <w:start w:val="1"/>
    </w:lvl>
  </w:abstractNum>
  <w:abstractNum w:abstractNumId="11">
    <w:nsid w:val="10233C99"/>
    <w:multiLevelType w:val="hybridMultilevel"/>
    <w:lvl w:ilvl="0">
      <w:lvlJc w:val="left"/>
      <w:lvlText w:val="и"/>
      <w:numFmt w:val="bullet"/>
      <w:start w:val="1"/>
    </w:lvl>
  </w:abstractNum>
  <w:abstractNum w:abstractNumId="12">
    <w:nsid w:val="3F6AB60F"/>
    <w:multiLevelType w:val="hybridMultilevel"/>
    <w:lvl w:ilvl="0">
      <w:lvlJc w:val="left"/>
      <w:lvlText w:val="ее"/>
      <w:numFmt w:val="bullet"/>
      <w:start w:val="1"/>
    </w:lvl>
  </w:abstractNum>
  <w:abstractNum w:abstractNumId="13">
    <w:nsid w:val="61574095"/>
    <w:multiLevelType w:val="hybridMultilevel"/>
    <w:lvl w:ilvl="0">
      <w:lvlJc w:val="left"/>
      <w:lvlText w:val="у"/>
      <w:numFmt w:val="bullet"/>
      <w:start w:val="1"/>
    </w:lvl>
  </w:abstractNum>
  <w:abstractNum w:abstractNumId="14">
    <w:nsid w:val="7E0C57B1"/>
    <w:multiLevelType w:val="hybridMultilevel"/>
    <w:lvl w:ilvl="0">
      <w:lvlJc w:val="left"/>
      <w:lvlText w:val="с"/>
      <w:numFmt w:val="bullet"/>
      <w:start w:val="1"/>
    </w:lvl>
  </w:abstractNum>
  <w:abstractNum w:abstractNumId="15">
    <w:nsid w:val="77AE35EB"/>
    <w:multiLevelType w:val="hybridMultilevel"/>
    <w:lvl w:ilvl="0">
      <w:lvlJc w:val="left"/>
      <w:lvlText w:val="и"/>
      <w:numFmt w:val="bullet"/>
      <w:start w:val="1"/>
    </w:lvl>
  </w:abstractNum>
  <w:abstractNum w:abstractNumId="16">
    <w:nsid w:val="579BE4F1"/>
    <w:multiLevelType w:val="hybridMultilevel"/>
    <w:lvl w:ilvl="0">
      <w:lvlJc w:val="left"/>
      <w:lvlText w:val="и"/>
      <w:numFmt w:val="bullet"/>
      <w:start w:val="1"/>
    </w:lvl>
  </w:abstractNum>
  <w:abstractNum w:abstractNumId="17">
    <w:nsid w:val="310C50B3"/>
    <w:multiLevelType w:val="hybridMultilevel"/>
    <w:lvl w:ilvl="0">
      <w:lvlJc w:val="left"/>
      <w:lvlText w:val="и"/>
      <w:numFmt w:val="bullet"/>
      <w:start w:val="1"/>
    </w:lvl>
  </w:abstractNum>
  <w:abstractNum w:abstractNumId="18">
    <w:nsid w:val="5FF87E05"/>
    <w:multiLevelType w:val="hybridMultilevel"/>
    <w:lvl w:ilvl="0">
      <w:lvlJc w:val="left"/>
      <w:lvlText w:val="%1."/>
      <w:numFmt w:val="decimal"/>
      <w:start w:val="3"/>
    </w:lvl>
  </w:abstractNum>
  <w:abstractNum w:abstractNumId="19">
    <w:nsid w:val="2F305DEF"/>
    <w:multiLevelType w:val="hybridMultilevel"/>
    <w:lvl w:ilvl="0">
      <w:lvlJc w:val="left"/>
      <w:lvlText w:val="СС"/>
      <w:numFmt w:val="bullet"/>
      <w:start w:val="1"/>
    </w:lvl>
  </w:abstractNum>
  <w:abstractNum w:abstractNumId="20">
    <w:nsid w:val="25A70BF7"/>
    <w:multiLevelType w:val="hybridMultilevel"/>
    <w:lvl w:ilvl="0">
      <w:lvlJc w:val="left"/>
      <w:lvlText w:val="к"/>
      <w:numFmt w:val="bullet"/>
      <w:start w:val="1"/>
    </w:lvl>
  </w:abstractNum>
  <w:abstractNum w:abstractNumId="21">
    <w:nsid w:val="1DBABF00"/>
    <w:multiLevelType w:val="hybridMultilevel"/>
    <w:lvl w:ilvl="0">
      <w:lvlJc w:val="left"/>
      <w:lvlText w:val="\emdash "/>
      <w:numFmt w:val="bullet"/>
      <w:start w:val="1"/>
    </w:lvl>
  </w:abstractNum>
  <w:abstractNum w:abstractNumId="22">
    <w:nsid w:val="4AD084E9"/>
    <w:multiLevelType w:val="hybridMultilevel"/>
    <w:lvl w:ilvl="0">
      <w:lvlJc w:val="left"/>
      <w:lvlText w:val="в"/>
      <w:numFmt w:val="bullet"/>
      <w:start w:val="1"/>
    </w:lvl>
  </w:abstractNum>
  <w:abstractNum w:abstractNumId="23">
    <w:nsid w:val="1F48EAA1"/>
    <w:multiLevelType w:val="hybridMultilevel"/>
    <w:lvl w:ilvl="0">
      <w:lvlJc w:val="left"/>
      <w:lvlText w:val="К"/>
      <w:numFmt w:val="bullet"/>
      <w:start w:val="1"/>
    </w:lvl>
  </w:abstractNum>
  <w:abstractNum w:abstractNumId="24">
    <w:nsid w:val="1381823A"/>
    <w:multiLevelType w:val="hybridMultilevel"/>
    <w:lvl w:ilvl="0">
      <w:lvlJc w:val="left"/>
      <w:lvlText w:val="У"/>
      <w:numFmt w:val="bullet"/>
      <w:start w:val="1"/>
    </w:lvl>
  </w:abstractNum>
  <w:abstractNum w:abstractNumId="25">
    <w:nsid w:val="5DB70AE5"/>
    <w:multiLevelType w:val="hybridMultilevel"/>
    <w:lvl w:ilvl="0">
      <w:lvlJc w:val="left"/>
      <w:lvlText w:val="К"/>
      <w:numFmt w:val="bullet"/>
      <w:start w:val="1"/>
    </w:lvl>
  </w:abstractNum>
  <w:abstractNum w:abstractNumId="26">
    <w:nsid w:val="100F8FCA"/>
    <w:multiLevelType w:val="hybridMultilevel"/>
    <w:lvl w:ilvl="0">
      <w:lvlJc w:val="left"/>
      <w:lvlText w:val="и"/>
      <w:numFmt w:val="bullet"/>
      <w:start w:val="1"/>
    </w:lvl>
  </w:abstractNum>
  <w:abstractNum w:abstractNumId="27">
    <w:nsid w:val="6590700B"/>
    <w:multiLevelType w:val="hybridMultilevel"/>
    <w:lvl w:ilvl="0">
      <w:lvlJc w:val="left"/>
      <w:lvlText w:val="в"/>
      <w:numFmt w:val="bullet"/>
      <w:start w:val="1"/>
    </w:lvl>
  </w:abstractNum>
  <w:abstractNum w:abstractNumId="28">
    <w:nsid w:val="15014ACB"/>
    <w:multiLevelType w:val="hybridMultilevel"/>
    <w:lvl w:ilvl="0">
      <w:lvlJc w:val="left"/>
      <w:lvlText w:val="и"/>
      <w:numFmt w:val="bullet"/>
      <w:start w:val="1"/>
    </w:lvl>
  </w:abstractNum>
  <w:abstractNum w:abstractNumId="29">
    <w:nsid w:val="5F5E7FD0"/>
    <w:multiLevelType w:val="hybridMultilevel"/>
    <w:lvl w:ilvl="0">
      <w:lvlJc w:val="left"/>
      <w:lvlText w:val="СС"/>
      <w:numFmt w:val="bullet"/>
      <w:start w:val="1"/>
    </w:lvl>
  </w:abstractNum>
  <w:abstractNum w:abstractNumId="30">
    <w:nsid w:val="98A3148"/>
    <w:multiLevelType w:val="hybridMultilevel"/>
    <w:lvl w:ilvl="0">
      <w:lvlJc w:val="left"/>
      <w:lvlText w:val="И"/>
      <w:numFmt w:val="bullet"/>
      <w:start w:val="1"/>
    </w:lvl>
  </w:abstractNum>
  <w:abstractNum w:abstractNumId="31">
    <w:nsid w:val="799D0247"/>
    <w:multiLevelType w:val="hybridMultilevel"/>
    <w:lvl w:ilvl="0">
      <w:lvlJc w:val="left"/>
      <w:lvlText w:val="[%1]."/>
      <w:numFmt w:val="decimal"/>
      <w:start w:val="149"/>
    </w:lvl>
  </w:abstractNum>
  <w:abstractNum w:abstractNumId="32">
    <w:nsid w:val="6B94764"/>
    <w:multiLevelType w:val="hybridMultilevel"/>
    <w:lvl w:ilvl="0">
      <w:lvlJc w:val="left"/>
      <w:lvlText w:val="а"/>
      <w:numFmt w:val="bullet"/>
      <w:start w:val="1"/>
    </w:lvl>
  </w:abstractNum>
  <w:abstractNum w:abstractNumId="33">
    <w:nsid w:val="42C296BD"/>
    <w:multiLevelType w:val="hybridMultilevel"/>
    <w:lvl w:ilvl="0">
      <w:lvlJc w:val="left"/>
      <w:lvlText w:val="В"/>
      <w:numFmt w:val="bullet"/>
      <w:start w:val="1"/>
    </w:lvl>
  </w:abstractNum>
  <w:abstractNum w:abstractNumId="34">
    <w:nsid w:val="168E121F"/>
    <w:multiLevelType w:val="hybridMultilevel"/>
    <w:lvl w:ilvl="0">
      <w:lvlJc w:val="left"/>
      <w:lvlText w:val="В"/>
      <w:numFmt w:val="bullet"/>
      <w:start w:val="1"/>
    </w:lvl>
  </w:abstractNum>
  <w:abstractNum w:abstractNumId="35">
    <w:nsid w:val="1EBA5D23"/>
    <w:multiLevelType w:val="hybridMultilevel"/>
    <w:lvl w:ilvl="0">
      <w:lvlJc w:val="left"/>
      <w:lvlText w:val="-"/>
      <w:numFmt w:val="bullet"/>
      <w:start w:val="1"/>
    </w:lvl>
  </w:abstractNum>
  <w:abstractNum w:abstractNumId="36">
    <w:nsid w:val="661E3F1E"/>
    <w:multiLevelType w:val="hybridMultilevel"/>
    <w:lvl w:ilvl="0">
      <w:lvlJc w:val="left"/>
      <w:lvlText w:val="-"/>
      <w:numFmt w:val="bullet"/>
      <w:start w:val="1"/>
    </w:lvl>
  </w:abstractNum>
  <w:abstractNum w:abstractNumId="37">
    <w:nsid w:val="5DC79EA8"/>
    <w:multiLevelType w:val="hybridMultilevel"/>
    <w:lvl w:ilvl="0">
      <w:lvlJc w:val="left"/>
      <w:lvlText w:val="-"/>
      <w:numFmt w:val="bullet"/>
      <w:start w:val="1"/>
    </w:lvl>
  </w:abstractNum>
  <w:abstractNum w:abstractNumId="38">
    <w:nsid w:val="540A471C"/>
    <w:multiLevelType w:val="hybridMultilevel"/>
    <w:lvl w:ilvl="0">
      <w:lvlJc w:val="left"/>
      <w:lvlText w:val="СС"/>
      <w:numFmt w:val="bullet"/>
      <w:start w:val="1"/>
    </w:lvl>
  </w:abstractNum>
  <w:abstractNum w:abstractNumId="39">
    <w:nsid w:val="7BD3EE7B"/>
    <w:multiLevelType w:val="hybridMultilevel"/>
    <w:lvl w:ilvl="0">
      <w:lvlJc w:val="left"/>
      <w:lvlText w:val="У"/>
      <w:numFmt w:val="bullet"/>
      <w:start w:val="1"/>
    </w:lvl>
  </w:abstractNum>
  <w:abstractNum w:abstractNumId="40">
    <w:nsid w:val="51D9C564"/>
    <w:multiLevelType w:val="hybridMultilevel"/>
    <w:lvl w:ilvl="0">
      <w:lvlJc w:val="left"/>
      <w:lvlText w:val="\emdash "/>
      <w:numFmt w:val="bullet"/>
      <w:start w:val="1"/>
    </w:lvl>
  </w:abstractNum>
  <w:abstractNum w:abstractNumId="41">
    <w:nsid w:val="613EFDC5"/>
    <w:multiLevelType w:val="hybridMultilevel"/>
    <w:lvl w:ilvl="0">
      <w:lvlJc w:val="left"/>
      <w:lvlText w:val="ББ"/>
      <w:numFmt w:val="bullet"/>
      <w:start w:val="1"/>
    </w:lvl>
  </w:abstractNum>
  <w:abstractNum w:abstractNumId="42">
    <w:nsid w:val="BF72B14"/>
    <w:multiLevelType w:val="hybridMultilevel"/>
    <w:lvl w:ilvl="0">
      <w:lvlJc w:val="left"/>
      <w:lvlText w:val="с"/>
      <w:numFmt w:val="bullet"/>
      <w:start w:val="1"/>
    </w:lvl>
  </w:abstractNum>
  <w:abstractNum w:abstractNumId="43">
    <w:nsid w:val="11447B73"/>
    <w:multiLevelType w:val="hybridMultilevel"/>
    <w:lvl w:ilvl="0">
      <w:lvlJc w:val="left"/>
      <w:lvlText w:val="-"/>
      <w:numFmt w:val="bullet"/>
      <w:start w:val="1"/>
    </w:lvl>
  </w:abstractNum>
  <w:abstractNum w:abstractNumId="44">
    <w:nsid w:val="42963E5A"/>
    <w:multiLevelType w:val="hybridMultilevel"/>
    <w:lvl w:ilvl="0">
      <w:lvlJc w:val="left"/>
      <w:lvlText w:val="-"/>
      <w:numFmt w:val="bullet"/>
      <w:start w:val="1"/>
    </w:lvl>
  </w:abstractNum>
  <w:abstractNum w:abstractNumId="45">
    <w:nsid w:val="A0382C5"/>
    <w:multiLevelType w:val="hybridMultilevel"/>
    <w:lvl w:ilvl="0">
      <w:lvlJc w:val="left"/>
      <w:lvlText w:val="-"/>
      <w:numFmt w:val="bullet"/>
      <w:start w:val="1"/>
    </w:lvl>
  </w:abstractNum>
  <w:abstractNum w:abstractNumId="46">
    <w:nsid w:val="8F2B15E"/>
    <w:multiLevelType w:val="hybridMultilevel"/>
    <w:lvl w:ilvl="0">
      <w:lvlJc w:val="left"/>
      <w:lvlText w:val="-"/>
      <w:numFmt w:val="bullet"/>
      <w:start w:val="1"/>
    </w:lvl>
  </w:abstractNum>
  <w:abstractNum w:abstractNumId="47">
    <w:nsid w:val="1A32234B"/>
    <w:multiLevelType w:val="hybridMultilevel"/>
    <w:lvl w:ilvl="0">
      <w:lvlJc w:val="left"/>
      <w:lvlText w:val="к"/>
      <w:numFmt w:val="bullet"/>
      <w:start w:val="1"/>
    </w:lvl>
  </w:abstractNum>
  <w:abstractNum w:abstractNumId="48">
    <w:nsid w:val="3B0FD379"/>
    <w:multiLevelType w:val="hybridMultilevel"/>
    <w:lvl w:ilvl="0">
      <w:lvlJc w:val="left"/>
      <w:lvlText w:val="[%1]."/>
      <w:numFmt w:val="decimal"/>
      <w:start w:val="97"/>
    </w:lvl>
  </w:abstractNum>
  <w:abstractNum w:abstractNumId="49">
    <w:nsid w:val="68EB2F63"/>
    <w:multiLevelType w:val="hybridMultilevel"/>
    <w:lvl w:ilvl="0">
      <w:lvlJc w:val="left"/>
      <w:lvlText w:val="с"/>
      <w:numFmt w:val="bullet"/>
      <w:start w:val="1"/>
    </w:lvl>
  </w:abstractNum>
  <w:abstractNum w:abstractNumId="50">
    <w:nsid w:val="4962813B"/>
    <w:multiLevelType w:val="hybridMultilevel"/>
    <w:lvl w:ilvl="0">
      <w:lvlJc w:val="left"/>
      <w:lvlText w:val="мм"/>
      <w:numFmt w:val="bullet"/>
      <w:start w:val="1"/>
    </w:lvl>
  </w:abstractNum>
  <w:abstractNum w:abstractNumId="51">
    <w:nsid w:val="60B6DF70"/>
    <w:multiLevelType w:val="hybridMultilevel"/>
    <w:lvl w:ilvl="0">
      <w:lvlJc w:val="left"/>
      <w:lvlText w:val="И"/>
      <w:numFmt w:val="bullet"/>
      <w:start w:val="1"/>
    </w:lvl>
  </w:abstractNum>
  <w:abstractNum w:abstractNumId="52">
    <w:nsid w:val="6A5EE64"/>
    <w:multiLevelType w:val="hybridMultilevel"/>
    <w:lvl w:ilvl="0">
      <w:lvlJc w:val="left"/>
      <w:lvlText w:val="%1."/>
      <w:numFmt w:val="decimal"/>
      <w:start w:val="4"/>
    </w:lvl>
  </w:abstractNum>
  <w:abstractNum w:abstractNumId="53">
    <w:nsid w:val="14330624"/>
    <w:multiLevelType w:val="hybridMultilevel"/>
    <w:lvl w:ilvl="0">
      <w:lvlJc w:val="left"/>
      <w:lvlText w:val="У"/>
      <w:numFmt w:val="bullet"/>
      <w:start w:val="1"/>
    </w:lvl>
  </w:abstractNum>
  <w:abstractNum w:abstractNumId="54">
    <w:nsid w:val="7FFFCA11"/>
    <w:multiLevelType w:val="hybridMultilevel"/>
    <w:lvl w:ilvl="0">
      <w:lvlJc w:val="left"/>
      <w:lvlText w:val="У"/>
      <w:numFmt w:val="bullet"/>
      <w:start w:val="1"/>
    </w:lvl>
  </w:abstractNum>
  <w:abstractNum w:abstractNumId="55">
    <w:nsid w:val="1A27709E"/>
    <w:multiLevelType w:val="hybridMultilevel"/>
    <w:lvl w:ilvl="0">
      <w:lvlJc w:val="left"/>
      <w:lvlText w:val="%1."/>
      <w:numFmt w:val="decimal"/>
      <w:start w:val="4"/>
    </w:lvl>
  </w:abstractNum>
  <w:abstractNum w:abstractNumId="56">
    <w:nsid w:val="71EA1109"/>
    <w:multiLevelType w:val="hybridMultilevel"/>
    <w:lvl w:ilvl="0">
      <w:lvlJc w:val="left"/>
      <w:lvlText w:val="%1."/>
      <w:numFmt w:val="decimal"/>
      <w:start w:val="5"/>
    </w:lvl>
  </w:abstractNum>
  <w:abstractNum w:abstractNumId="57">
    <w:nsid w:val="100F59DC"/>
    <w:multiLevelType w:val="hybridMultilevel"/>
    <w:lvl w:ilvl="0">
      <w:lvlJc w:val="left"/>
      <w:lvlText w:val="С"/>
      <w:numFmt w:val="bullet"/>
      <w:start w:val="1"/>
    </w:lvl>
  </w:abstractNum>
  <w:abstractNum w:abstractNumId="58">
    <w:nsid w:val="7FB7E0AA"/>
    <w:multiLevelType w:val="hybridMultilevel"/>
    <w:lvl w:ilvl="0">
      <w:lvlJc w:val="left"/>
      <w:lvlText w:val="к"/>
      <w:numFmt w:val="bullet"/>
      <w:start w:val="1"/>
    </w:lvl>
  </w:abstractNum>
  <w:abstractNum w:abstractNumId="59">
    <w:nsid w:val="6EB5BD4"/>
    <w:multiLevelType w:val="hybridMultilevel"/>
    <w:lvl w:ilvl="0">
      <w:lvlJc w:val="left"/>
      <w:lvlText w:val="%1."/>
      <w:numFmt w:val="decimal"/>
      <w:start w:val="7"/>
    </w:lvl>
  </w:abstractNum>
  <w:abstractNum w:abstractNumId="60">
    <w:nsid w:val="6F6DD9AC"/>
    <w:multiLevelType w:val="hybridMultilevel"/>
    <w:lvl w:ilvl="0">
      <w:lvlJc w:val="left"/>
      <w:lvlText w:val="%1."/>
      <w:numFmt w:val="decimal"/>
      <w:start w:val="6"/>
    </w:lvl>
  </w:abstractNum>
  <w:abstractNum w:abstractNumId="61">
    <w:nsid w:val="94211F2"/>
    <w:multiLevelType w:val="hybridMultilevel"/>
    <w:lvl w:ilvl="0">
      <w:lvlJc w:val="left"/>
      <w:lvlText w:val="-"/>
      <w:numFmt w:val="bullet"/>
      <w:start w:val="1"/>
    </w:lvl>
  </w:abstractNum>
  <w:abstractNum w:abstractNumId="62">
    <w:nsid w:val="885E1B"/>
    <w:multiLevelType w:val="hybridMultilevel"/>
    <w:lvl w:ilvl="0">
      <w:lvlJc w:val="left"/>
      <w:lvlText w:val="%1."/>
      <w:numFmt w:val="decimal"/>
      <w:start w:val="1"/>
    </w:lvl>
    <w:lvl w:ilvl="1">
      <w:lvlJc w:val="left"/>
      <w:lvlText w:val="и"/>
      <w:numFmt w:val="bullet"/>
      <w:start w:val="1"/>
    </w:lvl>
  </w:abstractNum>
  <w:abstractNum w:abstractNumId="63">
    <w:nsid w:val="76272110"/>
    <w:multiLevelType w:val="hybridMultilevel"/>
    <w:lvl w:ilvl="0">
      <w:lvlJc w:val="left"/>
      <w:lvlText w:val="%1."/>
      <w:numFmt w:val="decimal"/>
      <w:start w:val="14"/>
    </w:lvl>
  </w:abstractNum>
  <w:abstractNum w:abstractNumId="64">
    <w:nsid w:val="4C04A8AF"/>
    <w:multiLevelType w:val="hybridMultilevel"/>
    <w:lvl w:ilvl="0">
      <w:lvlJc w:val="left"/>
      <w:lvlText w:val="%1."/>
      <w:numFmt w:val="decimal"/>
      <w:start w:val="25"/>
    </w:lvl>
  </w:abstractNum>
  <w:abstractNum w:abstractNumId="65">
    <w:nsid w:val="1716703B"/>
    <w:multiLevelType w:val="hybridMultilevel"/>
    <w:lvl w:ilvl="0">
      <w:lvlJc w:val="left"/>
      <w:lvlText w:val="%1."/>
      <w:numFmt w:val="decimal"/>
      <w:start w:val="35"/>
    </w:lvl>
  </w:abstractNum>
  <w:abstractNum w:abstractNumId="66">
    <w:nsid w:val="14E17E33"/>
    <w:multiLevelType w:val="hybridMultilevel"/>
    <w:lvl w:ilvl="0">
      <w:lvlJc w:val="left"/>
      <w:lvlText w:val="%1."/>
      <w:numFmt w:val="decimal"/>
      <w:start w:val="46"/>
    </w:lvl>
  </w:abstractNum>
  <w:abstractNum w:abstractNumId="67">
    <w:nsid w:val="3222E7CD"/>
    <w:multiLevelType w:val="hybridMultilevel"/>
    <w:lvl w:ilvl="0">
      <w:lvlJc w:val="left"/>
      <w:lvlText w:val="%1."/>
      <w:numFmt w:val="decimal"/>
      <w:start w:val="57"/>
    </w:lvl>
  </w:abstractNum>
  <w:abstractNum w:abstractNumId="68">
    <w:nsid w:val="74DE0EE3"/>
    <w:multiLevelType w:val="hybridMultilevel"/>
    <w:lvl w:ilvl="0">
      <w:lvlJc w:val="left"/>
      <w:lvlText w:val="%1."/>
      <w:numFmt w:val="decimal"/>
      <w:start w:val="70"/>
    </w:lvl>
  </w:abstractNum>
  <w:abstractNum w:abstractNumId="69">
    <w:nsid w:val="68EBC550"/>
    <w:multiLevelType w:val="hybridMultilevel"/>
    <w:lvl w:ilvl="0">
      <w:lvlJc w:val="left"/>
      <w:lvlText w:val="%1."/>
      <w:numFmt w:val="decimal"/>
      <w:start w:val="82"/>
    </w:lvl>
  </w:abstractNum>
  <w:abstractNum w:abstractNumId="70">
    <w:nsid w:val="2DF6D648"/>
    <w:multiLevelType w:val="hybridMultilevel"/>
    <w:lvl w:ilvl="0">
      <w:lvlJc w:val="left"/>
      <w:lvlText w:val="%1."/>
      <w:numFmt w:val="decimal"/>
      <w:start w:val="93"/>
    </w:lvl>
  </w:abstractNum>
  <w:abstractNum w:abstractNumId="71">
    <w:nsid w:val="46B7D447"/>
    <w:multiLevelType w:val="hybridMultilevel"/>
    <w:lvl w:ilvl="0">
      <w:lvlJc w:val="left"/>
      <w:lvlText w:val="%1."/>
      <w:numFmt w:val="decimal"/>
      <w:start w:val="104"/>
    </w:lvl>
  </w:abstractNum>
  <w:abstractNum w:abstractNumId="72">
    <w:nsid w:val="4A2AC315"/>
    <w:multiLevelType w:val="hybridMultilevel"/>
    <w:lvl w:ilvl="0">
      <w:lvlJc w:val="left"/>
      <w:lvlText w:val="%1."/>
      <w:numFmt w:val="decimal"/>
      <w:start w:val="115"/>
    </w:lvl>
  </w:abstractNum>
  <w:abstractNum w:abstractNumId="73">
    <w:nsid w:val="39EE015C"/>
    <w:multiLevelType w:val="hybridMultilevel"/>
    <w:lvl w:ilvl="0">
      <w:lvlJc w:val="left"/>
      <w:lvlText w:val="%1."/>
      <w:numFmt w:val="decimal"/>
      <w:start w:val="128"/>
    </w:lvl>
  </w:abstractNum>
  <w:abstractNum w:abstractNumId="74">
    <w:nsid w:val="57FC4FBB"/>
    <w:multiLevelType w:val="hybridMultilevel"/>
    <w:lvl w:ilvl="0">
      <w:lvlJc w:val="left"/>
      <w:lvlText w:val="%1."/>
      <w:numFmt w:val="decimal"/>
      <w:start w:val="139"/>
    </w:lvl>
  </w:abstractNum>
  <w:abstractNum w:abstractNumId="75">
    <w:nsid w:val="CC1016F"/>
    <w:multiLevelType w:val="hybridMultilevel"/>
    <w:lvl w:ilvl="0">
      <w:lvlJc w:val="left"/>
      <w:lvlText w:val="%1."/>
      <w:numFmt w:val="decimal"/>
      <w:start w:val="150"/>
    </w:lvl>
  </w:abstractNum>
  <w:abstractNum w:abstractNumId="76">
    <w:nsid w:val="43F18422"/>
    <w:multiLevelType w:val="hybridMultilevel"/>
    <w:lvl w:ilvl="0">
      <w:lvlJc w:val="left"/>
      <w:lvlText w:val="%1."/>
      <w:numFmt w:val="decimal"/>
      <w:start w:val="161"/>
    </w:lvl>
  </w:abstractNum>
  <w:abstractNum w:abstractNumId="77">
    <w:nsid w:val="60EF0119"/>
    <w:multiLevelType w:val="hybridMultilevel"/>
    <w:lvl w:ilvl="0">
      <w:lvlJc w:val="left"/>
      <w:lvlText w:val="%1."/>
      <w:numFmt w:val="decimal"/>
      <w:start w:val="172"/>
    </w:lvl>
  </w:abstractNum>
  <w:abstractNum w:abstractNumId="78">
    <w:nsid w:val="26F324BA"/>
    <w:multiLevelType w:val="hybridMultilevel"/>
    <w:lvl w:ilvl="0">
      <w:lvlJc w:val="left"/>
      <w:lvlText w:val="%1."/>
      <w:numFmt w:val="decimal"/>
      <w:start w:val="183"/>
    </w:lvl>
  </w:abstractNum>
  <w:abstractNum w:abstractNumId="79">
    <w:nsid w:val="7F01579B"/>
    <w:multiLevelType w:val="hybridMultilevel"/>
    <w:lvl w:ilvl="0">
      <w:lvlJc w:val="left"/>
      <w:lvlText w:val="%1."/>
      <w:numFmt w:val="decimal"/>
      <w:start w:val="194"/>
    </w:lvl>
  </w:abstractNum>
  <w:abstractNum w:abstractNumId="80">
    <w:nsid w:val="49DA307D"/>
    <w:multiLevelType w:val="hybridMultilevel"/>
    <w:lvl w:ilvl="0">
      <w:lvlJc w:val="left"/>
      <w:lvlText w:val="%1."/>
      <w:numFmt w:val="decimal"/>
      <w:start w:val="205"/>
    </w:lvl>
  </w:abstractNum>
  <w:abstractNum w:abstractNumId="81">
    <w:nsid w:val="7055A5F5"/>
    <w:multiLevelType w:val="hybridMultilevel"/>
    <w:lvl w:ilvl="0">
      <w:lvlJc w:val="left"/>
      <w:lvlText w:val="%1."/>
      <w:numFmt w:val="decimal"/>
      <w:start w:val="215"/>
    </w:lvl>
  </w:abstractNum>
  <w:abstractNum w:abstractNumId="82">
    <w:nsid w:val="5FB8370B"/>
    <w:multiLevelType w:val="hybridMultilevel"/>
    <w:lvl w:ilvl="0">
      <w:lvlJc w:val="left"/>
      <w:lvlText w:val="%1."/>
      <w:numFmt w:val="decimal"/>
      <w:start w:val="227"/>
    </w:lvl>
  </w:abstractNum>
  <w:abstractNum w:abstractNumId="83">
    <w:nsid w:val="50801EE1"/>
    <w:multiLevelType w:val="hybridMultilevel"/>
    <w:lvl w:ilvl="0">
      <w:lvlJc w:val="left"/>
      <w:lvlText w:val="%1."/>
      <w:numFmt w:val="decimal"/>
      <w:start w:val="240"/>
    </w:lvl>
  </w:abstractNum>
  <w:abstractNum w:abstractNumId="84">
    <w:nsid w:val="488AC1A"/>
    <w:multiLevelType w:val="hybridMultilevel"/>
    <w:lvl w:ilvl="0">
      <w:lvlJc w:val="left"/>
      <w:lvlText w:val="%1."/>
      <w:numFmt w:val="decimal"/>
      <w:start w:val="252"/>
    </w:lvl>
  </w:abstractNum>
  <w:abstractNum w:abstractNumId="85">
    <w:nsid w:val="5FB8011C"/>
    <w:multiLevelType w:val="hybridMultilevel"/>
    <w:lvl w:ilvl="0">
      <w:lvlJc w:val="left"/>
      <w:lvlText w:val="%1."/>
      <w:numFmt w:val="decimal"/>
      <w:start w:val="265"/>
    </w:lvl>
  </w:abstractNum>
  <w:abstractNum w:abstractNumId="86">
    <w:nsid w:val="6AA78F7F"/>
    <w:multiLevelType w:val="hybridMultilevel"/>
    <w:lvl w:ilvl="0">
      <w:lvlJc w:val="left"/>
      <w:lvlText w:val="%1."/>
      <w:numFmt w:val="decimal"/>
      <w:start w:val="277"/>
    </w:lvl>
  </w:abstractNum>
  <w:abstractNum w:abstractNumId="87">
    <w:nsid w:val="7672BD23"/>
    <w:multiLevelType w:val="hybridMultilevel"/>
    <w:lvl w:ilvl="0">
      <w:lvlJc w:val="left"/>
      <w:lvlText w:val="%1."/>
      <w:numFmt w:val="decimal"/>
      <w:start w:val="290"/>
    </w:lvl>
  </w:abstractNum>
  <w:abstractNum w:abstractNumId="88">
    <w:nsid w:val="6FC75AF8"/>
    <w:multiLevelType w:val="hybridMultilevel"/>
    <w:lvl w:ilvl="0">
      <w:lvlJc w:val="left"/>
      <w:lvlText w:val="%1."/>
      <w:numFmt w:val="decimal"/>
      <w:start w:val="300"/>
    </w:lvl>
  </w:abstractNum>
  <w:abstractNum w:abstractNumId="89">
    <w:nsid w:val="6A5F7029"/>
    <w:multiLevelType w:val="hybridMultilevel"/>
    <w:lvl w:ilvl="0">
      <w:lvlJc w:val="left"/>
      <w:lvlText w:val="В"/>
      <w:numFmt w:val="bullet"/>
      <w:start w:val="1"/>
    </w:lvl>
  </w:abstractNum>
  <w:abstractNum w:abstractNumId="90">
    <w:nsid w:val="7D5E18F8"/>
    <w:multiLevelType w:val="hybridMultilevel"/>
    <w:lvl w:ilvl="0">
      <w:lvlJc w:val="left"/>
      <w:lvlText w:val="%1."/>
      <w:numFmt w:val="decimal"/>
      <w:start w:val="1"/>
    </w:lvl>
  </w:abstractNum>
  <w:abstractNum w:abstractNumId="91">
    <w:nsid w:val="5F3534A4"/>
    <w:multiLevelType w:val="hybridMultilevel"/>
    <w:lvl w:ilvl="0">
      <w:lvlJc w:val="left"/>
      <w:lvlText w:val="A"/>
      <w:numFmt w:val="bullet"/>
      <w:start w:val="1"/>
    </w:lvl>
  </w:abstractNum>
  <w:abstractNum w:abstractNumId="92">
    <w:nsid w:val="73A1821B"/>
    <w:multiLevelType w:val="hybridMultilevel"/>
    <w:lvl w:ilvl="0">
      <w:lvlJc w:val="left"/>
      <w:lvlText w:val="B"/>
      <w:numFmt w:val="bullet"/>
      <w:start w:val="1"/>
    </w:lvl>
  </w:abstractNum>
  <w:abstractNum w:abstractNumId="93">
    <w:nsid w:val="7DE67713"/>
    <w:multiLevelType w:val="hybridMultilevel"/>
    <w:lvl w:ilvl="0">
      <w:lvlJc w:val="left"/>
      <w:lvlText w:val="C"/>
      <w:numFmt w:val="bullet"/>
      <w:start w:val="1"/>
    </w:lvl>
  </w:abstractNum>
  <w:abstractNum w:abstractNumId="94">
    <w:nsid w:val="555C55B5"/>
    <w:multiLevelType w:val="hybridMultilevel"/>
    <w:lvl w:ilvl="0">
      <w:lvlJc w:val="left"/>
      <w:lvlText w:val="1"/>
      <w:numFmt w:val="bullet"/>
      <w:start w:val="1"/>
    </w:lvl>
  </w:abstractNum>
  <w:abstractNum w:abstractNumId="95">
    <w:nsid w:val="3FA62ACA"/>
    <w:multiLevelType w:val="hybridMultilevel"/>
    <w:lvl w:ilvl="0">
      <w:lvlJc w:val="left"/>
      <w:lvlText w:val="3"/>
      <w:numFmt w:val="bullet"/>
      <w:start w:val="1"/>
    </w:lvl>
  </w:abstractNum>
  <w:abstractNum w:abstractNumId="96">
    <w:nsid w:val="14FCE74E"/>
    <w:multiLevelType w:val="hybridMultilevel"/>
    <w:lvl w:ilvl="0">
      <w:lvlJc w:val="left"/>
      <w:lvlText w:val="4"/>
      <w:numFmt w:val="bullet"/>
      <w:start w:val="1"/>
    </w:lvl>
  </w:abstractNum>
  <w:abstractNum w:abstractNumId="97">
    <w:nsid w:val="6A3DD3E8"/>
    <w:multiLevelType w:val="hybridMultilevel"/>
    <w:lvl w:ilvl="0">
      <w:lvlJc w:val="left"/>
      <w:lvlText w:val="5"/>
      <w:numFmt w:val="bullet"/>
      <w:start w:val="1"/>
    </w:lvl>
  </w:abstractNum>
  <w:abstractNum w:abstractNumId="98">
    <w:nsid w:val="71C91298"/>
    <w:multiLevelType w:val="hybridMultilevel"/>
    <w:lvl w:ilvl="0">
      <w:lvlJc w:val="left"/>
      <w:lvlText w:val="%1."/>
      <w:numFmt w:val="decimal"/>
      <w:start w:val="1"/>
    </w:lvl>
  </w:abstractNum>
  <w:abstractNum w:abstractNumId="99">
    <w:nsid w:val="9DAF632"/>
    <w:multiLevelType w:val="hybridMultilevel"/>
    <w:lvl w:ilvl="0">
      <w:lvlJc w:val="left"/>
      <w:lvlText w:val="%1"/>
      <w:numFmt w:val="decimal"/>
      <w:start w:val="200"/>
    </w:lvl>
  </w:abstractNum>
  <w:abstractNum w:abstractNumId="100">
    <w:nsid w:val="53299938"/>
    <w:multiLevelType w:val="hybridMultilevel"/>
    <w:lvl w:ilvl="0">
      <w:lvlJc w:val="left"/>
      <w:lvlText w:val="с"/>
      <w:numFmt w:val="bullet"/>
      <w:start w:val="1"/>
    </w:lvl>
  </w:abstractNum>
  <w:abstractNum w:abstractNumId="101">
    <w:nsid w:val="1FBFE8E0"/>
    <w:multiLevelType w:val="hybridMultilevel"/>
    <w:lvl w:ilvl="0">
      <w:lvlJc w:val="left"/>
      <w:lvlText w:val="•"/>
      <w:numFmt w:val="bullet"/>
      <w:start w:val="1"/>
    </w:lvl>
  </w:abstractNum>
  <w:abstractNum w:abstractNumId="102">
    <w:nsid w:val="5092CA79"/>
    <w:multiLevelType w:val="hybridMultilevel"/>
    <w:lvl w:ilvl="0">
      <w:lvlJc w:val="left"/>
      <w:lvlText w:val="\emdash "/>
      <w:numFmt w:val="bullet"/>
      <w:start w:val="1"/>
    </w:lvl>
  </w:abstractNum>
  <w:abstractNum w:abstractNumId="103">
    <w:nsid w:val="1D545C4D"/>
    <w:multiLevelType w:val="hybridMultilevel"/>
    <w:lvl w:ilvl="0">
      <w:lvlJc w:val="left"/>
      <w:lvlText w:val="-"/>
      <w:numFmt w:val="bullet"/>
      <w:start w:val="1"/>
    </w:lvl>
    <w:lvl w:ilvl="1">
      <w:lvlJc w:val="left"/>
      <w:lvlText w:val="\emdash "/>
      <w:numFmt w:val="bullet"/>
      <w:start w:val="1"/>
    </w:lvl>
  </w:abstractNum>
  <w:abstractNum w:abstractNumId="104">
    <w:nsid w:val="59ADEA3D"/>
    <w:multiLevelType w:val="hybridMultilevel"/>
    <w:lvl w:ilvl="0">
      <w:lvlJc w:val="left"/>
      <w:lvlText w:val="а"/>
      <w:numFmt w:val="bullet"/>
      <w:start w:val="1"/>
    </w:lvl>
  </w:abstractNum>
  <w:abstractNum w:abstractNumId="105">
    <w:nsid w:val="288F1A34"/>
    <w:multiLevelType w:val="hybridMultilevel"/>
    <w:lvl w:ilvl="0">
      <w:lvlJc w:val="left"/>
      <w:lvlText w:val="\emdash "/>
      <w:numFmt w:val="bullet"/>
      <w:start w:val="1"/>
    </w:lvl>
  </w:abstractNum>
  <w:abstractNum w:abstractNumId="106">
    <w:nsid w:val="2A155DBC"/>
    <w:multiLevelType w:val="hybridMultilevel"/>
    <w:lvl w:ilvl="0">
      <w:lvlJc w:val="left"/>
      <w:lvlText w:val="\emdash "/>
      <w:numFmt w:val="bullet"/>
      <w:start w:val="1"/>
    </w:lvl>
  </w:abstractNum>
  <w:abstractNum w:abstractNumId="107">
    <w:nsid w:val="1D9F6E5F"/>
    <w:multiLevelType w:val="hybridMultilevel"/>
    <w:lvl w:ilvl="0">
      <w:lvlJc w:val="left"/>
      <w:lvlText w:val="\emdash "/>
      <w:numFmt w:val="bullet"/>
      <w:start w:val="1"/>
    </w:lvl>
  </w:abstractNum>
  <w:abstractNum w:abstractNumId="108">
    <w:nsid w:val="97E1B4E"/>
    <w:multiLevelType w:val="hybridMultilevel"/>
    <w:lvl w:ilvl="0">
      <w:lvlJc w:val="left"/>
      <w:lvlText w:val="%1."/>
      <w:numFmt w:val="decimal"/>
      <w:start w:val="1"/>
    </w:lvl>
  </w:abstractNum>
  <w:abstractNum w:abstractNumId="109">
    <w:nsid w:val="51088277"/>
    <w:multiLevelType w:val="hybridMultilevel"/>
    <w:lvl w:ilvl="0">
      <w:lvlJc w:val="left"/>
      <w:lvlText w:val="\emdash "/>
      <w:numFmt w:val="bullet"/>
      <w:start w:val="1"/>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 w:numId="91">
    <w:abstractNumId w:val="90"/>
  </w:num>
  <w:num w:numId="92">
    <w:abstractNumId w:val="91"/>
  </w:num>
  <w:num w:numId="93">
    <w:abstractNumId w:val="92"/>
  </w:num>
  <w:num w:numId="94">
    <w:abstractNumId w:val="93"/>
  </w:num>
  <w:num w:numId="95">
    <w:abstractNumId w:val="94"/>
  </w:num>
  <w:num w:numId="96">
    <w:abstractNumId w:val="95"/>
  </w:num>
  <w:num w:numId="97">
    <w:abstractNumId w:val="96"/>
  </w:num>
  <w:num w:numId="98">
    <w:abstractNumId w:val="97"/>
  </w:num>
  <w:num w:numId="99">
    <w:abstractNumId w:val="98"/>
  </w:num>
  <w:num w:numId="100">
    <w:abstractNumId w:val="99"/>
  </w:num>
  <w:num w:numId="101">
    <w:abstractNumId w:val="100"/>
  </w:num>
  <w:num w:numId="102">
    <w:abstractNumId w:val="101"/>
  </w:num>
  <w:num w:numId="103">
    <w:abstractNumId w:val="102"/>
  </w:num>
  <w:num w:numId="104">
    <w:abstractNumId w:val="103"/>
  </w:num>
  <w:num w:numId="105">
    <w:abstractNumId w:val="104"/>
  </w:num>
  <w:num w:numId="106">
    <w:abstractNumId w:val="105"/>
  </w:num>
  <w:num w:numId="107">
    <w:abstractNumId w:val="106"/>
  </w:num>
  <w:num w:numId="108">
    <w:abstractNumId w:val="107"/>
  </w:num>
  <w:num w:numId="109">
    <w:abstractNumId w:val="108"/>
  </w:num>
  <w:num w:numId="110">
    <w:abstractNumId w:val="10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w="http://schemas.openxmlformats.org/wordprocessingml/2006/main">
  <w:docDefaults>
    <w:rPrDefault>
      <w:rPr>
        <w:rFonts w:eastAsiaTheme="minorEastAsia"/>
        <w:sz w:val="22"/>
        <w:szCs w:val="22"/>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Layout w:type="fixed"/>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 Id="rId7" Type="http://schemas.openxmlformats.org/officeDocument/2006/relationships/numbering" Target="numbering.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png"/><Relationship Id="rId33" Type="http://schemas.openxmlformats.org/officeDocument/2006/relationships/image" Target="media/image25.pn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image" Target="media/image28.png"/><Relationship Id="rId37" Type="http://schemas.openxmlformats.org/officeDocument/2006/relationships/image" Target="media/image29.png"/><Relationship Id="rId38" Type="http://schemas.openxmlformats.org/officeDocument/2006/relationships/image" Target="media/image30.png"/><Relationship Id="rId39" Type="http://schemas.openxmlformats.org/officeDocument/2006/relationships/image" Target="media/image31.png"/><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png"/><Relationship Id="rId44" Type="http://schemas.openxmlformats.org/officeDocument/2006/relationships/image" Target="media/image36.png"/><Relationship Id="rId45" Type="http://schemas.openxmlformats.org/officeDocument/2006/relationships/image" Target="media/image37.png"/><Relationship Id="rId46" Type="http://schemas.openxmlformats.org/officeDocument/2006/relationships/image" Target="media/image38.png"/><Relationship Id="rId47" Type="http://schemas.openxmlformats.org/officeDocument/2006/relationships/image" Target="media/image39.png"/><Relationship Id="rId48" Type="http://schemas.openxmlformats.org/officeDocument/2006/relationships/image" Target="media/image40.png"/><Relationship Id="rId49" Type="http://schemas.openxmlformats.org/officeDocument/2006/relationships/image" Target="media/image41.png"/><Relationship Id="rId50" Type="http://schemas.openxmlformats.org/officeDocument/2006/relationships/image" Target="media/image42.png"/><Relationship Id="rId51" Type="http://schemas.openxmlformats.org/officeDocument/2006/relationships/image" Target="media/image43.png"/><Relationship Id="rId52" Type="http://schemas.openxmlformats.org/officeDocument/2006/relationships/image" Target="media/image44.png"/><Relationship Id="rId53" Type="http://schemas.openxmlformats.org/officeDocument/2006/relationships/image" Target="media/image45.png"/><Relationship Id="rId54" Type="http://schemas.openxmlformats.org/officeDocument/2006/relationships/image" Target="media/image46.png"/><Relationship Id="rId55" Type="http://schemas.openxmlformats.org/officeDocument/2006/relationships/image" Target="media/image47.png"/><Relationship Id="rId56" Type="http://schemas.openxmlformats.org/officeDocument/2006/relationships/image" Target="media/image48.png"/><Relationship Id="rId57" Type="http://schemas.openxmlformats.org/officeDocument/2006/relationships/image" Target="media/image49.png"/><Relationship Id="rId58" Type="http://schemas.openxmlformats.org/officeDocument/2006/relationships/image" Target="media/image50.png"/><Relationship Id="rId59" Type="http://schemas.openxmlformats.org/officeDocument/2006/relationships/image" Target="media/image51.png"/><Relationship Id="rId60" Type="http://schemas.openxmlformats.org/officeDocument/2006/relationships/image" Target="media/image52.png"/><Relationship Id="rId61" Type="http://schemas.openxmlformats.org/officeDocument/2006/relationships/image" Target="media/image53.png"/><Relationship Id="rId62" Type="http://schemas.openxmlformats.org/officeDocument/2006/relationships/image" Target="media/image54.png"/><Relationship Id="rId63" Type="http://schemas.openxmlformats.org/officeDocument/2006/relationships/image" Target="media/image55.png"/><Relationship Id="rId64" Type="http://schemas.openxmlformats.org/officeDocument/2006/relationships/image" Target="media/image56.png"/><Relationship Id="rId65" Type="http://schemas.openxmlformats.org/officeDocument/2006/relationships/image" Target="media/image57.png"/><Relationship Id="rId66" Type="http://schemas.openxmlformats.org/officeDocument/2006/relationships/image" Target="media/image58.png"/><Relationship Id="rId67" Type="http://schemas.openxmlformats.org/officeDocument/2006/relationships/image" Target="media/image59.png"/><Relationship Id="rId68" Type="http://schemas.openxmlformats.org/officeDocument/2006/relationships/image" Target="media/image60.png"/><Relationship Id="rId69" Type="http://schemas.openxmlformats.org/officeDocument/2006/relationships/image" Target="media/image61.png"/><Relationship Id="rId70" Type="http://schemas.openxmlformats.org/officeDocument/2006/relationships/image" Target="media/image62.png"/><Relationship Id="rId71" Type="http://schemas.openxmlformats.org/officeDocument/2006/relationships/image" Target="media/image63.png"/><Relationship Id="rId72" Type="http://schemas.openxmlformats.org/officeDocument/2006/relationships/image" Target="media/image64.png"/><Relationship Id="rId73" Type="http://schemas.openxmlformats.org/officeDocument/2006/relationships/image" Target="media/image65.png"/><Relationship Id="rId74" Type="http://schemas.openxmlformats.org/officeDocument/2006/relationships/image" Target="media/image66.png"/><Relationship Id="rId75" Type="http://schemas.openxmlformats.org/officeDocument/2006/relationships/image" Target="media/image67.png"/><Relationship Id="rId76" Type="http://schemas.openxmlformats.org/officeDocument/2006/relationships/image" Target="media/image68.png"/><Relationship Id="rId77" Type="http://schemas.openxmlformats.org/officeDocument/2006/relationships/image" Target="media/image69.png"/><Relationship Id="rId78" Type="http://schemas.openxmlformats.org/officeDocument/2006/relationships/image" Target="media/image70.png"/><Relationship Id="rId79" Type="http://schemas.openxmlformats.org/officeDocument/2006/relationships/image" Target="media/image71.png"/><Relationship Id="rId80" Type="http://schemas.openxmlformats.org/officeDocument/2006/relationships/image" Target="media/image72.png"/><Relationship Id="rId81" Type="http://schemas.openxmlformats.org/officeDocument/2006/relationships/image" Target="media/image73.png"/><Relationship Id="rId82" Type="http://schemas.openxmlformats.org/officeDocument/2006/relationships/image" Target="media/image74.png"/><Relationship Id="rId83" Type="http://schemas.openxmlformats.org/officeDocument/2006/relationships/image" Target="media/image75.png"/><Relationship Id="rId84" Type="http://schemas.openxmlformats.org/officeDocument/2006/relationships/image" Target="media/image76.png"/><Relationship Id="rId85" Type="http://schemas.openxmlformats.org/officeDocument/2006/relationships/image" Target="media/image77.png"/><Relationship Id="rId86" Type="http://schemas.openxmlformats.org/officeDocument/2006/relationships/image" Target="media/image78.png"/><Relationship Id="rId87" Type="http://schemas.openxmlformats.org/officeDocument/2006/relationships/image" Target="media/image79.png"/><Relationship Id="rId88" Type="http://schemas.openxmlformats.org/officeDocument/2006/relationships/image" Target="media/image80.png"/><Relationship Id="rId89" Type="http://schemas.openxmlformats.org/officeDocument/2006/relationships/image" Target="media/image81.png"/><Relationship Id="rId90" Type="http://schemas.openxmlformats.org/officeDocument/2006/relationships/image" Target="media/image82.png"/><Relationship Id="rId91" Type="http://schemas.openxmlformats.org/officeDocument/2006/relationships/image" Target="media/image83.png"/><Relationship Id="rId92" Type="http://schemas.openxmlformats.org/officeDocument/2006/relationships/image" Target="media/image84.png"/><Relationship Id="rId93" Type="http://schemas.openxmlformats.org/officeDocument/2006/relationships/image" Target="media/image85.png"/><Relationship Id="rId94" Type="http://schemas.openxmlformats.org/officeDocument/2006/relationships/image" Target="media/image86.png"/><Relationship Id="rId95" Type="http://schemas.openxmlformats.org/officeDocument/2006/relationships/image" Target="media/image87.png"/><Relationship Id="rId96" Type="http://schemas.openxmlformats.org/officeDocument/2006/relationships/image" Target="media/image88.png"/><Relationship Id="rId97" Type="http://schemas.openxmlformats.org/officeDocument/2006/relationships/image" Target="media/image89.png"/><Relationship Id="rId98" Type="http://schemas.openxmlformats.org/officeDocument/2006/relationships/image" Target="media/image90.png"/><Relationship Id="rId99" Type="http://schemas.openxmlformats.org/officeDocument/2006/relationships/image" Target="media/image91.png"/><Relationship Id="rId100" Type="http://schemas.openxmlformats.org/officeDocument/2006/relationships/image" Target="media/image92.png"/><Relationship Id="rId101" Type="http://schemas.openxmlformats.org/officeDocument/2006/relationships/image" Target="media/image93.png"/><Relationship Id="rId102" Type="http://schemas.openxmlformats.org/officeDocument/2006/relationships/image" Target="media/image94.png"/><Relationship Id="rId103" Type="http://schemas.openxmlformats.org/officeDocument/2006/relationships/image" Target="media/image95.png"/><Relationship Id="rId104" Type="http://schemas.openxmlformats.org/officeDocument/2006/relationships/image" Target="media/image96.png"/><Relationship Id="rId105" Type="http://schemas.openxmlformats.org/officeDocument/2006/relationships/image" Target="media/image97.png"/><Relationship Id="rId106" Type="http://schemas.openxmlformats.org/officeDocument/2006/relationships/image" Target="media/image98.png"/><Relationship Id="rId107" Type="http://schemas.openxmlformats.org/officeDocument/2006/relationships/image" Target="media/image99.png"/><Relationship Id="rId108" Type="http://schemas.openxmlformats.org/officeDocument/2006/relationships/image" Target="media/image100.png"/><Relationship Id="rId109" Type="http://schemas.openxmlformats.org/officeDocument/2006/relationships/image" Target="media/image101.png"/><Relationship Id="rId110" Type="http://schemas.openxmlformats.org/officeDocument/2006/relationships/image" Target="media/image102.png"/><Relationship Id="rId111" Type="http://schemas.openxmlformats.org/officeDocument/2006/relationships/image" Target="media/image103.png"/><Relationship Id="rId112" Type="http://schemas.openxmlformats.org/officeDocument/2006/relationships/image" Target="media/image104.png"/><Relationship Id="rId113" Type="http://schemas.openxmlformats.org/officeDocument/2006/relationships/image" Target="media/image105.png"/><Relationship Id="rId114" Type="http://schemas.openxmlformats.org/officeDocument/2006/relationships/image" Target="media/image106.png"/><Relationship Id="rId115" Type="http://schemas.openxmlformats.org/officeDocument/2006/relationships/image" Target="media/image107.png"/><Relationship Id="rId116" Type="http://schemas.openxmlformats.org/officeDocument/2006/relationships/image" Target="media/image108.png"/><Relationship Id="rId117" Type="http://schemas.openxmlformats.org/officeDocument/2006/relationships/image" Target="media/image109.png"/><Relationship Id="rId118" Type="http://schemas.openxmlformats.org/officeDocument/2006/relationships/image" Target="media/image110.png"/><Relationship Id="rId119" Type="http://schemas.openxmlformats.org/officeDocument/2006/relationships/image" Target="media/image111.png"/><Relationship Id="rId120" Type="http://schemas.openxmlformats.org/officeDocument/2006/relationships/image" Target="media/image112.png"/><Relationship Id="rId121" Type="http://schemas.openxmlformats.org/officeDocument/2006/relationships/image" Target="media/image113.png"/><Relationship Id="rId122" Type="http://schemas.openxmlformats.org/officeDocument/2006/relationships/image" Target="media/image114.png"/><Relationship Id="rId123" Type="http://schemas.openxmlformats.org/officeDocument/2006/relationships/image" Target="media/image115.png"/><Relationship Id="rId124" Type="http://schemas.openxmlformats.org/officeDocument/2006/relationships/image" Target="media/image116.png"/><Relationship Id="rId125" Type="http://schemas.openxmlformats.org/officeDocument/2006/relationships/image" Target="media/image117.png"/><Relationship Id="rId126" Type="http://schemas.openxmlformats.org/officeDocument/2006/relationships/image" Target="media/image118.png"/><Relationship Id="rId127" Type="http://schemas.openxmlformats.org/officeDocument/2006/relationships/image" Target="media/image119.png"/><Relationship Id="rId128" Type="http://schemas.openxmlformats.org/officeDocument/2006/relationships/image" Target="media/image120.png"/><Relationship Id="rId129" Type="http://schemas.openxmlformats.org/officeDocument/2006/relationships/image" Target="media/image121.png"/><Relationship Id="rId130" Type="http://schemas.openxmlformats.org/officeDocument/2006/relationships/image" Target="media/image122.png"/><Relationship Id="rId131" Type="http://schemas.openxmlformats.org/officeDocument/2006/relationships/image" Target="media/image123.png"/><Relationship Id="rId132" Type="http://schemas.openxmlformats.org/officeDocument/2006/relationships/image" Target="media/image124.png"/><Relationship Id="rId133" Type="http://schemas.openxmlformats.org/officeDocument/2006/relationships/image" Target="media/image125.png"/><Relationship Id="rId134" Type="http://schemas.openxmlformats.org/officeDocument/2006/relationships/image" Target="media/image126.png"/><Relationship Id="rId135" Type="http://schemas.openxmlformats.org/officeDocument/2006/relationships/image" Target="media/image127.png"/><Relationship Id="rId136" Type="http://schemas.openxmlformats.org/officeDocument/2006/relationships/image" Target="media/image128.png"/><Relationship Id="rId137" Type="http://schemas.openxmlformats.org/officeDocument/2006/relationships/image" Target="media/image129.png"/><Relationship Id="rId138" Type="http://schemas.openxmlformats.org/officeDocument/2006/relationships/image" Target="media/image130.png"/><Relationship Id="rId139" Type="http://schemas.openxmlformats.org/officeDocument/2006/relationships/image" Target="media/image131.png"/><Relationship Id="rId140" Type="http://schemas.openxmlformats.org/officeDocument/2006/relationships/image" Target="media/image132.png"/><Relationship Id="rId141" Type="http://schemas.openxmlformats.org/officeDocument/2006/relationships/image" Target="media/image133.png"/><Relationship Id="rId142" Type="http://schemas.openxmlformats.org/officeDocument/2006/relationships/image" Target="media/image134.png"/><Relationship Id="rId143" Type="http://schemas.openxmlformats.org/officeDocument/2006/relationships/image" Target="media/image135.png"/><Relationship Id="rId144" Type="http://schemas.openxmlformats.org/officeDocument/2006/relationships/image" Target="media/image136.png"/><Relationship Id="rId145" Type="http://schemas.openxmlformats.org/officeDocument/2006/relationships/image" Target="media/image137.png"/><Relationship Id="rId146" Type="http://schemas.openxmlformats.org/officeDocument/2006/relationships/image" Target="media/image138.png"/><Relationship Id="rId147" Type="http://schemas.openxmlformats.org/officeDocument/2006/relationships/image" Target="media/image139.png"/><Relationship Id="rId148" Type="http://schemas.openxmlformats.org/officeDocument/2006/relationships/image" Target="media/image140.png"/><Relationship Id="rId149" Type="http://schemas.openxmlformats.org/officeDocument/2006/relationships/image" Target="media/image141.png"/><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image" Target="media/image168.png"/><Relationship Id="rId177" Type="http://schemas.openxmlformats.org/officeDocument/2006/relationships/image" Target="media/image169.png"/><Relationship Id="rId178" Type="http://schemas.openxmlformats.org/officeDocument/2006/relationships/image" Target="media/image170.png"/><Relationship Id="rId179" Type="http://schemas.openxmlformats.org/officeDocument/2006/relationships/image" Target="media/image171.png"/><Relationship Id="rId180" Type="http://schemas.openxmlformats.org/officeDocument/2006/relationships/image" Target="media/image172.png"/><Relationship Id="rId181" Type="http://schemas.openxmlformats.org/officeDocument/2006/relationships/image" Target="media/image173.png"/><Relationship Id="rId182" Type="http://schemas.openxmlformats.org/officeDocument/2006/relationships/image" Target="media/image174.png"/><Relationship Id="rId183" Type="http://schemas.openxmlformats.org/officeDocument/2006/relationships/image" Target="media/image175.png"/><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image" Target="media/image193.png"/><Relationship Id="rId202" Type="http://schemas.openxmlformats.org/officeDocument/2006/relationships/image" Target="media/image194.png"/><Relationship Id="rId203" Type="http://schemas.openxmlformats.org/officeDocument/2006/relationships/image" Target="media/image195.png"/><Relationship Id="rId204" Type="http://schemas.openxmlformats.org/officeDocument/2006/relationships/image" Target="media/image196.png"/><Relationship Id="rId205" Type="http://schemas.openxmlformats.org/officeDocument/2006/relationships/image" Target="media/image197.png"/><Relationship Id="rId206" Type="http://schemas.openxmlformats.org/officeDocument/2006/relationships/image" Target="media/image198.png"/><Relationship Id="rId207" Type="http://schemas.openxmlformats.org/officeDocument/2006/relationships/image" Target="media/image199.png"/><Relationship Id="rId208" Type="http://schemas.openxmlformats.org/officeDocument/2006/relationships/image" Target="media/image200.png"/><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8" Type="http://schemas.openxmlformats.org/officeDocument/2006/relationships/image" Target="media/image269.png"/><Relationship Id="rId279" Type="http://schemas.openxmlformats.org/officeDocument/2006/relationships/image" Target="media/image270.png"/><Relationship Id="rId280" Type="http://schemas.openxmlformats.org/officeDocument/2006/relationships/image" Target="media/image271.png"/><Relationship Id="rId281" Type="http://schemas.openxmlformats.org/officeDocument/2006/relationships/image" Target="media/image272.png"/><Relationship Id="rId282" Type="http://schemas.openxmlformats.org/officeDocument/2006/relationships/image" Target="media/image273.png"/><Relationship Id="rId283" Type="http://schemas.openxmlformats.org/officeDocument/2006/relationships/image" Target="media/image274.png"/><Relationship Id="rId284" Type="http://schemas.openxmlformats.org/officeDocument/2006/relationships/image" Target="media/image275.png"/><Relationship Id="rId285" Type="http://schemas.openxmlformats.org/officeDocument/2006/relationships/image" Target="media/image276.png"/><Relationship Id="rId286" Type="http://schemas.openxmlformats.org/officeDocument/2006/relationships/image" Target="media/image277.png"/><Relationship Id="rId287" Type="http://schemas.openxmlformats.org/officeDocument/2006/relationships/image" Target="media/image278.png"/><Relationship Id="rId288" Type="http://schemas.openxmlformats.org/officeDocument/2006/relationships/image" Target="media/image279.png"/><Relationship Id="rId289" Type="http://schemas.openxmlformats.org/officeDocument/2006/relationships/image" Target="media/image280.png"/><Relationship Id="rId290" Type="http://schemas.openxmlformats.org/officeDocument/2006/relationships/image" Target="media/image281.png"/><Relationship Id="rId291" Type="http://schemas.openxmlformats.org/officeDocument/2006/relationships/image" Target="media/image282.png"/><Relationship Id="rId292" Type="http://schemas.openxmlformats.org/officeDocument/2006/relationships/image" Target="media/image283.png"/><Relationship Id="rId293" Type="http://schemas.openxmlformats.org/officeDocument/2006/relationships/image" Target="media/image284.png"/><Relationship Id="rId294" Type="http://schemas.openxmlformats.org/officeDocument/2006/relationships/image" Target="media/image285.png"/><Relationship Id="rId295" Type="http://schemas.openxmlformats.org/officeDocument/2006/relationships/image" Target="media/image286.png"/><Relationship Id="rId296" Type="http://schemas.openxmlformats.org/officeDocument/2006/relationships/image" Target="media/image287.png"/><Relationship Id="rId297" Type="http://schemas.openxmlformats.org/officeDocument/2006/relationships/image" Target="media/image288.png"/><Relationship Id="rId298" Type="http://schemas.openxmlformats.org/officeDocument/2006/relationships/image" Target="media/image289.png"/><Relationship Id="rId299" Type="http://schemas.openxmlformats.org/officeDocument/2006/relationships/image" Target="media/image290.png"/><Relationship Id="rId300" Type="http://schemas.openxmlformats.org/officeDocument/2006/relationships/image" Target="media/image291.png"/><Relationship Id="rId301" Type="http://schemas.openxmlformats.org/officeDocument/2006/relationships/image" Target="media/image292.png"/><Relationship Id="rId302" Type="http://schemas.openxmlformats.org/officeDocument/2006/relationships/image" Target="media/image293.png"/><Relationship Id="rId303" Type="http://schemas.openxmlformats.org/officeDocument/2006/relationships/image" Target="media/image294.png"/><Relationship Id="rId304" Type="http://schemas.openxmlformats.org/officeDocument/2006/relationships/image" Target="media/image295.png"/><Relationship Id="rId305" Type="http://schemas.openxmlformats.org/officeDocument/2006/relationships/image" Target="media/image296.png"/><Relationship Id="rId306" Type="http://schemas.openxmlformats.org/officeDocument/2006/relationships/image" Target="media/image297.png"/><Relationship Id="rId307" Type="http://schemas.openxmlformats.org/officeDocument/2006/relationships/image" Target="media/image298.png"/><Relationship Id="rId308" Type="http://schemas.openxmlformats.org/officeDocument/2006/relationships/image" Target="media/image299.png"/><Relationship Id="rId309" Type="http://schemas.openxmlformats.org/officeDocument/2006/relationships/image" Target="media/image300.png"/><Relationship Id="rId310" Type="http://schemas.openxmlformats.org/officeDocument/2006/relationships/image" Target="media/image301.png"/><Relationship Id="rId311" Type="http://schemas.openxmlformats.org/officeDocument/2006/relationships/image" Target="media/image302.png"/><Relationship Id="rId312" Type="http://schemas.openxmlformats.org/officeDocument/2006/relationships/image" Target="media/image303.png"/><Relationship Id="rId313" Type="http://schemas.openxmlformats.org/officeDocument/2006/relationships/image" Target="media/image304.png"/><Relationship Id="rId314" Type="http://schemas.openxmlformats.org/officeDocument/2006/relationships/image" Target="media/image305.png"/><Relationship Id="rId315" Type="http://schemas.openxmlformats.org/officeDocument/2006/relationships/image" Target="media/image306.png"/><Relationship Id="rId316" Type="http://schemas.openxmlformats.org/officeDocument/2006/relationships/image" Target="media/image307.png"/><Relationship Id="rId317" Type="http://schemas.openxmlformats.org/officeDocument/2006/relationships/image" Target="media/image308.png"/><Relationship Id="rId318" Type="http://schemas.openxmlformats.org/officeDocument/2006/relationships/image" Target="media/image309.jpeg"/><Relationship Id="rId319" Type="http://schemas.openxmlformats.org/officeDocument/2006/relationships/image" Target="media/image310.jpeg"/><Relationship Id="rId320" Type="http://schemas.openxmlformats.org/officeDocument/2006/relationships/image" Target="media/image311.jpeg"/><Relationship Id="rId321" Type="http://schemas.openxmlformats.org/officeDocument/2006/relationships/image" Target="media/image312.jpeg"/><Relationship Id="rId322" Type="http://schemas.openxmlformats.org/officeDocument/2006/relationships/image" Target="media/image313.jpeg"/><Relationship Id="rId323" Type="http://schemas.openxmlformats.org/officeDocument/2006/relationships/image" Target="media/image314.jpeg"/><Relationship Id="rId324" Type="http://schemas.openxmlformats.org/officeDocument/2006/relationships/image" Target="media/image315.png"/><Relationship Id="rId325" Type="http://schemas.openxmlformats.org/officeDocument/2006/relationships/image" Target="media/image316.png"/><Relationship Id="rId326" Type="http://schemas.openxmlformats.org/officeDocument/2006/relationships/image" Target="media/image317.png"/><Relationship Id="rId327" Type="http://schemas.openxmlformats.org/officeDocument/2006/relationships/image" Target="media/image318.png"/><Relationship Id="rId328" Type="http://schemas.openxmlformats.org/officeDocument/2006/relationships/image" Target="media/image319.png"/><Relationship Id="rId329" Type="http://schemas.openxmlformats.org/officeDocument/2006/relationships/image" Target="media/image320.png"/><Relationship Id="rId330" Type="http://schemas.openxmlformats.org/officeDocument/2006/relationships/image" Target="media/image321.png"/><Relationship Id="rId331" Type="http://schemas.openxmlformats.org/officeDocument/2006/relationships/image" Target="media/image322.png"/><Relationship Id="rId332" Type="http://schemas.openxmlformats.org/officeDocument/2006/relationships/image" Target="media/image323.png"/><Relationship Id="rId333" Type="http://schemas.openxmlformats.org/officeDocument/2006/relationships/image" Target="media/image324.png"/><Relationship Id="rId334" Type="http://schemas.openxmlformats.org/officeDocument/2006/relationships/image" Target="media/image325.png"/><Relationship Id="rId335" Type="http://schemas.openxmlformats.org/officeDocument/2006/relationships/image" Target="media/image326.png"/><Relationship Id="rId336" Type="http://schemas.openxmlformats.org/officeDocument/2006/relationships/image" Target="media/image327.png"/><Relationship Id="rId337" Type="http://schemas.openxmlformats.org/officeDocument/2006/relationships/image" Target="media/image328.png"/><Relationship Id="rId338" Type="http://schemas.openxmlformats.org/officeDocument/2006/relationships/image" Target="media/image329.png"/><Relationship Id="rId339" Type="http://schemas.openxmlformats.org/officeDocument/2006/relationships/image" Target="media/image330.png"/><Relationship Id="rId340" Type="http://schemas.openxmlformats.org/officeDocument/2006/relationships/image" Target="media/image331.png"/><Relationship Id="rId341" Type="http://schemas.openxmlformats.org/officeDocument/2006/relationships/image" Target="media/image332.png"/><Relationship Id="rId342" Type="http://schemas.openxmlformats.org/officeDocument/2006/relationships/image" Target="media/image333.png"/><Relationship Id="rId343" Type="http://schemas.openxmlformats.org/officeDocument/2006/relationships/image" Target="media/image334.png"/><Relationship Id="rId344" Type="http://schemas.openxmlformats.org/officeDocument/2006/relationships/image" Target="media/image335.png"/><Relationship Id="rId345" Type="http://schemas.openxmlformats.org/officeDocument/2006/relationships/image" Target="media/image336.png"/><Relationship Id="rId346" Type="http://schemas.openxmlformats.org/officeDocument/2006/relationships/image" Target="media/image337.png"/><Relationship Id="rId347" Type="http://schemas.openxmlformats.org/officeDocument/2006/relationships/image" Target="media/image338.png"/><Relationship Id="rId348" Type="http://schemas.openxmlformats.org/officeDocument/2006/relationships/image" Target="media/image339.png"/><Relationship Id="rId349" Type="http://schemas.openxmlformats.org/officeDocument/2006/relationships/image" Target="media/image340.png"/><Relationship Id="rId350" Type="http://schemas.openxmlformats.org/officeDocument/2006/relationships/image" Target="media/image341.png"/><Relationship Id="rId351" Type="http://schemas.openxmlformats.org/officeDocument/2006/relationships/image" Target="media/image342.png"/><Relationship Id="rId352" Type="http://schemas.openxmlformats.org/officeDocument/2006/relationships/image" Target="media/image343.png"/><Relationship Id="rId353" Type="http://schemas.openxmlformats.org/officeDocument/2006/relationships/image" Target="media/image344.png"/><Relationship Id="rId354" Type="http://schemas.openxmlformats.org/officeDocument/2006/relationships/image" Target="media/image345.png"/><Relationship Id="rId355" Type="http://schemas.openxmlformats.org/officeDocument/2006/relationships/image" Target="media/image346.png"/><Relationship Id="rId356" Type="http://schemas.openxmlformats.org/officeDocument/2006/relationships/image" Target="media/image347.png"/><Relationship Id="rId357" Type="http://schemas.openxmlformats.org/officeDocument/2006/relationships/image" Target="media/image348.png"/><Relationship Id="rId358" Type="http://schemas.openxmlformats.org/officeDocument/2006/relationships/image" Target="media/image349.png"/><Relationship Id="rId359" Type="http://schemas.openxmlformats.org/officeDocument/2006/relationships/image" Target="media/image350.png"/><Relationship Id="rId360" Type="http://schemas.openxmlformats.org/officeDocument/2006/relationships/image" Target="media/image351.png"/><Relationship Id="rId361" Type="http://schemas.openxmlformats.org/officeDocument/2006/relationships/image" Target="media/image352.jpeg"/><Relationship Id="rId362" Type="http://schemas.openxmlformats.org/officeDocument/2006/relationships/image" Target="media/image353.png"/><Relationship Id="rId363" Type="http://schemas.openxmlformats.org/officeDocument/2006/relationships/image" Target="media/image354.png"/><Relationship Id="rId364" Type="http://schemas.openxmlformats.org/officeDocument/2006/relationships/image" Target="media/image355.png"/><Relationship Id="rId365" Type="http://schemas.openxmlformats.org/officeDocument/2006/relationships/image" Target="media/image356.png"/><Relationship Id="rId366" Type="http://schemas.openxmlformats.org/officeDocument/2006/relationships/image" Target="media/image357.png"/><Relationship Id="rId367" Type="http://schemas.openxmlformats.org/officeDocument/2006/relationships/image" Target="media/image358.png"/><Relationship Id="rId368" Type="http://schemas.openxmlformats.org/officeDocument/2006/relationships/image" Target="media/image359.png"/><Relationship Id="rId369" Type="http://schemas.openxmlformats.org/officeDocument/2006/relationships/image" Target="media/image360.png"/><Relationship Id="rId370" Type="http://schemas.openxmlformats.org/officeDocument/2006/relationships/image" Target="media/image361.png"/><Relationship Id="rId371" Type="http://schemas.openxmlformats.org/officeDocument/2006/relationships/image" Target="media/image362.png"/><Relationship Id="rId372" Type="http://schemas.openxmlformats.org/officeDocument/2006/relationships/image" Target="media/image363.png"/><Relationship Id="rId373" Type="http://schemas.openxmlformats.org/officeDocument/2006/relationships/image" Target="media/image364.png"/><Relationship Id="rId374" Type="http://schemas.openxmlformats.org/officeDocument/2006/relationships/image" Target="media/image365.png"/><Relationship Id="rId375" Type="http://schemas.openxmlformats.org/officeDocument/2006/relationships/image" Target="media/image366.png"/><Relationship Id="rId376" Type="http://schemas.openxmlformats.org/officeDocument/2006/relationships/image" Target="media/image367.png"/><Relationship Id="rId377" Type="http://schemas.openxmlformats.org/officeDocument/2006/relationships/image" Target="media/image368.png"/><Relationship Id="rId378" Type="http://schemas.openxmlformats.org/officeDocument/2006/relationships/image" Target="media/image369.png"/><Relationship Id="rId379" Type="http://schemas.openxmlformats.org/officeDocument/2006/relationships/image" Target="media/image370.png"/><Relationship Id="rId380" Type="http://schemas.openxmlformats.org/officeDocument/2006/relationships/image" Target="media/image371.png"/><Relationship Id="rId381" Type="http://schemas.openxmlformats.org/officeDocument/2006/relationships/image" Target="media/image372.png"/><Relationship Id="rId382" Type="http://schemas.openxmlformats.org/officeDocument/2006/relationships/image" Target="media/image373.png"/><Relationship Id="rId383" Type="http://schemas.openxmlformats.org/officeDocument/2006/relationships/image" Target="media/image374.png"/><Relationship Id="rId384" Type="http://schemas.openxmlformats.org/officeDocument/2006/relationships/image" Target="media/image375.png"/><Relationship Id="rId385" Type="http://schemas.openxmlformats.org/officeDocument/2006/relationships/image" Target="media/image376.png"/><Relationship Id="rId386" Type="http://schemas.openxmlformats.org/officeDocument/2006/relationships/image" Target="media/image377.png"/><Relationship Id="rId387" Type="http://schemas.openxmlformats.org/officeDocument/2006/relationships/image" Target="media/image378.png"/><Relationship Id="rId388" Type="http://schemas.openxmlformats.org/officeDocument/2006/relationships/image" Target="media/image379.png"/><Relationship Id="rId389" Type="http://schemas.openxmlformats.org/officeDocument/2006/relationships/image" Target="media/image380.png"/><Relationship Id="rId390" Type="http://schemas.openxmlformats.org/officeDocument/2006/relationships/image" Target="media/image381.png"/><Relationship Id="rId391" Type="http://schemas.openxmlformats.org/officeDocument/2006/relationships/image" Target="media/image382.png"/><Relationship Id="rId392" Type="http://schemas.openxmlformats.org/officeDocument/2006/relationships/image" Target="media/image383.png"/><Relationship Id="rId393" Type="http://schemas.openxmlformats.org/officeDocument/2006/relationships/image" Target="media/image384.png"/><Relationship Id="rId394" Type="http://schemas.openxmlformats.org/officeDocument/2006/relationships/image" Target="media/image385.png"/><Relationship Id="rId395" Type="http://schemas.openxmlformats.org/officeDocument/2006/relationships/image" Target="media/image386.png"/><Relationship Id="rId396" Type="http://schemas.openxmlformats.org/officeDocument/2006/relationships/image" Target="media/image387.png"/><Relationship Id="rId397" Type="http://schemas.openxmlformats.org/officeDocument/2006/relationships/image" Target="media/image388.png"/><Relationship Id="rId398" Type="http://schemas.openxmlformats.org/officeDocument/2006/relationships/image" Target="media/image389.png"/><Relationship Id="rId399" Type="http://schemas.openxmlformats.org/officeDocument/2006/relationships/image" Target="media/image390.png"/><Relationship Id="rId400" Type="http://schemas.openxmlformats.org/officeDocument/2006/relationships/image" Target="media/image391.jpeg"/><Relationship Id="rId401" Type="http://schemas.openxmlformats.org/officeDocument/2006/relationships/image" Target="media/image392.png"/><Relationship Id="rId402" Type="http://schemas.openxmlformats.org/officeDocument/2006/relationships/image" Target="media/image393.png"/><Relationship Id="rId403" Type="http://schemas.openxmlformats.org/officeDocument/2006/relationships/image" Target="media/image394.png"/><Relationship Id="rId404" Type="http://schemas.openxmlformats.org/officeDocument/2006/relationships/image" Target="media/image395.png"/><Relationship Id="rId405" Type="http://schemas.openxmlformats.org/officeDocument/2006/relationships/image" Target="media/image396.png"/><Relationship Id="rId407" Type="http://schemas.openxmlformats.org/officeDocument/2006/relationships/image" Target="media/image397.png"/><Relationship Id="rId408" Type="http://schemas.openxmlformats.org/officeDocument/2006/relationships/image" Target="media/image398.jpeg"/><Relationship Id="rId409" Type="http://schemas.openxmlformats.org/officeDocument/2006/relationships/image" Target="media/image399.png"/><Relationship Id="rId410" Type="http://schemas.openxmlformats.org/officeDocument/2006/relationships/image" Target="media/image400.png"/><Relationship Id="rId411" Type="http://schemas.openxmlformats.org/officeDocument/2006/relationships/image" Target="media/image401.png"/><Relationship Id="rId412" Type="http://schemas.openxmlformats.org/officeDocument/2006/relationships/image" Target="media/image402.png"/><Relationship Id="rId413" Type="http://schemas.openxmlformats.org/officeDocument/2006/relationships/image" Target="media/image403.png"/><Relationship Id="rId11" Type="http://schemas.openxmlformats.org/officeDocument/2006/relationships/hyperlink" Target="javascript:void(0)" TargetMode="External"/><Relationship Id="rId277" Type="http://schemas.openxmlformats.org/officeDocument/2006/relationships/hyperlink" Target="http://www.ropniz.ru/" TargetMode="External"/><Relationship Id="rId406" Type="http://schemas.openxmlformats.org/officeDocument/2006/relationships/hyperlink" Target="https://www.kidney.org/professionals/KDOQI/gfr_calculator" TargetMode="External"/></Relationships>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Windows User</cp:lastModifiedBy>
  <cp:revision>1</cp:revision>
  <dcterms:created xsi:type="dcterms:W3CDTF">2020-04-01T19:01:27Z</dcterms:created>
  <dcterms:modified xsi:type="dcterms:W3CDTF">2020-04-01T19:01:27Z</dcterms:modified>
</cp:coreProperties>
</file>