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70" w:rsidRDefault="00443B2D">
      <w:pPr>
        <w:spacing w:after="33" w:line="217" w:lineRule="auto"/>
        <w:ind w:left="0" w:right="0" w:firstLine="0"/>
        <w:jc w:val="left"/>
      </w:pPr>
      <w:bookmarkStart w:id="0" w:name="_GoBack"/>
      <w:bookmarkEnd w:id="0"/>
      <w:r>
        <w:rPr>
          <w:rFonts w:ascii="Century Gothic" w:eastAsia="Century Gothic" w:hAnsi="Century Gothic" w:cs="Century Gothic"/>
          <w:sz w:val="36"/>
        </w:rPr>
        <w:t xml:space="preserve">Аутизм и расстройства аутистического спектра: направления диагностики </w:t>
      </w:r>
    </w:p>
    <w:p w:rsidR="00BE2F70" w:rsidRDefault="00443B2D">
      <w:pPr>
        <w:spacing w:after="0" w:line="259" w:lineRule="auto"/>
        <w:ind w:left="0" w:right="0" w:firstLine="0"/>
        <w:jc w:val="left"/>
      </w:pPr>
      <w:r>
        <w:rPr>
          <w:rFonts w:ascii="Century Gothic" w:eastAsia="Century Gothic" w:hAnsi="Century Gothic" w:cs="Century Gothic"/>
          <w:sz w:val="28"/>
        </w:rPr>
        <w:t>(Сообщение 2)</w:t>
      </w:r>
    </w:p>
    <w:tbl>
      <w:tblPr>
        <w:tblStyle w:val="TableGrid"/>
        <w:tblW w:w="7994" w:type="dxa"/>
        <w:tblInd w:w="0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91"/>
        <w:gridCol w:w="5103"/>
      </w:tblGrid>
      <w:tr w:rsidR="00BE2F70">
        <w:trPr>
          <w:trHeight w:val="717"/>
        </w:trPr>
        <w:tc>
          <w:tcPr>
            <w:tcW w:w="2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9" w:line="259" w:lineRule="auto"/>
              <w:ind w:left="0" w:right="0" w:firstLine="0"/>
              <w:jc w:val="left"/>
            </w:pPr>
            <w:r>
              <w:rPr>
                <w:rFonts w:ascii="Century Gothic" w:eastAsia="Century Gothic" w:hAnsi="Century Gothic" w:cs="Century Gothic"/>
                <w:b/>
                <w:sz w:val="18"/>
              </w:rPr>
              <w:t>Н.Ю. Калмыкова,</w:t>
            </w:r>
          </w:p>
          <w:p w:rsidR="00BE2F70" w:rsidRDefault="00443B2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entury Gothic" w:eastAsia="Century Gothic" w:hAnsi="Century Gothic" w:cs="Century Gothic"/>
                <w:sz w:val="18"/>
              </w:rPr>
              <w:t>Институт коррекционной педагогики РАО, г. Москва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E2F70" w:rsidRDefault="00443B2D">
            <w:pPr>
              <w:spacing w:after="0" w:line="259" w:lineRule="auto"/>
              <w:ind w:left="113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08001" cy="108001"/>
                      <wp:effectExtent l="0" t="0" r="0" b="0"/>
                      <wp:docPr id="11950" name="Group 119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001" cy="108001"/>
                                <a:chOff x="0" y="0"/>
                                <a:chExt cx="108001" cy="108001"/>
                              </a:xfrm>
                            </wpg:grpSpPr>
                            <wps:wsp>
                              <wps:cNvPr id="15339" name="Shape 15339"/>
                              <wps:cNvSpPr/>
                              <wps:spPr>
                                <a:xfrm>
                                  <a:off x="0" y="0"/>
                                  <a:ext cx="108001" cy="1080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001" h="108001">
                                      <a:moveTo>
                                        <a:pt x="0" y="0"/>
                                      </a:moveTo>
                                      <a:lnTo>
                                        <a:pt x="108001" y="0"/>
                                      </a:lnTo>
                                      <a:lnTo>
                                        <a:pt x="108001" y="108001"/>
                                      </a:lnTo>
                                      <a:lnTo>
                                        <a:pt x="0" y="1080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8B8B8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950" style="width:8.504pt;height:8.50403pt;mso-position-horizontal-relative:char;mso-position-vertical-relative:line" coordsize="1080,1080">
                      <v:shape id="Shape 15340" style="position:absolute;width:1080;height:1080;left:0;top:0;" coordsize="108001,108001" path="m0,0l108001,0l108001,108001l0,108001l0,0">
                        <v:stroke weight="0pt" endcap="flat" joinstyle="miter" miterlimit="10" on="false" color="#000000" opacity="0"/>
                        <v:fill on="true" color="#b8b8b8"/>
                      </v:shape>
                    </v:group>
                  </w:pict>
                </mc:Fallback>
              </mc:AlternateContent>
            </w:r>
          </w:p>
        </w:tc>
      </w:tr>
      <w:tr w:rsidR="00BE2F70">
        <w:trPr>
          <w:trHeight w:val="1818"/>
        </w:trPr>
        <w:tc>
          <w:tcPr>
            <w:tcW w:w="28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E2F70" w:rsidRDefault="00443B2D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entury Gothic" w:eastAsia="Century Gothic" w:hAnsi="Century Gothic" w:cs="Century Gothic"/>
                <w:b/>
                <w:sz w:val="18"/>
              </w:rPr>
              <w:t xml:space="preserve">Ключевые слова:                    </w:t>
            </w: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08001" cy="108001"/>
                      <wp:effectExtent l="0" t="0" r="0" b="0"/>
                      <wp:docPr id="12037" name="Group 120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001" cy="108001"/>
                                <a:chOff x="0" y="0"/>
                                <a:chExt cx="108001" cy="108001"/>
                              </a:xfrm>
                            </wpg:grpSpPr>
                            <wps:wsp>
                              <wps:cNvPr id="15341" name="Shape 15341"/>
                              <wps:cNvSpPr/>
                              <wps:spPr>
                                <a:xfrm>
                                  <a:off x="0" y="0"/>
                                  <a:ext cx="108001" cy="1080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001" h="108001">
                                      <a:moveTo>
                                        <a:pt x="0" y="0"/>
                                      </a:moveTo>
                                      <a:lnTo>
                                        <a:pt x="108001" y="0"/>
                                      </a:lnTo>
                                      <a:lnTo>
                                        <a:pt x="108001" y="108001"/>
                                      </a:lnTo>
                                      <a:lnTo>
                                        <a:pt x="0" y="1080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8B8B8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37" style="width:8.504pt;height:8.50403pt;mso-position-horizontal-relative:char;mso-position-vertical-relative:line" coordsize="1080,1080">
                      <v:shape id="Shape 15342" style="position:absolute;width:1080;height:1080;left:0;top:0;" coordsize="108001,108001" path="m0,0l108001,0l108001,108001l0,108001l0,0">
                        <v:stroke weight="0pt" endcap="flat" joinstyle="miter" miterlimit="10" on="false" color="#000000" opacity="0"/>
                        <v:fill on="true" color="#b8b8b8"/>
                      </v:shape>
                    </v:group>
                  </w:pict>
                </mc:Fallback>
              </mc:AlternateContent>
            </w:r>
            <w:r>
              <w:rPr>
                <w:rFonts w:ascii="Century Gothic" w:eastAsia="Century Gothic" w:hAnsi="Century Gothic" w:cs="Century Gothic"/>
                <w:sz w:val="18"/>
              </w:rPr>
              <w:t xml:space="preserve">аутизм, расстройства аутистического спектра (РАС), скрининг, клиническая диагностика, оценка динамики развития, психолого-педагогическое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BE2F70" w:rsidRDefault="00443B2D">
            <w:pPr>
              <w:spacing w:after="0" w:line="259" w:lineRule="auto"/>
              <w:ind w:left="113" w:right="86" w:firstLine="0"/>
              <w:jc w:val="left"/>
            </w:pPr>
            <w:r>
              <w:rPr>
                <w:rFonts w:ascii="Century Gothic" w:eastAsia="Century Gothic" w:hAnsi="Century Gothic" w:cs="Century Gothic"/>
                <w:sz w:val="18"/>
              </w:rPr>
              <w:t>В статье продолжается обсуждение основных направлений диагностики при расстройствах аутистического спектра (РАС). Расс</w:t>
            </w:r>
            <w:r>
              <w:rPr>
                <w:rFonts w:ascii="Century Gothic" w:eastAsia="Century Gothic" w:hAnsi="Century Gothic" w:cs="Century Gothic"/>
                <w:sz w:val="18"/>
              </w:rPr>
              <w:t>матриваются вопросы соотношения клинической диагностики и психолого-педагогической оценки развития при РАС; обсуждаются наиболее информативные тестовые методы, их достоинства и ограничения при диагностике развития детей с аутизмом*.</w:t>
            </w:r>
          </w:p>
        </w:tc>
      </w:tr>
    </w:tbl>
    <w:p w:rsidR="00BE2F70" w:rsidRDefault="00443B2D">
      <w:pPr>
        <w:spacing w:after="0" w:line="259" w:lineRule="auto"/>
        <w:ind w:left="0" w:right="0" w:firstLine="0"/>
        <w:jc w:val="left"/>
      </w:pPr>
      <w:r>
        <w:rPr>
          <w:rFonts w:ascii="Century Gothic" w:eastAsia="Century Gothic" w:hAnsi="Century Gothic" w:cs="Century Gothic"/>
          <w:sz w:val="18"/>
        </w:rPr>
        <w:t>тестирование.</w:t>
      </w:r>
    </w:p>
    <w:p w:rsidR="00BE2F70" w:rsidRDefault="00BE2F70">
      <w:pPr>
        <w:sectPr w:rsidR="00BE2F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9524" w:h="14740"/>
          <w:pgMar w:top="1531" w:right="1105" w:bottom="1327" w:left="907" w:header="737" w:footer="885" w:gutter="0"/>
          <w:pgNumType w:start="38"/>
          <w:cols w:space="720"/>
        </w:sectPr>
      </w:pPr>
    </w:p>
    <w:p w:rsidR="00BE2F70" w:rsidRDefault="00443B2D">
      <w:pPr>
        <w:ind w:right="39"/>
      </w:pPr>
      <w:r>
        <w:t>В</w:t>
      </w:r>
      <w:r>
        <w:rPr>
          <w:color w:val="FFFFFF"/>
        </w:rPr>
        <w:t>*</w:t>
      </w:r>
      <w:r>
        <w:t>предыдущей статье (Сообщение 1) мы обсудили современные проблемы диагностики аутизма и РАС, влияющие на оценку их распространенности и, соответственно, на построение системы медикопсихолого-педагогической помощи людям с данными нарушениями. Были рассмотрен</w:t>
      </w:r>
      <w:r>
        <w:t xml:space="preserve">ы основные, на наш взгляд, диагностические направления при РАС: </w:t>
      </w:r>
    </w:p>
    <w:p w:rsidR="00BE2F70" w:rsidRDefault="00443B2D">
      <w:pPr>
        <w:numPr>
          <w:ilvl w:val="0"/>
          <w:numId w:val="1"/>
        </w:numPr>
        <w:ind w:right="39"/>
      </w:pPr>
      <w:r>
        <w:t>первичная экспресс-диагностика с помощью скрининговых тестов с опорой на основные индикаторы детского аутизма, предназначенная для выявления группы риска в общей популяции детей;</w:t>
      </w:r>
    </w:p>
    <w:p w:rsidR="00BE2F70" w:rsidRDefault="00443B2D">
      <w:pPr>
        <w:numPr>
          <w:ilvl w:val="0"/>
          <w:numId w:val="1"/>
        </w:numPr>
        <w:ind w:right="39"/>
      </w:pPr>
      <w:r>
        <w:t>основные сис</w:t>
      </w:r>
      <w:r>
        <w:t>темы клинической диагностики аутизма и РАС;</w:t>
      </w:r>
    </w:p>
    <w:p w:rsidR="00BE2F70" w:rsidRDefault="00443B2D">
      <w:pPr>
        <w:numPr>
          <w:ilvl w:val="0"/>
          <w:numId w:val="1"/>
        </w:numPr>
        <w:ind w:right="39"/>
      </w:pPr>
      <w:r>
        <w:t>психолого-педагогическая диагностика и оценка динамики развития аутичных детей.</w:t>
      </w:r>
    </w:p>
    <w:p w:rsidR="00BE2F70" w:rsidRDefault="00443B2D">
      <w:pPr>
        <w:ind w:right="39"/>
      </w:pPr>
      <w:r>
        <w:t xml:space="preserve">Выделив значимые организационные, методологические и </w:t>
      </w:r>
      <w:r>
        <w:t xml:space="preserve">методические проблемы третьего направления </w:t>
      </w:r>
    </w:p>
    <w:tbl>
      <w:tblPr>
        <w:tblStyle w:val="TableGrid"/>
        <w:tblW w:w="3874" w:type="dxa"/>
        <w:tblInd w:w="28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74"/>
      </w:tblGrid>
      <w:tr w:rsidR="00BE2F70">
        <w:trPr>
          <w:trHeight w:val="578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</w:tcPr>
          <w:p w:rsidR="00BE2F70" w:rsidRDefault="00443B2D">
            <w:pPr>
              <w:spacing w:after="8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720001" cy="6350"/>
                      <wp:effectExtent l="0" t="0" r="0" b="0"/>
                      <wp:docPr id="12374" name="Group 123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0001" cy="6350"/>
                                <a:chOff x="0" y="0"/>
                                <a:chExt cx="720001" cy="6350"/>
                              </a:xfrm>
                            </wpg:grpSpPr>
                            <wps:wsp>
                              <wps:cNvPr id="73" name="Shape 73"/>
                              <wps:cNvSpPr/>
                              <wps:spPr>
                                <a:xfrm>
                                  <a:off x="0" y="0"/>
                                  <a:ext cx="72000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20001">
                                      <a:moveTo>
                                        <a:pt x="0" y="0"/>
                                      </a:moveTo>
                                      <a:lnTo>
                                        <a:pt x="720001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374" style="width:56.693pt;height:0.5pt;mso-position-horizontal-relative:char;mso-position-vertical-relative:line" coordsize="7200,63">
                      <v:shape id="Shape 73" style="position:absolute;width:7200;height:0;left:0;top:0;" coordsize="720001,0" path="m0,0l720001,0">
                        <v:stroke weight="0.5pt" endcap="flat" joinstyle="miter" miterlimit="10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  <w:p w:rsidR="00BE2F70" w:rsidRDefault="00443B2D">
            <w:pPr>
              <w:spacing w:after="0" w:line="259" w:lineRule="auto"/>
              <w:ind w:left="0" w:right="0" w:firstLine="340"/>
            </w:pPr>
            <w:r>
              <w:rPr>
                <w:sz w:val="19"/>
              </w:rPr>
              <w:t>* Первая часть статьи опубликован</w:t>
            </w:r>
            <w:r>
              <w:rPr>
                <w:sz w:val="19"/>
              </w:rPr>
              <w:t>а в журнале «Дефектология», № 1, 2019.</w:t>
            </w:r>
          </w:p>
        </w:tc>
      </w:tr>
    </w:tbl>
    <w:p w:rsidR="00BE2F70" w:rsidRDefault="00443B2D">
      <w:pPr>
        <w:spacing w:after="213"/>
        <w:ind w:left="-15" w:right="39" w:firstLine="0"/>
      </w:pPr>
      <w:r>
        <w:t>диагностики, мы перешли к рассмотрению наиболее полных и информативных диагностических методов, распространенных в настоящее время за рубежом. Продолжим краткое описание данных методов для последующей оценки преимуществ и недостатков каждого из них в диагн</w:t>
      </w:r>
      <w:r>
        <w:t xml:space="preserve">остике развития аутичного ребенка. </w:t>
      </w:r>
    </w:p>
    <w:p w:rsidR="00BE2F70" w:rsidRDefault="00443B2D">
      <w:pPr>
        <w:spacing w:after="40" w:line="231" w:lineRule="auto"/>
        <w:ind w:left="335" w:right="0" w:hanging="10"/>
        <w:jc w:val="left"/>
      </w:pPr>
      <w:r>
        <w:rPr>
          <w:rFonts w:ascii="Century Gothic" w:eastAsia="Century Gothic" w:hAnsi="Century Gothic" w:cs="Century Gothic"/>
        </w:rPr>
        <w:t>ADOS – План диагностического обследования при аутизме (ADOS-2, 2012)</w:t>
      </w:r>
    </w:p>
    <w:p w:rsidR="00BE2F70" w:rsidRDefault="00443B2D">
      <w:pPr>
        <w:ind w:left="-15" w:right="39"/>
      </w:pPr>
      <w:r>
        <w:t>ADOS – стандартизированная методика оценки общения, социального взаимодействия, игры и/или использования материалов с применением воображения при налич</w:t>
      </w:r>
      <w:r>
        <w:t xml:space="preserve">ии подозрения на аутизм у детей и взрослых разного возраста, уровня развития и речевых навыков. Интервьюером создаются стандартные ситуации с помощью </w:t>
      </w:r>
      <w:r>
        <w:lastRenderedPageBreak/>
        <w:t>структурированных видов деятельности и материалов методики, в которых могут проявиться формы поведения, ва</w:t>
      </w:r>
      <w:r>
        <w:t>жные для диагностики аутизма. Разработчики данной методики: Кэтрин Лорд, Майкл Раттер, Памела Ди Лаворе, Сьюзан Ризи (США, 1994).</w:t>
      </w:r>
    </w:p>
    <w:p w:rsidR="00BE2F70" w:rsidRDefault="00443B2D">
      <w:pPr>
        <w:ind w:left="-15" w:right="39"/>
      </w:pPr>
      <w:r>
        <w:t>Методика ADOS включает в себя четыре модуля, которые сочетают в себе ряд неструктурированных и структурированных ситуаций, пре</w:t>
      </w:r>
      <w:r>
        <w:t>дставляющих собой социальнокоммуникативные последовательности. Каждая ситуация обеспечивает свое сочетание социальных стимулов («прессов»), побуждающих к общению и социальному взаимодействию. В новую версию ADOS-2 (2012) – вторую версию «Плана диагностичес</w:t>
      </w:r>
      <w:r>
        <w:t>кого обследования при аутизме» – впервые включен модуль Т для обследования детей ясельного возраста, с помощью которого можно определить степень риска развития расстройств аутистического спектра. Длительность обследования с помощью любого из модулей состав</w:t>
      </w:r>
      <w:r>
        <w:t>ляет 35–40 минут.</w:t>
      </w:r>
    </w:p>
    <w:p w:rsidR="00BE2F70" w:rsidRDefault="00443B2D">
      <w:pPr>
        <w:ind w:left="-15" w:right="39"/>
      </w:pPr>
      <w:r>
        <w:t xml:space="preserve">Как правило, испытуемого обследуют с помощью только одного модуля, который выбирают на основании уровня развития экспрессивной речи и с учетом соответствия заданий и вопросов его хронологическому возрасту. Варианты модулей представлены в </w:t>
      </w:r>
      <w:r>
        <w:t>таблице 1.</w:t>
      </w:r>
    </w:p>
    <w:p w:rsidR="00BE2F70" w:rsidRDefault="00443B2D">
      <w:pPr>
        <w:spacing w:after="248"/>
        <w:ind w:left="-15" w:right="39"/>
      </w:pPr>
      <w:r>
        <w:t xml:space="preserve">Модули Т, 1 и 2 составлены для работы с детьми; диагностика проходит как стандартизированное наблюдение за поведением во время специально </w:t>
      </w:r>
    </w:p>
    <w:tbl>
      <w:tblPr>
        <w:tblStyle w:val="TableGrid"/>
        <w:tblpPr w:vertAnchor="text" w:horzAnchor="margin" w:tblpX="5" w:tblpY="496"/>
        <w:tblOverlap w:val="never"/>
        <w:tblW w:w="7994" w:type="dxa"/>
        <w:tblInd w:w="0" w:type="dxa"/>
        <w:tblCellMar>
          <w:top w:w="36" w:type="dxa"/>
          <w:left w:w="79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964"/>
        <w:gridCol w:w="3402"/>
        <w:gridCol w:w="3628"/>
      </w:tblGrid>
      <w:tr w:rsidR="00BE2F70">
        <w:trPr>
          <w:trHeight w:val="318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BE2F70" w:rsidRDefault="00443B2D">
            <w:pPr>
              <w:spacing w:after="0" w:line="259" w:lineRule="auto"/>
              <w:ind w:left="92" w:right="0" w:firstLine="0"/>
              <w:jc w:val="left"/>
            </w:pPr>
            <w:r>
              <w:rPr>
                <w:b/>
                <w:sz w:val="19"/>
              </w:rPr>
              <w:t xml:space="preserve">Модуль </w:t>
            </w:r>
          </w:p>
          <w:p w:rsidR="00BE2F70" w:rsidRDefault="00443B2D">
            <w:pPr>
              <w:spacing w:after="0" w:line="259" w:lineRule="auto"/>
              <w:ind w:left="146" w:right="0" w:firstLine="0"/>
              <w:jc w:val="left"/>
            </w:pPr>
            <w:r>
              <w:rPr>
                <w:b/>
                <w:sz w:val="19"/>
              </w:rPr>
              <w:t>ADOS</w:t>
            </w:r>
          </w:p>
        </w:tc>
        <w:tc>
          <w:tcPr>
            <w:tcW w:w="7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9"/>
              </w:rPr>
              <w:t>Критерии выбора модуля</w:t>
            </w:r>
          </w:p>
        </w:tc>
      </w:tr>
      <w:tr w:rsidR="00BE2F70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BE2F7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BE2F70" w:rsidRDefault="00443B2D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  <w:sz w:val="19"/>
              </w:rPr>
              <w:t>Уровень развития экспрессивной речи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9"/>
              </w:rPr>
              <w:t>Хронологический возраст</w:t>
            </w:r>
          </w:p>
        </w:tc>
      </w:tr>
      <w:tr w:rsidR="00BE2F70">
        <w:trPr>
          <w:trHeight w:val="31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</w:pPr>
            <w:r>
              <w:rPr>
                <w:sz w:val="19"/>
              </w:rPr>
              <w:t>довербальный уровень / отдельные слова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47" w:right="0" w:firstLine="0"/>
              <w:jc w:val="left"/>
            </w:pPr>
            <w:r>
              <w:rPr>
                <w:sz w:val="19"/>
              </w:rPr>
              <w:t>рекомендуется для возраста 12–30 месяцев</w:t>
            </w:r>
          </w:p>
        </w:tc>
      </w:tr>
      <w:tr w:rsidR="00BE2F70">
        <w:trPr>
          <w:trHeight w:val="31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</w:pPr>
            <w:r>
              <w:rPr>
                <w:sz w:val="19"/>
              </w:rPr>
              <w:t>довербальный уровень / отдельные слова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для возраста 31 месяц и старше</w:t>
            </w:r>
          </w:p>
        </w:tc>
      </w:tr>
      <w:tr w:rsidR="00BE2F70">
        <w:trPr>
          <w:trHeight w:val="31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фразовая речь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 xml:space="preserve">для детей </w:t>
            </w:r>
          </w:p>
        </w:tc>
      </w:tr>
      <w:tr w:rsidR="00BE2F70">
        <w:trPr>
          <w:trHeight w:val="31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беглая речь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для детей/подростков</w:t>
            </w:r>
          </w:p>
        </w:tc>
      </w:tr>
      <w:tr w:rsidR="00BE2F70">
        <w:trPr>
          <w:trHeight w:val="31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беглая речь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F70" w:rsidRDefault="00443B2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9"/>
              </w:rPr>
              <w:t>для подростков/взрослых</w:t>
            </w:r>
          </w:p>
        </w:tc>
      </w:tr>
    </w:tbl>
    <w:p w:rsidR="00BE2F70" w:rsidRDefault="00443B2D">
      <w:pPr>
        <w:spacing w:after="127" w:line="246" w:lineRule="auto"/>
        <w:ind w:left="-5" w:right="2243" w:hanging="10"/>
        <w:jc w:val="left"/>
      </w:pPr>
      <w:r>
        <w:rPr>
          <w:rFonts w:ascii="Century Gothic" w:eastAsia="Century Gothic" w:hAnsi="Century Gothic" w:cs="Century Gothic"/>
          <w:sz w:val="17"/>
        </w:rPr>
        <w:t xml:space="preserve">таблица 1 </w:t>
      </w:r>
      <w:r>
        <w:rPr>
          <w:rFonts w:ascii="Century Gothic" w:eastAsia="Century Gothic" w:hAnsi="Century Gothic" w:cs="Century Gothic"/>
          <w:b/>
          <w:sz w:val="18"/>
        </w:rPr>
        <w:t>Модули ADOS-2</w:t>
      </w:r>
    </w:p>
    <w:p w:rsidR="00BE2F70" w:rsidRDefault="00443B2D">
      <w:pPr>
        <w:ind w:left="-15" w:right="283" w:firstLine="0"/>
      </w:pPr>
      <w:r>
        <w:t xml:space="preserve">организованной игры с тщательно отобранными игрушками. Игрушки для модуля Т несколько отличаются, соответствуя возрасту детей (12–30 месяцев), для которых данный модуль используется. Модуль 3 используется также для детей, не владеющих беглой речью (обычно </w:t>
      </w:r>
      <w:r>
        <w:t xml:space="preserve">моложе 12–16 лет); в него включены игры и игровые материалы, предполагающие интерактивную игру исследователя с ребенком с одновременным наблюдением за его поведением. Кроме того, в данном модуле применяют вопросы интервью для сбора информации о социальном </w:t>
      </w:r>
      <w:r>
        <w:t>общении. Модуль 4 предназначен для подростков и взрослых, владеющих беглой речью, и ориентирован, главным образом, на вопросы интервью и беседу.</w:t>
      </w:r>
    </w:p>
    <w:p w:rsidR="00BE2F70" w:rsidRDefault="00443B2D">
      <w:pPr>
        <w:ind w:left="-15" w:right="285"/>
      </w:pPr>
      <w:r>
        <w:t xml:space="preserve">Исследования по модулям Т, 1 и 2, как правило, проводят во время перемещения ребенка по комнате, в зависимости </w:t>
      </w:r>
      <w:r>
        <w:t>от уровня его активности и интересов, что актуально для детей младшего возраста. Исследования по модулям 3 и 4 проводят, сидя за столом, так как в основном они включают в себя речевое общение.</w:t>
      </w:r>
    </w:p>
    <w:p w:rsidR="00BE2F70" w:rsidRDefault="00443B2D">
      <w:pPr>
        <w:ind w:left="-15" w:right="283"/>
      </w:pPr>
      <w:r>
        <w:t>План действий от модуля к модулю имеет свои отличия, но общие п</w:t>
      </w:r>
      <w:r>
        <w:t>ринципы остаются неизменными: включение преднамеренных вариаций поведения интервьюера (в том числе коммуникативные провокации) с использованием иерархии структурированных и неструктурированных форм социального поведения.</w:t>
      </w:r>
    </w:p>
    <w:p w:rsidR="00BE2F70" w:rsidRDefault="00443B2D">
      <w:pPr>
        <w:ind w:right="39"/>
      </w:pPr>
      <w:r>
        <w:t>Во время всего исследования интервь</w:t>
      </w:r>
      <w:r>
        <w:t>юер записывает свои наблюдения и по его завершении проставляет общие оценки, основанные на формах поведения, которые были зарегистрированы во время проведения интервью. Оценки представляются в виде шифров, которые характеризуют форму поведения ребенка.</w:t>
      </w:r>
    </w:p>
    <w:p w:rsidR="00BE2F70" w:rsidRDefault="00443B2D">
      <w:pPr>
        <w:ind w:right="39"/>
      </w:pPr>
      <w:r>
        <w:t xml:space="preserve">С помощью шифров требуется оценить 5 основных разделов, включенных во все модули (Т, 1, 2, 3, 4) в бланке алгоритма ADOS: «А. Речь и общение»; </w:t>
      </w:r>
    </w:p>
    <w:p w:rsidR="00BE2F70" w:rsidRDefault="00443B2D">
      <w:pPr>
        <w:spacing w:after="0" w:line="259" w:lineRule="auto"/>
        <w:ind w:left="10" w:right="130" w:hanging="10"/>
        <w:jc w:val="right"/>
      </w:pPr>
      <w:r>
        <w:t xml:space="preserve">«В. Социальное взаимодействие»; </w:t>
      </w:r>
    </w:p>
    <w:p w:rsidR="00BE2F70" w:rsidRDefault="00443B2D">
      <w:pPr>
        <w:spacing w:after="0" w:line="259" w:lineRule="auto"/>
        <w:ind w:left="10" w:right="40" w:hanging="10"/>
        <w:jc w:val="right"/>
      </w:pPr>
      <w:r>
        <w:t xml:space="preserve">«С. Воображение» для модуля 3, </w:t>
      </w:r>
    </w:p>
    <w:p w:rsidR="00BE2F70" w:rsidRDefault="00443B2D">
      <w:pPr>
        <w:ind w:right="39" w:firstLine="0"/>
      </w:pPr>
      <w:r>
        <w:t xml:space="preserve">4; </w:t>
      </w:r>
    </w:p>
    <w:p w:rsidR="00BE2F70" w:rsidRDefault="00443B2D">
      <w:pPr>
        <w:ind w:left="624" w:right="39" w:firstLine="0"/>
      </w:pPr>
      <w:r>
        <w:t xml:space="preserve">«С. Игра» для модуля Т, 1, 2; </w:t>
      </w:r>
    </w:p>
    <w:p w:rsidR="00BE2F70" w:rsidRDefault="00443B2D">
      <w:pPr>
        <w:ind w:right="39"/>
      </w:pPr>
      <w:r>
        <w:t>«D. Стереоти</w:t>
      </w:r>
      <w:r>
        <w:t xml:space="preserve">пные формы поведения и ограниченные интересы»; </w:t>
      </w:r>
    </w:p>
    <w:p w:rsidR="00BE2F70" w:rsidRDefault="00443B2D">
      <w:pPr>
        <w:ind w:right="39"/>
      </w:pPr>
      <w:r>
        <w:t>«Е. Другие аномальные формы поведения».</w:t>
      </w:r>
    </w:p>
    <w:p w:rsidR="00BE2F70" w:rsidRDefault="00443B2D">
      <w:pPr>
        <w:ind w:right="39"/>
      </w:pPr>
      <w:r>
        <w:t>После проведения диагностики интервьюером осуществляется кодирование, тщательный подсчет баллов по разным параметрам и вычисление</w:t>
      </w:r>
      <w:r>
        <w:rPr>
          <w:i/>
        </w:rPr>
        <w:t xml:space="preserve"> сравнительного балла</w:t>
      </w:r>
      <w:r>
        <w:t xml:space="preserve"> и </w:t>
      </w:r>
      <w:r>
        <w:rPr>
          <w:i/>
        </w:rPr>
        <w:t>диагноза по кла</w:t>
      </w:r>
      <w:r>
        <w:rPr>
          <w:i/>
        </w:rPr>
        <w:t>ссификации ADOS,</w:t>
      </w:r>
      <w:r>
        <w:t xml:space="preserve"> соотносящегося с действующим перечнем диагнозов МКБ-10 в настоящее время. Сравнительный балл определяет степень выраженности симптомов, связанных со спектром аутизма: </w:t>
      </w:r>
      <w:r>
        <w:rPr>
          <w:i/>
        </w:rPr>
        <w:t>высокая, умеренная, низкая, минимальная / отсутствие симптомов.</w:t>
      </w:r>
    </w:p>
    <w:p w:rsidR="00BE2F70" w:rsidRDefault="00443B2D">
      <w:pPr>
        <w:ind w:right="39"/>
      </w:pPr>
      <w:r>
        <w:t xml:space="preserve">Диагноз </w:t>
      </w:r>
      <w:r>
        <w:t xml:space="preserve">по классификации ADOS представлен тремя параметрами: </w:t>
      </w:r>
      <w:r>
        <w:rPr>
          <w:i/>
        </w:rPr>
        <w:t>аутизм / спектр аутизма / вне спектра аутизма</w:t>
      </w:r>
      <w:r>
        <w:t>, которые определяются пороговыми значениями оценок в сфере «Социального взаимодействия» и «Общения».</w:t>
      </w:r>
    </w:p>
    <w:p w:rsidR="00BE2F70" w:rsidRDefault="00443B2D">
      <w:pPr>
        <w:ind w:left="-15" w:right="39"/>
      </w:pPr>
      <w:r>
        <w:t>Обсуждая ограничения данной диагностической методики, сл</w:t>
      </w:r>
      <w:r>
        <w:t>едует обратить внимание на то, что классификация нарушений по ADOS предусматривает алгоритмы, основанные на наблюдении только за двумя областями – «Социальное взаимодействие» и «Общение» (что, конечно, сходится с диагностическими критериями DSM-5 и МКБ-10)</w:t>
      </w:r>
      <w:r>
        <w:t>. Несмотря на то, что в бланке алгоритма присутствует раздел «Стереотипные формы поведения и ограниченные интересы», пункты этого раздела не включены в расчеты изза отсутствия возможности измерить ограниченные и повторяющиеся формы поведения. Кроме того, п</w:t>
      </w:r>
      <w:r>
        <w:t>ункты, касающиеся качества игры и имеющие прямое отношение к диагностическим критериям DSM-5 и МКБ-10, включены в бланк алгоритма, но не участвуют в расчете из-за относительно высокой корреляции между показателями оценок за игру и вербальным уровнем, так к</w:t>
      </w:r>
      <w:r>
        <w:t>ак вследствие этого нивелируются диагностические различия между РАС, с одной стороны, и другими нарушениями, с другой.</w:t>
      </w:r>
    </w:p>
    <w:p w:rsidR="00BE2F70" w:rsidRDefault="00443B2D">
      <w:pPr>
        <w:ind w:left="-15" w:right="39"/>
      </w:pPr>
      <w:r>
        <w:t xml:space="preserve">Существенным ограничением диагностики с помощью ADOS является также и отсутствие возможности его применения для обследования неговорящих </w:t>
      </w:r>
      <w:r>
        <w:t>подростков и взрослых.</w:t>
      </w:r>
    </w:p>
    <w:p w:rsidR="00BE2F70" w:rsidRDefault="00443B2D">
      <w:pPr>
        <w:ind w:left="-15" w:right="39"/>
      </w:pPr>
      <w:r>
        <w:t>Качество использования ADOS во многом зависит от опыта интервьюера в применении данной методики и его клинических навыков, поэтому перед использованием ADOS интервьюер должен пройти специальное обучение в клинической или исследовател</w:t>
      </w:r>
      <w:r>
        <w:t>ьской группе. Обязательное и, как правило, платное обучение АDOS-диагностике, так же как достаточно высокая стоимость тестовых материалов, накладывают дополнительные ограничения на использование данного диагностического метода.</w:t>
      </w:r>
    </w:p>
    <w:p w:rsidR="00BE2F70" w:rsidRDefault="00443B2D">
      <w:pPr>
        <w:ind w:left="-15" w:right="39"/>
      </w:pPr>
      <w:r>
        <w:t>Методику ADOS также можно ис</w:t>
      </w:r>
      <w:r>
        <w:t>пользовать для оценки эффективности реабилитационных мероприятий, направленных на изменение поведения ребенка с аутизмом. Так, многие из заданий и шифров в начальных модулях имеют непосредственное отношение к тому, как нужно обучать данного ребенка, и каки</w:t>
      </w:r>
      <w:r>
        <w:t>е цели при этом ставить. Формулировать цели обучения на основании результатов 3-го и 4-го модулей сложнее, так как они включают меньшее число шифров, которые описывают специфические формы поведения для обучения участника. По итогам обучения можно вновь про</w:t>
      </w:r>
      <w:r>
        <w:t>тестировать ребенка, повторно предложив ему задания из соответствующего модуля, чтобы зарегистрировать динамику изменения качества их выполнения.</w:t>
      </w:r>
    </w:p>
    <w:p w:rsidR="00BE2F70" w:rsidRDefault="00443B2D">
      <w:pPr>
        <w:ind w:left="-15" w:right="39"/>
      </w:pPr>
      <w:r>
        <w:t>Алгоритмы методики ADOS и ее обновленной версии ADOS-2 демонстрируют высокую надежность, достоверность и прогн</w:t>
      </w:r>
      <w:r>
        <w:t>остическую валидность, характеризующую степень точности определения расстройств аутистического спектра, что подтверждают данные исследования, полученного на значительной выборке (более 1000 человек) по всем модулям.</w:t>
      </w:r>
    </w:p>
    <w:p w:rsidR="00BE2F70" w:rsidRDefault="00443B2D">
      <w:pPr>
        <w:ind w:left="-15" w:right="39"/>
      </w:pPr>
      <w:r>
        <w:t xml:space="preserve">Кроме того, были проведены исследования </w:t>
      </w:r>
      <w:r>
        <w:t xml:space="preserve">по стандартизации баллов в ADOS-2. Данные 1415 участников составили выборку для стандартизации результатов. Целью стандартизации общих баллов ADOS-2 было максимальное уменьшение демографических эффектов и создание стандартного показателя тяжести симптомов </w:t>
      </w:r>
      <w:r>
        <w:t xml:space="preserve">спектра аутизма, проявившихся во время обследования по ADOS-2. </w:t>
      </w:r>
    </w:p>
    <w:p w:rsidR="00BE2F70" w:rsidRDefault="00443B2D">
      <w:pPr>
        <w:spacing w:after="213"/>
        <w:ind w:left="-15" w:right="39"/>
      </w:pPr>
      <w:r>
        <w:t>Поскольку ADOS обеспечивает получение информации, основанной на непродолжительном наблюдении за социальными формами поведения и общения только в определенный момент времени, то в сочетании с н</w:t>
      </w:r>
      <w:r>
        <w:t>им для более объективной и всесторонней диагностики рекомендуется использовать детальное интервью для диагностики аутизма» (ADI-R).</w:t>
      </w:r>
    </w:p>
    <w:p w:rsidR="00BE2F70" w:rsidRDefault="00443B2D">
      <w:pPr>
        <w:spacing w:after="40" w:line="231" w:lineRule="auto"/>
        <w:ind w:left="335" w:right="0" w:hanging="10"/>
        <w:jc w:val="left"/>
      </w:pPr>
      <w:r>
        <w:rPr>
          <w:rFonts w:ascii="Century Gothic" w:eastAsia="Century Gothic" w:hAnsi="Century Gothic" w:cs="Century Gothic"/>
        </w:rPr>
        <w:t>ADI-R – интервью для диагностики аутизма</w:t>
      </w:r>
    </w:p>
    <w:p w:rsidR="00BE2F70" w:rsidRDefault="00443B2D">
      <w:pPr>
        <w:ind w:left="-15" w:right="283"/>
      </w:pPr>
      <w:r>
        <w:t>Это интервью широкого диапазона применения, которое дает возможность получить подробную информацию для постановки диагноза «расстройство аутистического спектра». Предназначено для совместного использования с Планом диагностического обследования при аутизме</w:t>
      </w:r>
      <w:r>
        <w:t xml:space="preserve"> ADOS. Разработчики: Майкл Раттер, Энн Ле Куто, Кэтрин Лорд (1994).</w:t>
      </w:r>
    </w:p>
    <w:p w:rsidR="00BE2F70" w:rsidRDefault="00443B2D">
      <w:pPr>
        <w:ind w:left="-15" w:right="286"/>
      </w:pPr>
      <w:r>
        <w:t>Интервью проводится с родителями и/или близкими значимыми людьми, воспитывающими ребенка и хорошо знакомыми с его историей.</w:t>
      </w:r>
    </w:p>
    <w:p w:rsidR="00BE2F70" w:rsidRDefault="00443B2D">
      <w:pPr>
        <w:ind w:left="-15" w:right="284"/>
      </w:pPr>
      <w:r>
        <w:t>ADI-R может использоваться для пациентов любой социальной и возр</w:t>
      </w:r>
      <w:r>
        <w:t>астной группы, если уровень их умственного развития соответствует возрасту не менее 2 лет. Для проведения интервью и оценки его результатов обычно требуется от 1,5 до 2,5 часа. Интервьюер использует протокол интервью для записи и шифровки ответов информато</w:t>
      </w:r>
      <w:r>
        <w:t>ра. Затем проводится подсчет общего числа баллов с использованием бланка-алгоритма ADI-R.</w:t>
      </w:r>
    </w:p>
    <w:p w:rsidR="00BE2F70" w:rsidRDefault="00443B2D">
      <w:pPr>
        <w:ind w:left="-15" w:right="284"/>
      </w:pPr>
      <w:r>
        <w:t>Интервью проводится по трем «областям функционирования», считающимся важными для диагностики в МКБ-10 или DSM-5: речь / общение, социальное взаимодействие и ограничен</w:t>
      </w:r>
      <w:r>
        <w:t xml:space="preserve">ные, повторяющиеся стереотипные формы поведения и интересы. ADI-R охватывает широкий спектр сведений по данным областям в виде трех основных разделов (А – </w:t>
      </w:r>
      <w:r>
        <w:rPr>
          <w:i/>
        </w:rPr>
        <w:t>качественные нарушения социального взаимодействия</w:t>
      </w:r>
      <w:r>
        <w:t xml:space="preserve">, В – </w:t>
      </w:r>
      <w:r>
        <w:rPr>
          <w:i/>
        </w:rPr>
        <w:t>качественные нарушения общения</w:t>
      </w:r>
      <w:r>
        <w:t xml:space="preserve">, С – </w:t>
      </w:r>
      <w:r>
        <w:rPr>
          <w:i/>
        </w:rPr>
        <w:t>ограниченн</w:t>
      </w:r>
      <w:r>
        <w:rPr>
          <w:i/>
        </w:rPr>
        <w:t>ые и повторяющиеся стереотипные паттерны</w:t>
      </w:r>
      <w:r>
        <w:t>), включающих подразделы, характеризующие ту или иную область, и состоящих из 93 пунктов.</w:t>
      </w:r>
    </w:p>
    <w:p w:rsidR="00BE2F70" w:rsidRDefault="00443B2D">
      <w:pPr>
        <w:ind w:right="39"/>
      </w:pPr>
      <w:r>
        <w:t>Для проведения интервью ADI-R используются два варианта алгоритмов.</w:t>
      </w:r>
    </w:p>
    <w:p w:rsidR="00BE2F70" w:rsidRDefault="00443B2D">
      <w:pPr>
        <w:numPr>
          <w:ilvl w:val="0"/>
          <w:numId w:val="2"/>
        </w:numPr>
        <w:ind w:right="39"/>
      </w:pPr>
      <w:r>
        <w:rPr>
          <w:i/>
        </w:rPr>
        <w:t xml:space="preserve">«Алгоритмы поведения в настоящее время»: </w:t>
      </w:r>
      <w:r>
        <w:t xml:space="preserve">от 2 до 3 лет 11 </w:t>
      </w:r>
      <w:r>
        <w:t>месяцев; от 4 до 9 лет 11 месяцев; от 10 лет и старше (только для лиц, владеющих речью) – если цель исследования состоит в определении методов психокоррекции или планировании программы обучения.</w:t>
      </w:r>
    </w:p>
    <w:p w:rsidR="00BE2F70" w:rsidRDefault="00443B2D">
      <w:pPr>
        <w:numPr>
          <w:ilvl w:val="0"/>
          <w:numId w:val="2"/>
        </w:numPr>
        <w:ind w:right="39"/>
      </w:pPr>
      <w:r>
        <w:rPr>
          <w:i/>
        </w:rPr>
        <w:t>«Диагностический алгоритм»:</w:t>
      </w:r>
      <w:r>
        <w:t xml:space="preserve"> от 2 лет 8 месяцев до 3 лет 11 ме</w:t>
      </w:r>
      <w:r>
        <w:t>сяцев; от 4 лет и старше – если целью является установление формального диагноза с учетом истории развития ребенка.</w:t>
      </w:r>
    </w:p>
    <w:p w:rsidR="00BE2F70" w:rsidRDefault="00443B2D">
      <w:pPr>
        <w:ind w:right="39"/>
      </w:pPr>
      <w:r>
        <w:rPr>
          <w:i/>
        </w:rPr>
        <w:t>«Диагностический алгоритм»</w:t>
      </w:r>
      <w:r>
        <w:t xml:space="preserve"> учитывает все проблемы развития, а также индивидуальную хронологию с тем, чтобы вывести общую оценку степени тяже</w:t>
      </w:r>
      <w:r>
        <w:t>сти расстройства у обследуемого и определить соответствие симптоматики формальным критериям диагноза аутизма по ADI-R.</w:t>
      </w:r>
    </w:p>
    <w:p w:rsidR="00BE2F70" w:rsidRDefault="00443B2D">
      <w:pPr>
        <w:spacing w:after="0" w:line="259" w:lineRule="auto"/>
        <w:ind w:left="0" w:right="54" w:firstLine="0"/>
        <w:jc w:val="right"/>
      </w:pPr>
      <w:r>
        <w:rPr>
          <w:i/>
        </w:rPr>
        <w:t xml:space="preserve">«Алгоритм поведения в настоящее </w:t>
      </w:r>
    </w:p>
    <w:p w:rsidR="00BE2F70" w:rsidRDefault="00443B2D">
      <w:pPr>
        <w:ind w:right="39" w:firstLine="0"/>
      </w:pPr>
      <w:r>
        <w:rPr>
          <w:i/>
        </w:rPr>
        <w:t>время»</w:t>
      </w:r>
      <w:r>
        <w:t xml:space="preserve"> можно использовать для прямого сравнения с алгоритмом плана диагностического обследования при аут</w:t>
      </w:r>
      <w:r>
        <w:t>изме ADOS, который ориентирован на исследование актуального поведения.</w:t>
      </w:r>
    </w:p>
    <w:p w:rsidR="00BE2F70" w:rsidRDefault="00443B2D">
      <w:pPr>
        <w:ind w:right="39"/>
      </w:pPr>
      <w:r>
        <w:t>Для детей младше 10 лет «Алгоритм поведения в настоящее время» включает практически те же пункты, что и «Диагностический алгоритм», то есть оценки по обоим алгоритмам можно рассматриват</w:t>
      </w:r>
      <w:r>
        <w:t>ь как имеющие одинаковое значение. Для детей в возрасте от 10 лет и взрослых ситуация несколько иная в отношении оценки областей социальных взаимоотношений и общения, так как многие пункты интервью из данных областей к указанной возрастной группе уже непри</w:t>
      </w:r>
      <w:r>
        <w:t>менимы. В связи с этим оценки «Алгоритма поведения в настоящее время» для данной возрастной группы в областях «социальные отношения» и «общение» гораздо ниже тех, что основаны на шифрах «Наиболее выраженные отклонения от нормы в 4–5 лет». Поэтому для более</w:t>
      </w:r>
      <w:r>
        <w:t xml:space="preserve"> точной установки оптимальных предельных значений «Алгоритма поведения в настоящее время» требуются дополнительные исследования, а оценки по этому алгоритму рекомендуется использовать только в описательных целях.</w:t>
      </w:r>
    </w:p>
    <w:p w:rsidR="00BE2F70" w:rsidRDefault="00443B2D">
      <w:pPr>
        <w:ind w:left="-15" w:right="39"/>
      </w:pPr>
      <w:r>
        <w:t xml:space="preserve">Использование </w:t>
      </w:r>
      <w:r>
        <w:rPr>
          <w:i/>
        </w:rPr>
        <w:t>«Диагностического алгоритма»</w:t>
      </w:r>
      <w:r>
        <w:t xml:space="preserve"> </w:t>
      </w:r>
      <w:r>
        <w:t>предполагает три варианта комбинации оценок для дифференцированной диагностики РАС:</w:t>
      </w:r>
    </w:p>
    <w:p w:rsidR="00BE2F70" w:rsidRDefault="00443B2D">
      <w:pPr>
        <w:numPr>
          <w:ilvl w:val="0"/>
          <w:numId w:val="3"/>
        </w:numPr>
        <w:ind w:right="39"/>
      </w:pPr>
      <w:r>
        <w:t>оценки по трем основным областям поведения (разделы А, В, С) ниже установленных предъявленных значений – отсутствие РАС;</w:t>
      </w:r>
    </w:p>
    <w:p w:rsidR="00BE2F70" w:rsidRDefault="00443B2D">
      <w:pPr>
        <w:numPr>
          <w:ilvl w:val="0"/>
          <w:numId w:val="3"/>
        </w:numPr>
        <w:ind w:right="39"/>
      </w:pPr>
      <w:r>
        <w:t>оценки по всем четырем областям (разделы A, B, C, D) превышают установленные предельные значения – высокая вероятность присутствия РАС, однако для постановки диагноза необходимо провести прямое наблюдение с применением ADOS;</w:t>
      </w:r>
    </w:p>
    <w:p w:rsidR="00BE2F70" w:rsidRDefault="00443B2D">
      <w:pPr>
        <w:numPr>
          <w:ilvl w:val="0"/>
          <w:numId w:val="3"/>
        </w:numPr>
        <w:ind w:right="39"/>
      </w:pPr>
      <w:r>
        <w:t>оценки различаются по областям (например, оценка по социальному взаимодействию может оказаться выше предельной, тогда как по остальным двум областям – ниже) – смешанные или согласованные результаты (показатели ADOS также указывают на вероятность РАС). Чтоб</w:t>
      </w:r>
      <w:r>
        <w:t xml:space="preserve">ы уточнить диагноз, требуется получить дополнительные сведения об уровне интеллекта испытуемого (посредством индивидуального психологического тестирования) или об адаптивном поведении (Шкала Вайнленд). </w:t>
      </w:r>
    </w:p>
    <w:p w:rsidR="00BE2F70" w:rsidRDefault="00443B2D">
      <w:pPr>
        <w:ind w:left="-15" w:right="39"/>
      </w:pPr>
      <w:r>
        <w:t>До сих пор нет единого мнения о том, как интерпретиро</w:t>
      </w:r>
      <w:r>
        <w:t>вать различия оценки по областям диагностики. Часть исследователей пришло к соглашению о правомерности диагноза аутизма, если оценки оказываются значительно выше предельных хотя бы по двум из трех областей, а в третьей – ниже предельной оценки не более чем</w:t>
      </w:r>
      <w:r>
        <w:t xml:space="preserve"> на один балл. Другие специалисты предлагают ограничить диагноз аутизма только теми случаями, в которых выявляется полное соответствие всем критериям.</w:t>
      </w:r>
    </w:p>
    <w:p w:rsidR="00BE2F70" w:rsidRDefault="00443B2D">
      <w:pPr>
        <w:ind w:left="-15" w:right="39"/>
      </w:pPr>
      <w:r>
        <w:t xml:space="preserve">Что касается достоверности результатов диагностики, то основной упор в оценке валидности интервью сделан </w:t>
      </w:r>
      <w:r>
        <w:t>на тот факт, до какой степени показатели ADI-R позволяют отличать РАС от других психических нарушений. В целом алгоритм показал высокую различительную способность, которая была оценена на выборке детей дошкольного возраста, направленных на обследование в с</w:t>
      </w:r>
      <w:r>
        <w:t>вязи с разными формами отставания в развитии. В группе из 25 детей, которым был поставлен клинический диагноз аутизма, все, кроме одного, соответствовали диагностическим критериям алгоритма ADI-R. Единственным исключением был ребенок, получивший 2 балла по</w:t>
      </w:r>
      <w:r>
        <w:t xml:space="preserve"> ограниченным повторяющимся формам поведения, то есть на 1 балл ниже порогового значения. В группе из 25 детей с другими нарушениями психического и речевого развития только двое проявили признаки аутизма в соответствии с диагностическим алгоритмом ADI-R. </w:t>
      </w:r>
    </w:p>
    <w:p w:rsidR="00BE2F70" w:rsidRDefault="00443B2D">
      <w:pPr>
        <w:spacing w:after="213"/>
        <w:ind w:left="-15" w:right="39"/>
      </w:pPr>
      <w:r>
        <w:t>Несмотря на то, что интервью применимо к детям любой возрастной категории, если их умственное развитие соответствует двум годам и выше, нужно учесть, что при оценке валидности ADI-R основная часть данных была получена на выборках обследуемых, фактический в</w:t>
      </w:r>
      <w:r>
        <w:t>озраст которых превышал три года. Поэтому для возрастной группы детей от 2 до 3 лет желательна дальнейшая проверка валидности инструмента.</w:t>
      </w:r>
    </w:p>
    <w:p w:rsidR="00BE2F70" w:rsidRDefault="00443B2D">
      <w:pPr>
        <w:spacing w:after="40" w:line="231" w:lineRule="auto"/>
        <w:ind w:left="335" w:right="0" w:hanging="10"/>
        <w:jc w:val="left"/>
      </w:pPr>
      <w:r>
        <w:rPr>
          <w:rFonts w:ascii="Century Gothic" w:eastAsia="Century Gothic" w:hAnsi="Century Gothic" w:cs="Century Gothic"/>
        </w:rPr>
        <w:t>PEP-R – Психологообразовательный профиль (РеР-3, 2008)</w:t>
      </w:r>
    </w:p>
    <w:p w:rsidR="00BE2F70" w:rsidRDefault="00443B2D">
      <w:pPr>
        <w:ind w:left="-15" w:right="284"/>
      </w:pPr>
      <w:r>
        <w:t>Данная методика создавалась и предназначалась для оценки особе</w:t>
      </w:r>
      <w:r>
        <w:t>нностей развития детей с аутистическими расстройствами. Психологообразовательный профиль основывается на развивающем подходе к оценке знаний и умений детей с аутизмом или относящихся к нему нарушений развития. Результаты, полученные при проведении РЕР испо</w:t>
      </w:r>
      <w:r>
        <w:t>льзуются для составления Индивидуального образовательного плана для таких детей.</w:t>
      </w:r>
    </w:p>
    <w:p w:rsidR="00BE2F70" w:rsidRDefault="00443B2D">
      <w:pPr>
        <w:ind w:left="-15" w:right="285"/>
      </w:pPr>
      <w:r>
        <w:t>PEP-тест предложен американскими учеными И. Шоплером и Р. Рейчлером в качестве методики индивидуального обследования в рамках программы Division TEACCH по обучению и лечению д</w:t>
      </w:r>
      <w:r>
        <w:t xml:space="preserve">етей с аутизмом и другими нарушениями коммуникации [8]. </w:t>
      </w:r>
    </w:p>
    <w:p w:rsidR="00BE2F70" w:rsidRDefault="00443B2D">
      <w:pPr>
        <w:ind w:left="-15" w:right="284"/>
      </w:pPr>
      <w:r>
        <w:t>Использование теста более оправдано при тестировании детей, хронологический возраст которых – от 6 месяцев до 7 лет, или если психологический или функциональный возраст ребенка – до 7 лет. В возрасте</w:t>
      </w:r>
      <w:r>
        <w:t xml:space="preserve"> от 7 до 12 лет РЕР также применим, но нужно учитывать, что некоторые навыки ребенка могут быть развиты лучше, чем это предусмотрено шкалами для их оценки. Для подростков старше 12 лет и взрослых рекомендуется использовать психолого-образовательный профиль</w:t>
      </w:r>
      <w:r>
        <w:t xml:space="preserve"> для подростков и взрослых AAPEP.</w:t>
      </w:r>
    </w:p>
    <w:p w:rsidR="00BE2F70" w:rsidRDefault="00443B2D">
      <w:pPr>
        <w:ind w:left="-15" w:right="286"/>
      </w:pPr>
      <w:r>
        <w:t xml:space="preserve">В психолого-педагогическом профиле PEP предусмотрена как количественная оценка (в баллах), так и качественная оценка различных областей психической деятельности ребенка с аутизмом. </w:t>
      </w:r>
    </w:p>
    <w:p w:rsidR="00BE2F70" w:rsidRDefault="00443B2D">
      <w:pPr>
        <w:ind w:right="39"/>
      </w:pPr>
      <w:r>
        <w:t>Аутизм включает в себя как нарушения раз</w:t>
      </w:r>
      <w:r>
        <w:t xml:space="preserve">вития, так и атипичное поведение; преимущество РЕР-теста состоит в том, что он позволяет оценить оба этих аспекта. Тест представлен двумя шкалами: </w:t>
      </w:r>
      <w:r>
        <w:rPr>
          <w:i/>
        </w:rPr>
        <w:t>Шкалой развития</w:t>
      </w:r>
      <w:r>
        <w:t>, позволяющей оценить степень сформированности психических функций ребенка согласно его хронол</w:t>
      </w:r>
      <w:r>
        <w:t xml:space="preserve">огическому возрасту, и </w:t>
      </w:r>
      <w:r>
        <w:rPr>
          <w:i/>
        </w:rPr>
        <w:t>Шкалой поведения,</w:t>
      </w:r>
      <w:r>
        <w:t xml:space="preserve"> позволяющей диагностировать наличие аутизма у ребенка и оценить глубину его поведенческих трудностей. Задания по этой шкале разработаны на базе Рейтинговой шкалы детского аутизма CARS. Кроме того, РЕР включает ряд з</w:t>
      </w:r>
      <w:r>
        <w:t>аданий, оценивающих развитие ребенка в очень раннем возрасте.</w:t>
      </w:r>
    </w:p>
    <w:p w:rsidR="00BE2F70" w:rsidRDefault="00443B2D">
      <w:pPr>
        <w:spacing w:after="268"/>
        <w:ind w:right="39"/>
      </w:pPr>
      <w:r>
        <w:t>Текущий статус ребенка оценивается по 7 областям развития и 4 областям поведения, которые в свою очередь включают 131 и 42 задания соответственно. Шкалы РЕР-теста представлены в таблице 2. Итого</w:t>
      </w:r>
      <w:r>
        <w:t xml:space="preserve">вый профиль иллюстрирует сильные и </w:t>
      </w:r>
    </w:p>
    <w:p w:rsidR="00BE2F70" w:rsidRDefault="00443B2D">
      <w:pPr>
        <w:spacing w:after="127" w:line="246" w:lineRule="auto"/>
        <w:ind w:left="293" w:right="2243" w:hanging="10"/>
        <w:jc w:val="left"/>
      </w:pPr>
      <w:r>
        <w:rPr>
          <w:rFonts w:ascii="Century Gothic" w:eastAsia="Century Gothic" w:hAnsi="Century Gothic" w:cs="Century Gothic"/>
          <w:sz w:val="17"/>
        </w:rPr>
        <w:t xml:space="preserve">таблица 2 </w:t>
      </w:r>
      <w:r>
        <w:rPr>
          <w:rFonts w:ascii="Century Gothic" w:eastAsia="Century Gothic" w:hAnsi="Century Gothic" w:cs="Century Gothic"/>
          <w:b/>
          <w:sz w:val="18"/>
        </w:rPr>
        <w:t>Шкалы РЕР-теста</w:t>
      </w:r>
    </w:p>
    <w:p w:rsidR="00BE2F70" w:rsidRDefault="00443B2D">
      <w:pPr>
        <w:ind w:left="-15" w:right="39" w:firstLine="0"/>
      </w:pPr>
      <w:r>
        <w:t>слабые стороны ребенка в различных областях развития и поведения.</w:t>
      </w:r>
    </w:p>
    <w:p w:rsidR="00BE2F70" w:rsidRDefault="00443B2D">
      <w:pPr>
        <w:ind w:left="-15" w:right="39"/>
      </w:pPr>
      <w:r>
        <w:t>Стимульный материал для проведения РЕР представляет собой набор игрушек и обучающих материалов, которые предлагаются ребенку в в</w:t>
      </w:r>
      <w:r>
        <w:t>иде структурированной игровой деятельности. Тестовые задания сгруппированы от более простого к сложному, и они должны быть проведены именно в таком порядке, тем не менее у исследователя есть определенная свобода действий в рамках проведения конкретных зада</w:t>
      </w:r>
      <w:r>
        <w:t xml:space="preserve">ний. </w:t>
      </w:r>
    </w:p>
    <w:p w:rsidR="00BE2F70" w:rsidRDefault="00443B2D">
      <w:pPr>
        <w:ind w:left="-15" w:right="39"/>
      </w:pPr>
      <w:r>
        <w:t xml:space="preserve">Поскольку большинство детей с аутизмом имеет речевые трудности, РЕР разработан таким образом, что для понимания инструкций и указаний необходимо минимальное понимание речи, и в большинстве случаев ребенок может дать невербальный ответ. </w:t>
      </w:r>
    </w:p>
    <w:tbl>
      <w:tblPr>
        <w:tblStyle w:val="TableGrid"/>
        <w:tblpPr w:vertAnchor="text" w:horzAnchor="margin" w:tblpY="5577"/>
        <w:tblOverlap w:val="never"/>
        <w:tblW w:w="8308" w:type="dxa"/>
        <w:tblInd w:w="0" w:type="dxa"/>
        <w:tblCellMar>
          <w:top w:w="0" w:type="dxa"/>
          <w:left w:w="28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39"/>
      </w:tblGrid>
      <w:tr w:rsidR="00BE2F70">
        <w:trPr>
          <w:trHeight w:val="947"/>
        </w:trPr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TableGrid"/>
              <w:tblW w:w="8019" w:type="dxa"/>
              <w:tblInd w:w="5" w:type="dxa"/>
              <w:tblCellMar>
                <w:top w:w="36" w:type="dxa"/>
                <w:left w:w="57" w:type="dxa"/>
                <w:bottom w:w="0" w:type="dxa"/>
                <w:right w:w="88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953"/>
              <w:gridCol w:w="4025"/>
              <w:gridCol w:w="1587"/>
            </w:tblGrid>
            <w:tr w:rsidR="00BE2F70">
              <w:trPr>
                <w:trHeight w:val="318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8E8E8"/>
                </w:tcPr>
                <w:p w:rsidR="00BE2F70" w:rsidRDefault="00443B2D">
                  <w:pPr>
                    <w:framePr w:wrap="around" w:vAnchor="text" w:hAnchor="margin" w:y="5577"/>
                    <w:spacing w:after="0" w:line="259" w:lineRule="auto"/>
                    <w:ind w:left="71" w:right="0" w:firstLine="0"/>
                    <w:suppressOverlap/>
                    <w:jc w:val="left"/>
                  </w:pPr>
                  <w:r>
                    <w:rPr>
                      <w:b/>
                      <w:sz w:val="19"/>
                    </w:rPr>
                    <w:t xml:space="preserve">№ 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8E8E8"/>
                </w:tcPr>
                <w:p w:rsidR="00BE2F70" w:rsidRDefault="00443B2D">
                  <w:pPr>
                    <w:framePr w:wrap="around" w:vAnchor="text" w:hAnchor="margin" w:y="5577"/>
                    <w:spacing w:after="0" w:line="259" w:lineRule="auto"/>
                    <w:ind w:left="31" w:right="0" w:firstLine="0"/>
                    <w:suppressOverlap/>
                    <w:jc w:val="center"/>
                  </w:pPr>
                  <w:r>
                    <w:rPr>
                      <w:b/>
                      <w:sz w:val="19"/>
                    </w:rPr>
                    <w:t>Шкалы PEP</w:t>
                  </w:r>
                </w:p>
              </w:tc>
              <w:tc>
                <w:tcPr>
                  <w:tcW w:w="4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8E8E8"/>
                </w:tcPr>
                <w:p w:rsidR="00BE2F70" w:rsidRDefault="00443B2D">
                  <w:pPr>
                    <w:framePr w:wrap="around" w:vAnchor="text" w:hAnchor="margin" w:y="5577"/>
                    <w:spacing w:after="0" w:line="259" w:lineRule="auto"/>
                    <w:ind w:left="31" w:right="0" w:firstLine="0"/>
                    <w:suppressOverlap/>
                    <w:jc w:val="center"/>
                  </w:pPr>
                  <w:r>
                    <w:rPr>
                      <w:b/>
                      <w:sz w:val="19"/>
                    </w:rPr>
                    <w:t>Области развития / поведения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8E8E8"/>
                </w:tcPr>
                <w:p w:rsidR="00BE2F70" w:rsidRDefault="00443B2D">
                  <w:pPr>
                    <w:framePr w:wrap="around" w:vAnchor="text" w:hAnchor="margin" w:y="5577"/>
                    <w:spacing w:after="0" w:line="259" w:lineRule="auto"/>
                    <w:ind w:left="31" w:right="0" w:firstLine="0"/>
                    <w:suppressOverlap/>
                    <w:jc w:val="center"/>
                  </w:pPr>
                  <w:r>
                    <w:rPr>
                      <w:b/>
                      <w:sz w:val="19"/>
                    </w:rPr>
                    <w:t>Оценка</w:t>
                  </w:r>
                </w:p>
              </w:tc>
            </w:tr>
            <w:tr w:rsidR="00BE2F70">
              <w:trPr>
                <w:trHeight w:val="1572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5577"/>
                    <w:spacing w:after="0" w:line="259" w:lineRule="auto"/>
                    <w:ind w:left="31" w:right="0" w:firstLine="0"/>
                    <w:suppressOverlap/>
                    <w:jc w:val="center"/>
                  </w:pPr>
                  <w:r>
                    <w:rPr>
                      <w:sz w:val="19"/>
                    </w:rPr>
                    <w:t>1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5577"/>
                    <w:spacing w:after="0" w:line="259" w:lineRule="auto"/>
                    <w:ind w:left="0"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Шкала развития (131 задание)</w:t>
                  </w:r>
                </w:p>
              </w:tc>
              <w:tc>
                <w:tcPr>
                  <w:tcW w:w="4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6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Подражание;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6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восприятие;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6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тонкая моторика;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6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общая моторика;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6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зрительно-моторная координация;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6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невербальное мышление;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6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экспрессивная речь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7"/>
                    </w:numPr>
                    <w:spacing w:after="0" w:line="259" w:lineRule="auto"/>
                    <w:ind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Выполнено.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7"/>
                    </w:numPr>
                    <w:spacing w:after="0" w:line="259" w:lineRule="auto"/>
                    <w:ind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Не выполнено.3/ Навык находится в развитии*</w:t>
                  </w:r>
                </w:p>
              </w:tc>
            </w:tr>
            <w:tr w:rsidR="00BE2F70">
              <w:trPr>
                <w:trHeight w:val="945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5577"/>
                    <w:spacing w:after="0" w:line="259" w:lineRule="auto"/>
                    <w:ind w:left="31" w:right="0" w:firstLine="0"/>
                    <w:suppressOverlap/>
                    <w:jc w:val="center"/>
                  </w:pPr>
                  <w:r>
                    <w:rPr>
                      <w:sz w:val="19"/>
                    </w:rPr>
                    <w:t>2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5577"/>
                    <w:spacing w:after="0" w:line="259" w:lineRule="auto"/>
                    <w:ind w:left="0"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Шкала поведения (42 задания)</w:t>
                  </w:r>
                </w:p>
              </w:tc>
              <w:tc>
                <w:tcPr>
                  <w:tcW w:w="4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8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Аффект (взаимодействие и интерес к человеку);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8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игра и интерес к стимульным материалам;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8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сенсорная чувствительность;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8"/>
                    </w:numPr>
                    <w:spacing w:after="0" w:line="259" w:lineRule="auto"/>
                    <w:ind w:right="0" w:hanging="170"/>
                    <w:suppressOverlap/>
                    <w:jc w:val="left"/>
                  </w:pPr>
                  <w:r>
                    <w:rPr>
                      <w:sz w:val="19"/>
                    </w:rPr>
                    <w:t>речь</w:t>
                  </w:r>
                </w:p>
              </w:tc>
              <w:tc>
                <w:tcPr>
                  <w:tcW w:w="15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9"/>
                    </w:numPr>
                    <w:spacing w:after="0" w:line="259" w:lineRule="auto"/>
                    <w:ind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Адекватное**.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9"/>
                    </w:numPr>
                    <w:spacing w:after="0" w:line="228" w:lineRule="auto"/>
                    <w:ind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Не совсем адекватное.</w:t>
                  </w:r>
                </w:p>
                <w:p w:rsidR="00BE2F70" w:rsidRDefault="00443B2D">
                  <w:pPr>
                    <w:framePr w:wrap="around" w:vAnchor="text" w:hAnchor="margin" w:y="5577"/>
                    <w:numPr>
                      <w:ilvl w:val="0"/>
                      <w:numId w:val="9"/>
                    </w:numPr>
                    <w:spacing w:after="0" w:line="259" w:lineRule="auto"/>
                    <w:ind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Неадекватное</w:t>
                  </w:r>
                </w:p>
              </w:tc>
            </w:tr>
          </w:tbl>
          <w:p w:rsidR="00BE2F70" w:rsidRDefault="00443B2D">
            <w:pPr>
              <w:spacing w:after="57" w:line="228" w:lineRule="auto"/>
              <w:ind w:left="0" w:right="0" w:firstLine="0"/>
              <w:jc w:val="left"/>
            </w:pPr>
            <w:r>
              <w:rPr>
                <w:sz w:val="19"/>
              </w:rPr>
              <w:t>* «Навык в развитии» означает, что ребенок может в общих чертах понять, о чем это задание, или частично выполнить его, но знаний недостаточно для полного понимания или выполнения задания.</w:t>
            </w:r>
          </w:p>
          <w:p w:rsidR="00BE2F70" w:rsidRDefault="00443B2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9"/>
              </w:rPr>
              <w:t>** Необходимо учитывать, что оценка шкалы поведения должна согласовываться с адекватным поведением соответствующей возрастной группы.</w:t>
            </w:r>
          </w:p>
        </w:tc>
      </w:tr>
    </w:tbl>
    <w:p w:rsidR="00BE2F70" w:rsidRDefault="00443B2D">
      <w:pPr>
        <w:ind w:left="-15" w:right="39"/>
      </w:pPr>
      <w:r>
        <w:t>Во время тестирования используется особая иерархия предъявления заданий при инструктировании испытуемого, причем каждый п</w:t>
      </w:r>
      <w:r>
        <w:t>оследующий вариант инструкции дается в том случае, если ребенок не смог справиться с предыдущим:</w:t>
      </w:r>
    </w:p>
    <w:p w:rsidR="00BE2F70" w:rsidRDefault="00443B2D">
      <w:pPr>
        <w:numPr>
          <w:ilvl w:val="0"/>
          <w:numId w:val="4"/>
        </w:numPr>
        <w:ind w:right="39"/>
      </w:pPr>
      <w:r>
        <w:t>ребенку дается вербальная (устная) инструкция;</w:t>
      </w:r>
    </w:p>
    <w:p w:rsidR="00BE2F70" w:rsidRDefault="00443B2D">
      <w:pPr>
        <w:numPr>
          <w:ilvl w:val="0"/>
          <w:numId w:val="4"/>
        </w:numPr>
        <w:spacing w:after="0" w:line="259" w:lineRule="auto"/>
        <w:ind w:right="39"/>
      </w:pPr>
      <w:r>
        <w:t xml:space="preserve">ребенку дается невербальная </w:t>
      </w:r>
    </w:p>
    <w:p w:rsidR="00BE2F70" w:rsidRDefault="00443B2D">
      <w:pPr>
        <w:ind w:left="-15" w:right="39" w:firstLine="0"/>
      </w:pPr>
      <w:r>
        <w:t xml:space="preserve">(жестовая) инструкция; </w:t>
      </w:r>
    </w:p>
    <w:p w:rsidR="00BE2F70" w:rsidRDefault="00443B2D">
      <w:pPr>
        <w:numPr>
          <w:ilvl w:val="0"/>
          <w:numId w:val="4"/>
        </w:numPr>
        <w:ind w:right="39"/>
      </w:pPr>
      <w:r>
        <w:t>ребенку демонстрируется выполнение задания;</w:t>
      </w:r>
    </w:p>
    <w:p w:rsidR="00BE2F70" w:rsidRDefault="00443B2D">
      <w:pPr>
        <w:ind w:left="-15" w:right="39"/>
      </w:pPr>
      <w:r>
        <w:t>3) берется рука</w:t>
      </w:r>
      <w:r>
        <w:t xml:space="preserve"> ребенка и задание выполняется его рукой.</w:t>
      </w:r>
    </w:p>
    <w:p w:rsidR="00BE2F70" w:rsidRDefault="00443B2D">
      <w:pPr>
        <w:ind w:left="-15" w:right="39"/>
      </w:pPr>
      <w:r>
        <w:t>Не все задания РЕР могут быть проведены с каждым ребенком, – задания, заведомо не соответствующие его возрасту или уровню развития, могут быть пропущены. Исследователь проводит тестирование, наблюдает и фиксирует о</w:t>
      </w:r>
      <w:r>
        <w:t>тветы ребенка в течение тестовой сессии. Результаты всех заданий, кроме заданий по Шкале поведения, фиксируются во время проведения теста. Задания по Шкале поведения не проводятся как обычные задания: они являются результатом наблюдений и записей исследова</w:t>
      </w:r>
      <w:r>
        <w:t>теля во время тестирования, которые оцениваются после проведения теста.</w:t>
      </w:r>
    </w:p>
    <w:p w:rsidR="00BE2F70" w:rsidRDefault="00443B2D">
      <w:pPr>
        <w:ind w:left="-15" w:right="39"/>
      </w:pPr>
      <w:r>
        <w:t xml:space="preserve">Для подведения общего итога тестирования исследователь должен суммировать все результаты. На основании этой количественной оценки составляется </w:t>
      </w:r>
      <w:r>
        <w:rPr>
          <w:i/>
        </w:rPr>
        <w:t>Тестовый профиль</w:t>
      </w:r>
      <w:r>
        <w:t>, который дает картину во</w:t>
      </w:r>
      <w:r>
        <w:t xml:space="preserve">зрастного уровня развития ребенка и его перспектив в плане обучения. Хотя в Тестовом профиле даны возрастные нормативы, это лишь приблизительные оценки, выведенные из стандартных данных. Кроме того, по итогам тестирования можно построить </w:t>
      </w:r>
      <w:r>
        <w:rPr>
          <w:i/>
        </w:rPr>
        <w:t>Функциональный оце</w:t>
      </w:r>
      <w:r>
        <w:rPr>
          <w:i/>
        </w:rPr>
        <w:t>ночный профиль</w:t>
      </w:r>
      <w:r>
        <w:t>. Он не соотносится с возрастным уровнем, но разница между полностью выполненными заданиями и находящимися в развитии служит индикатором потенциального развития и указывает, на что конкретно необходимо опираться при составлении индивидуальной</w:t>
      </w:r>
      <w:r>
        <w:t xml:space="preserve"> программы обучения ребенка.</w:t>
      </w:r>
    </w:p>
    <w:p w:rsidR="00BE2F70" w:rsidRDefault="00443B2D">
      <w:pPr>
        <w:ind w:left="-15" w:right="285"/>
      </w:pPr>
      <w:r>
        <w:t>Характеристика, данная по результатам тестирования, должна включать Тестовый профиль ребенка, его интерпретацию в письменной форме и рекомендации по составлению индивидуальной программы обучения.</w:t>
      </w:r>
    </w:p>
    <w:p w:rsidR="00BE2F70" w:rsidRDefault="00443B2D">
      <w:pPr>
        <w:ind w:left="-15" w:right="283"/>
      </w:pPr>
      <w:r>
        <w:t>РЕР может проводить, обрабатывать и интерпретировать результаты человек, имеющий минимальный опыт и навыки фиксирования результатов в соответствии с требованиями руководства. Тем не менее рекомендуется, чтобы исследователь провел, как минимум, 5 тестирован</w:t>
      </w:r>
      <w:r>
        <w:t>ий РЕР под руководством супервизора, прежде чем заниматься этим самостоятельно.</w:t>
      </w:r>
    </w:p>
    <w:p w:rsidR="00BE2F70" w:rsidRDefault="00443B2D">
      <w:pPr>
        <w:spacing w:after="253"/>
        <w:ind w:left="-15" w:right="284"/>
      </w:pPr>
      <w:r>
        <w:t>Тест РЕР дает возможность получить наглядные результаты, касающиеся многих направлений развития ребенка с РАС, и при необходимости оценить зону его ближайшего развития в этих н</w:t>
      </w:r>
      <w:r>
        <w:t>аправлениях для построения коррекционной программы. Повторное тестирование может дать информацию о динамике развития ребенка в тех сферах, на которые нацелен данный тест.</w:t>
      </w:r>
    </w:p>
    <w:p w:rsidR="00BE2F70" w:rsidRDefault="00443B2D">
      <w:pPr>
        <w:ind w:left="-15" w:right="283"/>
      </w:pPr>
      <w:r>
        <w:t>Подводя итоги краткому рассмотрению наиболее распространенных в настоящее время и инф</w:t>
      </w:r>
      <w:r>
        <w:t>ормативных зарубежных методик диагностики аутизма и РАС, отметим, что все они учитывают специфику аутистического расстройства, и дают исследователю валидные и достаточно достоверные данные о ребенке, помогающие в оценке его перспектив и построении коррекци</w:t>
      </w:r>
      <w:r>
        <w:t>онных программ. Однако существенным ограничением почти всех представленных методик является их очевидная ориентация на поведенческий подход к оценке возможностей детей и коррекционной работе при РАС. Данные, чаще всего рассматриваются с точки зрения уже су</w:t>
      </w:r>
      <w:r>
        <w:t>ществующих у ребенка «алгоритмов поведения» и необходимости выработки новых, либо с позиций сформированности определенных функциональных навыков.</w:t>
      </w:r>
    </w:p>
    <w:p w:rsidR="00BE2F70" w:rsidRDefault="00443B2D">
      <w:pPr>
        <w:ind w:right="39"/>
      </w:pPr>
      <w:r>
        <w:t>В большой степени эти ограничения преодолевает тест РЕР-3, который позволяет получить представление о когнитив</w:t>
      </w:r>
      <w:r>
        <w:t>ном и, частично, эмоциональном развитии ребенка, поэтому он представляется наиболее информативным с позиций психологии развития и, в целом, развивающих подходов к диагностике и коррекции РАС.</w:t>
      </w:r>
    </w:p>
    <w:p w:rsidR="00BE2F70" w:rsidRDefault="00443B2D">
      <w:pPr>
        <w:ind w:right="39"/>
      </w:pPr>
      <w:r>
        <w:t>В таблице 3 мы приводим краткое сравнение описанных диагностичес</w:t>
      </w:r>
      <w:r>
        <w:t>ких методик, указывая некоторые «плюсы» и «минусы» их использования.</w:t>
      </w:r>
    </w:p>
    <w:p w:rsidR="00BE2F70" w:rsidRDefault="00443B2D">
      <w:pPr>
        <w:spacing w:after="186"/>
        <w:ind w:right="39"/>
      </w:pPr>
      <w:r>
        <w:t>Вновь отметим, что все методы, используемые для диагностики аутизма и РАС, в том числе и скрининговые тесты, в основном базируются на трех основных сферах жизнедеятельности: социальное вз</w:t>
      </w:r>
      <w:r>
        <w:t xml:space="preserve">аимодействие, общение и ограниченные интересы, стереотипные формы поведения. Эти области психолого-педагогического обследования, соответствующие традиционным </w:t>
      </w:r>
    </w:p>
    <w:p w:rsidR="00BE2F70" w:rsidRDefault="00443B2D">
      <w:pPr>
        <w:spacing w:after="0" w:line="259" w:lineRule="auto"/>
        <w:ind w:right="0" w:firstLine="0"/>
        <w:jc w:val="left"/>
      </w:pPr>
      <w:r>
        <w:rPr>
          <w:rFonts w:ascii="Century Gothic" w:eastAsia="Century Gothic" w:hAnsi="Century Gothic" w:cs="Century Gothic"/>
          <w:sz w:val="17"/>
        </w:rPr>
        <w:t>таблица 3</w:t>
      </w:r>
    </w:p>
    <w:p w:rsidR="00BE2F70" w:rsidRDefault="00443B2D">
      <w:pPr>
        <w:ind w:left="-15" w:right="39" w:firstLine="0"/>
      </w:pPr>
      <w:r>
        <w:t>критериям аутизма, роднят перечисленные диагностические методики с клинической медицинс</w:t>
      </w:r>
      <w:r>
        <w:t>кой диагностикой, позволяя дополнить и уточнить ее данные.</w:t>
      </w:r>
    </w:p>
    <w:p w:rsidR="00BE2F70" w:rsidRDefault="00443B2D">
      <w:pPr>
        <w:ind w:left="-15" w:right="39"/>
      </w:pPr>
      <w:r>
        <w:t xml:space="preserve">Тестовые исследования, упомянутые в нашем обзоре, также дают возможность получить представление об уровне адаптивного поведения детей и их когнитивных особенностях. Тем не менее, на наш взгляд, ни </w:t>
      </w:r>
      <w:r>
        <w:t>в одну из диагностических методик не включены должным образом критерии оценки эмоциональной сферы детей с РАС. При этом очевидно, что эмоциональное развитие ребенка во многом определяет возможности его социализации и адаптации в жизни. Без оценки эмоционал</w:t>
      </w:r>
      <w:r>
        <w:t>ьной сферы представление о дальнейшем развитии ребенка с РАС, в первую очередь – социальном, не представляется полным и обоснованным.</w:t>
      </w:r>
    </w:p>
    <w:tbl>
      <w:tblPr>
        <w:tblStyle w:val="TableGrid"/>
        <w:tblpPr w:vertAnchor="text" w:horzAnchor="margin" w:tblpY="1813"/>
        <w:tblOverlap w:val="never"/>
        <w:tblW w:w="8282" w:type="dxa"/>
        <w:tblInd w:w="0" w:type="dxa"/>
        <w:tblCellMar>
          <w:top w:w="0" w:type="dxa"/>
          <w:left w:w="28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779"/>
      </w:tblGrid>
      <w:tr w:rsidR="00BE2F70">
        <w:trPr>
          <w:trHeight w:val="175"/>
        </w:trPr>
        <w:tc>
          <w:tcPr>
            <w:tcW w:w="6779" w:type="dxa"/>
            <w:tcBorders>
              <w:top w:val="nil"/>
              <w:left w:val="nil"/>
              <w:bottom w:val="nil"/>
              <w:right w:val="nil"/>
            </w:tcBorders>
          </w:tcPr>
          <w:p w:rsidR="00BE2F70" w:rsidRDefault="00443B2D">
            <w:pPr>
              <w:spacing w:after="0" w:line="259" w:lineRule="auto"/>
              <w:ind w:left="0" w:right="0" w:firstLine="0"/>
            </w:pPr>
            <w:r>
              <w:rPr>
                <w:rFonts w:ascii="Century Gothic" w:eastAsia="Century Gothic" w:hAnsi="Century Gothic" w:cs="Century Gothic"/>
                <w:b/>
                <w:sz w:val="18"/>
              </w:rPr>
              <w:t>Сравнительная характеристика описанных диагностических методик</w:t>
            </w:r>
          </w:p>
          <w:tbl>
            <w:tblPr>
              <w:tblStyle w:val="TableGrid"/>
              <w:tblW w:w="7994" w:type="dxa"/>
              <w:tblInd w:w="5" w:type="dxa"/>
              <w:tblCellMar>
                <w:top w:w="36" w:type="dxa"/>
                <w:left w:w="57" w:type="dxa"/>
                <w:bottom w:w="0" w:type="dxa"/>
                <w:right w:w="38" w:type="dxa"/>
              </w:tblCellMar>
              <w:tblLook w:val="04A0" w:firstRow="1" w:lastRow="0" w:firstColumn="1" w:lastColumn="0" w:noHBand="0" w:noVBand="1"/>
            </w:tblPr>
            <w:tblGrid>
              <w:gridCol w:w="2948"/>
              <w:gridCol w:w="1247"/>
              <w:gridCol w:w="2551"/>
              <w:gridCol w:w="1247"/>
            </w:tblGrid>
            <w:tr w:rsidR="00BE2F70">
              <w:trPr>
                <w:trHeight w:val="527"/>
              </w:trPr>
              <w:tc>
                <w:tcPr>
                  <w:tcW w:w="2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8E8E8"/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center"/>
                  </w:pPr>
                  <w:r>
                    <w:rPr>
                      <w:b/>
                      <w:sz w:val="19"/>
                    </w:rPr>
                    <w:t>Критерии оценки диагностической методики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8E8E8"/>
                  <w:vAlign w:val="center"/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b/>
                      <w:sz w:val="19"/>
                    </w:rPr>
                    <w:t>VABS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8E8E8"/>
                  <w:vAlign w:val="center"/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b/>
                      <w:sz w:val="19"/>
                    </w:rPr>
                    <w:t>ADOS/ADI-R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8E8E8"/>
                  <w:vAlign w:val="center"/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b/>
                      <w:sz w:val="19"/>
                    </w:rPr>
                    <w:t>PEP–R</w:t>
                  </w:r>
                </w:p>
              </w:tc>
            </w:tr>
            <w:tr w:rsidR="00BE2F70">
              <w:trPr>
                <w:trHeight w:val="736"/>
              </w:trPr>
              <w:tc>
                <w:tcPr>
                  <w:tcW w:w="2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Всестороннее обследование: интервью, наблюдение, эксперимент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–</w:t>
                  </w:r>
                </w:p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center"/>
                  </w:pPr>
                  <w:r>
                    <w:rPr>
                      <w:sz w:val="19"/>
                    </w:rPr>
                    <w:t>(только интервью)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–</w:t>
                  </w:r>
                </w:p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center"/>
                  </w:pPr>
                  <w:r>
                    <w:rPr>
                      <w:sz w:val="19"/>
                    </w:rPr>
                    <w:t>(эксперимент, наблюдение)</w:t>
                  </w:r>
                </w:p>
              </w:tc>
            </w:tr>
            <w:tr w:rsidR="00BE2F70">
              <w:trPr>
                <w:trHeight w:val="527"/>
              </w:trPr>
              <w:tc>
                <w:tcPr>
                  <w:tcW w:w="2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Основные сферы жизни и соответствующие навыки ребенка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</w:tr>
            <w:tr w:rsidR="00BE2F70">
              <w:trPr>
                <w:trHeight w:val="527"/>
              </w:trPr>
              <w:tc>
                <w:tcPr>
                  <w:tcW w:w="2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Определение зоны ближайшего развития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-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</w:tr>
            <w:tr w:rsidR="00BE2F70">
              <w:trPr>
                <w:trHeight w:val="736"/>
              </w:trPr>
              <w:tc>
                <w:tcPr>
                  <w:tcW w:w="2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Целевые группы по исследованию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–</w:t>
                  </w:r>
                </w:p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center"/>
                  </w:pPr>
                  <w:r>
                    <w:rPr>
                      <w:sz w:val="19"/>
                    </w:rPr>
                    <w:t>(не используется для неговорящих подростков и взрослых)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</w:tr>
            <w:tr w:rsidR="00BE2F70">
              <w:trPr>
                <w:trHeight w:val="318"/>
              </w:trPr>
              <w:tc>
                <w:tcPr>
                  <w:tcW w:w="2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Блок по эмоциональному развитию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-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</w:tr>
            <w:tr w:rsidR="00BE2F70">
              <w:trPr>
                <w:trHeight w:val="736"/>
              </w:trPr>
              <w:tc>
                <w:tcPr>
                  <w:tcW w:w="2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left"/>
                  </w:pPr>
                  <w:r>
                    <w:rPr>
                      <w:sz w:val="19"/>
                    </w:rPr>
                    <w:t>Доступность методики для широкого применения (стоимость / кто может проводить)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8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7" w:firstLine="0"/>
                    <w:suppressOverlap/>
                    <w:jc w:val="center"/>
                  </w:pPr>
                  <w:r>
                    <w:rPr>
                      <w:sz w:val="19"/>
                    </w:rPr>
                    <w:t>–</w:t>
                  </w:r>
                </w:p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0" w:firstLine="0"/>
                    <w:suppressOverlap/>
                    <w:jc w:val="center"/>
                  </w:pPr>
                  <w:r>
                    <w:rPr>
                      <w:sz w:val="19"/>
                    </w:rPr>
                    <w:t>(высокая стоимость диагностических материалов)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E2F70" w:rsidRDefault="00443B2D">
                  <w:pPr>
                    <w:framePr w:wrap="around" w:vAnchor="text" w:hAnchor="margin" w:y="1813"/>
                    <w:spacing w:after="0" w:line="259" w:lineRule="auto"/>
                    <w:ind w:left="0" w:right="17" w:firstLine="0"/>
                    <w:suppressOverlap/>
                    <w:jc w:val="center"/>
                  </w:pPr>
                  <w:r>
                    <w:rPr>
                      <w:sz w:val="19"/>
                    </w:rPr>
                    <w:t>+</w:t>
                  </w:r>
                </w:p>
              </w:tc>
            </w:tr>
          </w:tbl>
          <w:p w:rsidR="00BE2F70" w:rsidRDefault="00BE2F7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BE2F70" w:rsidRDefault="00443B2D">
      <w:pPr>
        <w:ind w:left="-15" w:right="39"/>
      </w:pPr>
      <w:r>
        <w:t>Наша позиция базируется на положениях одного из развивающих подходов к коррекции аутизма – эмоционально-смысловом, в соответствии с которым аутизм рассматрива-</w:t>
      </w:r>
    </w:p>
    <w:p w:rsidR="00BE2F70" w:rsidRDefault="00443B2D">
      <w:pPr>
        <w:ind w:left="-15" w:right="39" w:firstLine="0"/>
      </w:pPr>
      <w:r>
        <w:t xml:space="preserve">ется как системное нарушение становления психики ребенка, захватывающее и </w:t>
      </w:r>
      <w:r>
        <w:rPr>
          <w:i/>
        </w:rPr>
        <w:t>аффективную,</w:t>
      </w:r>
      <w:r>
        <w:t xml:space="preserve"> и </w:t>
      </w:r>
      <w:r>
        <w:rPr>
          <w:i/>
        </w:rPr>
        <w:t>когнитивную сферы</w:t>
      </w:r>
      <w:r>
        <w:t xml:space="preserve">. Как в норме, так и при детском аутизме единство аффективного и когнитивного развития проявляется в том, что формирование психических функций идет в соответствии со смыслом усложняющихся адаптивных задач, которые решает растущий ребенок, </w:t>
      </w:r>
      <w:r>
        <w:t>выстраивая все более сложное и активное взаимодействие с окружением, запуская и направляя развитие затребованных жизнью способностей [3].</w:t>
      </w:r>
    </w:p>
    <w:p w:rsidR="00BE2F70" w:rsidRDefault="00443B2D">
      <w:pPr>
        <w:spacing w:after="213"/>
        <w:ind w:left="-15" w:right="39"/>
      </w:pPr>
      <w:r>
        <w:t>Таким образом, оценить особенности нарушения психического развития ребенка с РАС, и, соответственно, определить оптима</w:t>
      </w:r>
      <w:r>
        <w:t>льные пути психокоррекционной помощи с наибольшей точностью возможно, если в качестве одной из основных областей диагностики рассматривать аффективную сферу. Задача создания диагностических методов, включающих в себя оценку и аффективной, и когнитивной сфе</w:t>
      </w:r>
      <w:r>
        <w:t>р для наиболее полной оценки уровня и динамики развития детей с аутизмом, а также для определения наиболее эффективных методов психолого-педагогической коррекционной работы остается актуальной в настоящее время.</w:t>
      </w:r>
    </w:p>
    <w:p w:rsidR="00BE2F70" w:rsidRDefault="00443B2D">
      <w:pPr>
        <w:spacing w:after="40" w:line="231" w:lineRule="auto"/>
        <w:ind w:left="335" w:right="0" w:hanging="10"/>
        <w:jc w:val="left"/>
      </w:pPr>
      <w:r>
        <w:rPr>
          <w:rFonts w:ascii="Century Gothic" w:eastAsia="Century Gothic" w:hAnsi="Century Gothic" w:cs="Century Gothic"/>
        </w:rPr>
        <w:t>Литература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 xml:space="preserve">Лорд К., Раттер М., ДиЛаворе П., </w:t>
      </w:r>
      <w:r>
        <w:rPr>
          <w:i/>
          <w:sz w:val="19"/>
        </w:rPr>
        <w:t>Ризи С., Готэм К., Бишоп С., Лайстер Р., Гатри У.</w:t>
      </w:r>
      <w:r>
        <w:rPr>
          <w:sz w:val="19"/>
        </w:rPr>
        <w:t xml:space="preserve"> ADOS-2. План диагностического обследования при аутизме. Изд. 2-е: руководство / пер. на русский язык и адаптация А. Сорокина, Е. Давыдовой, К Салимовой при участии Е. Пшеничной: Western Psychological Servic</w:t>
      </w:r>
      <w:r>
        <w:rPr>
          <w:sz w:val="19"/>
        </w:rPr>
        <w:t>es; Giunti O.S., 2016.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sz w:val="19"/>
        </w:rPr>
        <w:t xml:space="preserve">Международная классификация болезней (10-й пересмотр). Классификация психических и поведенческих расстройств. </w:t>
      </w:r>
    </w:p>
    <w:p w:rsidR="00BE2F70" w:rsidRDefault="00443B2D">
      <w:pPr>
        <w:spacing w:line="284" w:lineRule="auto"/>
        <w:ind w:left="-15" w:right="272" w:firstLine="0"/>
      </w:pPr>
      <w:r>
        <w:rPr>
          <w:sz w:val="19"/>
        </w:rPr>
        <w:t>СПб., 1994.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>Никольская О.С.</w:t>
      </w:r>
      <w:r>
        <w:rPr>
          <w:sz w:val="19"/>
        </w:rPr>
        <w:t xml:space="preserve"> Изучение проблемы детского аутизма в России. // Альманах Института коррекционной педагогики РА</w:t>
      </w:r>
      <w:r>
        <w:rPr>
          <w:sz w:val="19"/>
        </w:rPr>
        <w:t>О (электронное издание). 2014. № 19.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>Раттер М., Лорд К., Куто Э.Л.</w:t>
      </w:r>
      <w:r>
        <w:rPr>
          <w:sz w:val="19"/>
        </w:rPr>
        <w:t xml:space="preserve"> ADI-R. Интервью для диагностики аутизма. Изд.: руководство / пер. на русский язык, и адаптация А. Сорокина, Д. Переверзевой, О. Донец, А. Моховикова: Western Psychological Services; Giunti </w:t>
      </w:r>
      <w:r>
        <w:rPr>
          <w:sz w:val="19"/>
        </w:rPr>
        <w:t>O.S., 2005.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>Сайфутдинова Л.Р.</w:t>
      </w:r>
      <w:r>
        <w:rPr>
          <w:sz w:val="19"/>
        </w:rPr>
        <w:t xml:space="preserve"> Использование Шкалы Вайнленд при диагностике больных аутизмом и синдромом Аспергера (по материалам зарубежной печати) // Аутизм и нарушения развития. 2003. № 2.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>Симашкова Н.В.</w:t>
      </w:r>
      <w:r>
        <w:rPr>
          <w:sz w:val="19"/>
        </w:rPr>
        <w:t xml:space="preserve"> Расстройства аутистического спектра у детей. Научн</w:t>
      </w:r>
      <w:r>
        <w:rPr>
          <w:sz w:val="19"/>
        </w:rPr>
        <w:t>опрактическое руководство / под ред. Н.В. Симашковой. М., 2013.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>Хаустов А.В., Руднева Е.В.</w:t>
      </w:r>
      <w:r>
        <w:rPr>
          <w:sz w:val="19"/>
        </w:rPr>
        <w:t xml:space="preserve"> Выявление уровня социализации у детей с расстройствами аутистического спектра (РАС) // Психологическая наука и образование. 2016. Т. 21. № 3. 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>Шоплер Э., Лансинг М.Д</w:t>
      </w:r>
      <w:r>
        <w:rPr>
          <w:i/>
          <w:sz w:val="19"/>
        </w:rPr>
        <w:t>., Райхлер Р. Дж., Маркус Л.М.</w:t>
      </w:r>
      <w:r>
        <w:rPr>
          <w:sz w:val="19"/>
        </w:rPr>
        <w:t xml:space="preserve"> Психолого-педагогический профиль (РЕР-3): Учебник пользователя, «Руководство по проведению тестирования» и др. / пер. с англ. М., 2008.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sz w:val="19"/>
        </w:rPr>
        <w:t xml:space="preserve">Diagnostic and Statistical Manual of Mental Disorders: DSM-5. Washington, D.C.: American </w:t>
      </w:r>
      <w:r>
        <w:rPr>
          <w:sz w:val="19"/>
        </w:rPr>
        <w:t>Psychiatric Association, 2013.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>Schopler E., Reichler R. J., Lansing M.</w:t>
      </w:r>
      <w:r>
        <w:rPr>
          <w:sz w:val="19"/>
        </w:rPr>
        <w:t xml:space="preserve"> Strategien der Entwicklungsforderung fur Eitern, Padagogen und The-rapeuten. Verlag Modernes Lernen, Dortmund, 1983.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>Schopler E., Reichler R., Bashford A., Lansing M., Marcus L.</w:t>
      </w:r>
      <w:r>
        <w:rPr>
          <w:sz w:val="19"/>
        </w:rPr>
        <w:t xml:space="preserve"> Psychoe</w:t>
      </w:r>
      <w:r>
        <w:rPr>
          <w:sz w:val="19"/>
        </w:rPr>
        <w:t>ducational Profile–Revised (PEP-R). Austin, TX: PROED, 1990.</w:t>
      </w:r>
    </w:p>
    <w:p w:rsidR="00BE2F70" w:rsidRDefault="00443B2D">
      <w:pPr>
        <w:numPr>
          <w:ilvl w:val="0"/>
          <w:numId w:val="5"/>
        </w:numPr>
        <w:spacing w:line="284" w:lineRule="auto"/>
        <w:ind w:right="272" w:firstLine="357"/>
      </w:pPr>
      <w:r>
        <w:rPr>
          <w:i/>
          <w:sz w:val="19"/>
        </w:rPr>
        <w:t>Schopler E., Mesibov G. В., Hearsey K.</w:t>
      </w:r>
      <w:r>
        <w:rPr>
          <w:sz w:val="19"/>
        </w:rPr>
        <w:t xml:space="preserve"> Structured teaching in the TEACCH system. In: Schopler, E., Mesibov, G. B. (Eds.): Learning and cognition in autism Current issues in autism. Plenum Press, </w:t>
      </w:r>
      <w:r>
        <w:rPr>
          <w:sz w:val="19"/>
        </w:rPr>
        <w:t>New York, 1995.</w:t>
      </w:r>
    </w:p>
    <w:sectPr w:rsidR="00BE2F70">
      <w:type w:val="continuous"/>
      <w:pgSz w:w="9524" w:h="14740"/>
      <w:pgMar w:top="1409" w:right="621" w:bottom="1323" w:left="624" w:header="720" w:footer="720" w:gutter="0"/>
      <w:cols w:num="2" w:space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43B2D">
      <w:pPr>
        <w:spacing w:after="0" w:line="240" w:lineRule="auto"/>
      </w:pPr>
      <w:r>
        <w:separator/>
      </w:r>
    </w:p>
  </w:endnote>
  <w:endnote w:type="continuationSeparator" w:id="0">
    <w:p w:rsidR="00000000" w:rsidRDefault="00443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F70" w:rsidRDefault="00443B2D">
    <w:pPr>
      <w:spacing w:after="0" w:line="259" w:lineRule="auto"/>
      <w:ind w:left="0" w:right="-506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601810</wp:posOffset>
              </wp:positionH>
              <wp:positionV relativeFrom="page">
                <wp:posOffset>8713074</wp:posOffset>
              </wp:positionV>
              <wp:extent cx="70104" cy="70104"/>
              <wp:effectExtent l="0" t="0" r="0" b="0"/>
              <wp:wrapSquare wrapText="bothSides"/>
              <wp:docPr id="14953" name="Group 149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04" cy="70104"/>
                        <a:chOff x="0" y="0"/>
                        <a:chExt cx="70104" cy="70104"/>
                      </a:xfrm>
                    </wpg:grpSpPr>
                    <wps:wsp>
                      <wps:cNvPr id="14954" name="Shape 14954"/>
                      <wps:cNvSpPr/>
                      <wps:spPr>
                        <a:xfrm>
                          <a:off x="0" y="0"/>
                          <a:ext cx="70104" cy="701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0104">
                              <a:moveTo>
                                <a:pt x="35052" y="70104"/>
                              </a:moveTo>
                              <a:cubicBezTo>
                                <a:pt x="54407" y="70104"/>
                                <a:pt x="70104" y="54407"/>
                                <a:pt x="70104" y="35052"/>
                              </a:cubicBezTo>
                              <a:cubicBezTo>
                                <a:pt x="70104" y="15697"/>
                                <a:pt x="54407" y="0"/>
                                <a:pt x="35052" y="0"/>
                              </a:cubicBezTo>
                              <a:cubicBezTo>
                                <a:pt x="15697" y="0"/>
                                <a:pt x="0" y="15697"/>
                                <a:pt x="0" y="35052"/>
                              </a:cubicBezTo>
                              <a:cubicBezTo>
                                <a:pt x="0" y="54407"/>
                                <a:pt x="15697" y="70104"/>
                                <a:pt x="35052" y="70104"/>
                              </a:cubicBez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55" name="Shape 14955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0"/>
                              </a:moveTo>
                              <a:cubicBezTo>
                                <a:pt x="10681" y="0"/>
                                <a:pt x="13767" y="3073"/>
                                <a:pt x="13767" y="6883"/>
                              </a:cubicBezTo>
                              <a:cubicBezTo>
                                <a:pt x="13767" y="10681"/>
                                <a:pt x="10681" y="13767"/>
                                <a:pt x="6883" y="13767"/>
                              </a:cubicBezTo>
                              <a:cubicBezTo>
                                <a:pt x="3086" y="13767"/>
                                <a:pt x="0" y="10681"/>
                                <a:pt x="0" y="6883"/>
                              </a:cubicBezTo>
                              <a:cubicBezTo>
                                <a:pt x="0" y="3073"/>
                                <a:pt x="3086" y="0"/>
                                <a:pt x="68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56" name="Shape 14956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13767"/>
                              </a:moveTo>
                              <a:cubicBezTo>
                                <a:pt x="10681" y="13767"/>
                                <a:pt x="13767" y="10681"/>
                                <a:pt x="13767" y="6883"/>
                              </a:cubicBezTo>
                              <a:cubicBezTo>
                                <a:pt x="13767" y="3073"/>
                                <a:pt x="10681" y="0"/>
                                <a:pt x="6883" y="0"/>
                              </a:cubicBezTo>
                              <a:cubicBezTo>
                                <a:pt x="3086" y="0"/>
                                <a:pt x="0" y="3073"/>
                                <a:pt x="0" y="6883"/>
                              </a:cubicBezTo>
                              <a:cubicBezTo>
                                <a:pt x="0" y="10681"/>
                                <a:pt x="3086" y="13767"/>
                                <a:pt x="6883" y="13767"/>
                              </a:cubicBezTo>
                              <a:close/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53" style="width:5.52pt;height:5.52002pt;position:absolute;mso-position-horizontal-relative:page;mso-position-horizontal:absolute;margin-left:47.3866pt;mso-position-vertical-relative:page;margin-top:686.069pt;" coordsize="701,701">
              <v:shape id="Shape 14954" style="position:absolute;width:701;height:701;left:0;top:0;" coordsize="70104,70104" path="m35052,70104c54407,70104,70104,54407,70104,35052c70104,15697,54407,0,35052,0c15697,0,0,15697,0,35052c0,54407,15697,70104,35052,70104x">
                <v:stroke weight="0.5pt" endcap="flat" joinstyle="miter" miterlimit="4" on="true" color="#000000"/>
                <v:fill on="false" color="#000000" opacity="0"/>
              </v:shape>
              <v:shape id="Shape 14955" style="position:absolute;width:137;height:137;left:281;top:281;" coordsize="13767,13767" path="m6883,0c10681,0,13767,3073,13767,6883c13767,10681,10681,13767,6883,13767c3086,13767,0,10681,0,6883c0,3073,3086,0,6883,0x">
                <v:stroke weight="0pt" endcap="flat" joinstyle="miter" miterlimit="4" on="false" color="#000000" opacity="0"/>
                <v:fill on="true" color="#000000"/>
              </v:shape>
              <v:shape id="Shape 14956" style="position:absolute;width:137;height:137;left:281;top:281;" coordsize="13767,13767" path="m6883,13767c10681,13767,13767,10681,13767,6883c13767,3073,10681,0,6883,0c3086,0,0,3073,0,6883c0,10681,3086,13767,6883,13767x">
                <v:stroke weight="1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14"/>
      </w:rPr>
      <w:t xml:space="preserve"> Любое распространение материалов журнала, в т.ч. архивных номеров, возможно только с письменного согласия редакции.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F70" w:rsidRDefault="00443B2D">
    <w:pPr>
      <w:spacing w:after="0" w:line="259" w:lineRule="auto"/>
      <w:ind w:left="-221" w:right="-245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435969</wp:posOffset>
              </wp:positionH>
              <wp:positionV relativeFrom="page">
                <wp:posOffset>8713074</wp:posOffset>
              </wp:positionV>
              <wp:extent cx="70104" cy="70104"/>
              <wp:effectExtent l="0" t="0" r="0" b="0"/>
              <wp:wrapSquare wrapText="bothSides"/>
              <wp:docPr id="14909" name="Group 149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04" cy="70104"/>
                        <a:chOff x="0" y="0"/>
                        <a:chExt cx="70104" cy="70104"/>
                      </a:xfrm>
                    </wpg:grpSpPr>
                    <wps:wsp>
                      <wps:cNvPr id="14910" name="Shape 14910"/>
                      <wps:cNvSpPr/>
                      <wps:spPr>
                        <a:xfrm>
                          <a:off x="0" y="0"/>
                          <a:ext cx="70104" cy="701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0104">
                              <a:moveTo>
                                <a:pt x="35052" y="70104"/>
                              </a:moveTo>
                              <a:cubicBezTo>
                                <a:pt x="54407" y="70104"/>
                                <a:pt x="70104" y="54407"/>
                                <a:pt x="70104" y="35052"/>
                              </a:cubicBezTo>
                              <a:cubicBezTo>
                                <a:pt x="70104" y="15697"/>
                                <a:pt x="54407" y="0"/>
                                <a:pt x="35052" y="0"/>
                              </a:cubicBezTo>
                              <a:cubicBezTo>
                                <a:pt x="15697" y="0"/>
                                <a:pt x="0" y="15697"/>
                                <a:pt x="0" y="35052"/>
                              </a:cubicBezTo>
                              <a:cubicBezTo>
                                <a:pt x="0" y="54407"/>
                                <a:pt x="15697" y="70104"/>
                                <a:pt x="35052" y="70104"/>
                              </a:cubicBez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11" name="Shape 14911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0"/>
                              </a:moveTo>
                              <a:cubicBezTo>
                                <a:pt x="10681" y="0"/>
                                <a:pt x="13767" y="3073"/>
                                <a:pt x="13767" y="6883"/>
                              </a:cubicBezTo>
                              <a:cubicBezTo>
                                <a:pt x="13767" y="10681"/>
                                <a:pt x="10681" y="13767"/>
                                <a:pt x="6883" y="13767"/>
                              </a:cubicBezTo>
                              <a:cubicBezTo>
                                <a:pt x="3086" y="13767"/>
                                <a:pt x="0" y="10681"/>
                                <a:pt x="0" y="6883"/>
                              </a:cubicBezTo>
                              <a:cubicBezTo>
                                <a:pt x="0" y="3073"/>
                                <a:pt x="3086" y="0"/>
                                <a:pt x="68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12" name="Shape 14912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13767"/>
                              </a:moveTo>
                              <a:cubicBezTo>
                                <a:pt x="10681" y="13767"/>
                                <a:pt x="13767" y="10681"/>
                                <a:pt x="13767" y="6883"/>
                              </a:cubicBezTo>
                              <a:cubicBezTo>
                                <a:pt x="13767" y="3073"/>
                                <a:pt x="10681" y="0"/>
                                <a:pt x="6883" y="0"/>
                              </a:cubicBezTo>
                              <a:cubicBezTo>
                                <a:pt x="3086" y="0"/>
                                <a:pt x="0" y="3073"/>
                                <a:pt x="0" y="6883"/>
                              </a:cubicBezTo>
                              <a:cubicBezTo>
                                <a:pt x="0" y="10681"/>
                                <a:pt x="3086" y="13767"/>
                                <a:pt x="6883" y="13767"/>
                              </a:cubicBezTo>
                              <a:close/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09" style="width:5.52pt;height:5.52002pt;position:absolute;mso-position-horizontal-relative:page;mso-position-horizontal:absolute;margin-left:34.3283pt;mso-position-vertical-relative:page;margin-top:686.069pt;" coordsize="701,701">
              <v:shape id="Shape 14910" style="position:absolute;width:701;height:701;left:0;top:0;" coordsize="70104,70104" path="m35052,70104c54407,70104,70104,54407,70104,35052c70104,15697,54407,0,35052,0c15697,0,0,15697,0,35052c0,54407,15697,70104,35052,70104x">
                <v:stroke weight="0.5pt" endcap="flat" joinstyle="miter" miterlimit="4" on="true" color="#000000"/>
                <v:fill on="false" color="#000000" opacity="0"/>
              </v:shape>
              <v:shape id="Shape 14911" style="position:absolute;width:137;height:137;left:281;top:281;" coordsize="13767,13767" path="m6883,0c10681,0,13767,3073,13767,6883c13767,10681,10681,13767,6883,13767c3086,13767,0,10681,0,6883c0,3073,3086,0,6883,0x">
                <v:stroke weight="0pt" endcap="flat" joinstyle="miter" miterlimit="4" on="false" color="#000000" opacity="0"/>
                <v:fill on="true" color="#000000"/>
              </v:shape>
              <v:shape id="Shape 14912" style="position:absolute;width:137;height:137;left:281;top:281;" coordsize="13767,13767" path="m6883,13767c10681,13767,13767,10681,13767,6883c13767,3073,10681,0,6883,0c3086,0,0,3073,0,6883c0,10681,3086,13767,6883,13767x">
                <v:stroke weight="1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14"/>
      </w:rPr>
      <w:t xml:space="preserve"> Любое распространение материалов журнала, в т.ч. архивных номеров, возможно только с письменного согласия редакции.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F70" w:rsidRDefault="00443B2D">
    <w:pPr>
      <w:spacing w:after="0" w:line="259" w:lineRule="auto"/>
      <w:ind w:left="0" w:right="-506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601810</wp:posOffset>
              </wp:positionH>
              <wp:positionV relativeFrom="page">
                <wp:posOffset>8713074</wp:posOffset>
              </wp:positionV>
              <wp:extent cx="70104" cy="70104"/>
              <wp:effectExtent l="0" t="0" r="0" b="0"/>
              <wp:wrapSquare wrapText="bothSides"/>
              <wp:docPr id="14871" name="Group 148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04" cy="70104"/>
                        <a:chOff x="0" y="0"/>
                        <a:chExt cx="70104" cy="70104"/>
                      </a:xfrm>
                    </wpg:grpSpPr>
                    <wps:wsp>
                      <wps:cNvPr id="14872" name="Shape 14872"/>
                      <wps:cNvSpPr/>
                      <wps:spPr>
                        <a:xfrm>
                          <a:off x="0" y="0"/>
                          <a:ext cx="70104" cy="701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0104">
                              <a:moveTo>
                                <a:pt x="35052" y="70104"/>
                              </a:moveTo>
                              <a:cubicBezTo>
                                <a:pt x="54407" y="70104"/>
                                <a:pt x="70104" y="54407"/>
                                <a:pt x="70104" y="35052"/>
                              </a:cubicBezTo>
                              <a:cubicBezTo>
                                <a:pt x="70104" y="15697"/>
                                <a:pt x="54407" y="0"/>
                                <a:pt x="35052" y="0"/>
                              </a:cubicBezTo>
                              <a:cubicBezTo>
                                <a:pt x="15697" y="0"/>
                                <a:pt x="0" y="15697"/>
                                <a:pt x="0" y="35052"/>
                              </a:cubicBezTo>
                              <a:cubicBezTo>
                                <a:pt x="0" y="54407"/>
                                <a:pt x="15697" y="70104"/>
                                <a:pt x="35052" y="70104"/>
                              </a:cubicBez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73" name="Shape 14873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0"/>
                              </a:moveTo>
                              <a:cubicBezTo>
                                <a:pt x="10681" y="0"/>
                                <a:pt x="13767" y="3073"/>
                                <a:pt x="13767" y="6883"/>
                              </a:cubicBezTo>
                              <a:cubicBezTo>
                                <a:pt x="13767" y="10681"/>
                                <a:pt x="10681" y="13767"/>
                                <a:pt x="6883" y="13767"/>
                              </a:cubicBezTo>
                              <a:cubicBezTo>
                                <a:pt x="3086" y="13767"/>
                                <a:pt x="0" y="10681"/>
                                <a:pt x="0" y="6883"/>
                              </a:cubicBezTo>
                              <a:cubicBezTo>
                                <a:pt x="0" y="3073"/>
                                <a:pt x="3086" y="0"/>
                                <a:pt x="68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74" name="Shape 14874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13767"/>
                              </a:moveTo>
                              <a:cubicBezTo>
                                <a:pt x="10681" y="13767"/>
                                <a:pt x="13767" y="10681"/>
                                <a:pt x="13767" y="6883"/>
                              </a:cubicBezTo>
                              <a:cubicBezTo>
                                <a:pt x="13767" y="3073"/>
                                <a:pt x="10681" y="0"/>
                                <a:pt x="6883" y="0"/>
                              </a:cubicBezTo>
                              <a:cubicBezTo>
                                <a:pt x="3086" y="0"/>
                                <a:pt x="0" y="3073"/>
                                <a:pt x="0" y="6883"/>
                              </a:cubicBezTo>
                              <a:cubicBezTo>
                                <a:pt x="0" y="10681"/>
                                <a:pt x="3086" y="13767"/>
                                <a:pt x="6883" y="13767"/>
                              </a:cubicBezTo>
                              <a:close/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871" style="width:5.52pt;height:5.52002pt;position:absolute;mso-position-horizontal-relative:page;mso-position-horizontal:absolute;margin-left:47.3866pt;mso-position-vertical-relative:page;margin-top:686.069pt;" coordsize="701,701">
              <v:shape id="Shape 14872" style="position:absolute;width:701;height:701;left:0;top:0;" coordsize="70104,70104" path="m35052,70104c54407,70104,70104,54407,70104,35052c70104,15697,54407,0,35052,0c15697,0,0,15697,0,35052c0,54407,15697,70104,35052,70104x">
                <v:stroke weight="0.5pt" endcap="flat" joinstyle="miter" miterlimit="4" on="true" color="#000000"/>
                <v:fill on="false" color="#000000" opacity="0"/>
              </v:shape>
              <v:shape id="Shape 14873" style="position:absolute;width:137;height:137;left:281;top:281;" coordsize="13767,13767" path="m6883,0c10681,0,13767,3073,13767,6883c13767,10681,10681,13767,6883,13767c3086,13767,0,10681,0,6883c0,3073,3086,0,6883,0x">
                <v:stroke weight="0pt" endcap="flat" joinstyle="miter" miterlimit="4" on="false" color="#000000" opacity="0"/>
                <v:fill on="true" color="#000000"/>
              </v:shape>
              <v:shape id="Shape 14874" style="position:absolute;width:137;height:137;left:281;top:281;" coordsize="13767,13767" path="m6883,13767c10681,13767,13767,10681,13767,6883c13767,3073,10681,0,6883,0c3086,0,0,3073,0,6883c0,10681,3086,13767,6883,13767x">
                <v:stroke weight="1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14"/>
      </w:rPr>
      <w:t xml:space="preserve"> Любое распространение материалов журнала, в т.ч. архивных номеров, возможно только с письменного согласия редакции.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43B2D">
      <w:pPr>
        <w:spacing w:after="0" w:line="240" w:lineRule="auto"/>
      </w:pPr>
      <w:r>
        <w:separator/>
      </w:r>
    </w:p>
  </w:footnote>
  <w:footnote w:type="continuationSeparator" w:id="0">
    <w:p w:rsidR="00000000" w:rsidRDefault="00443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17" w:tblpY="743"/>
      <w:tblOverlap w:val="never"/>
      <w:tblW w:w="7974" w:type="dxa"/>
      <w:tblInd w:w="0" w:type="dxa"/>
      <w:tblCellMar>
        <w:top w:w="0" w:type="dxa"/>
        <w:left w:w="144" w:type="dxa"/>
        <w:bottom w:w="0" w:type="dxa"/>
        <w:right w:w="0" w:type="dxa"/>
      </w:tblCellMar>
      <w:tblLook w:val="04A0" w:firstRow="1" w:lastRow="0" w:firstColumn="1" w:lastColumn="0" w:noHBand="0" w:noVBand="1"/>
    </w:tblPr>
    <w:tblGrid>
      <w:gridCol w:w="608"/>
      <w:gridCol w:w="6454"/>
      <w:gridCol w:w="187"/>
      <w:gridCol w:w="725"/>
    </w:tblGrid>
    <w:tr w:rsidR="00BE2F70">
      <w:trPr>
        <w:trHeight w:val="189"/>
      </w:trPr>
      <w:tc>
        <w:tcPr>
          <w:tcW w:w="608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</w:tcPr>
        <w:p w:rsidR="00BE2F70" w:rsidRDefault="00443B2D">
          <w:pPr>
            <w:spacing w:after="0" w:line="259" w:lineRule="auto"/>
            <w:ind w:left="0" w:right="74"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443B2D">
            <w:rPr>
              <w:rFonts w:ascii="Century Gothic" w:eastAsia="Century Gothic" w:hAnsi="Century Gothic" w:cs="Century Gothic"/>
              <w:noProof/>
              <w:sz w:val="20"/>
            </w:rPr>
            <w:t>38</w:t>
          </w:r>
          <w:r>
            <w:rPr>
              <w:rFonts w:ascii="Century Gothic" w:eastAsia="Century Gothic" w:hAnsi="Century Gothic" w:cs="Century Gothic"/>
              <w:sz w:val="20"/>
            </w:rPr>
            <w:fldChar w:fldCharType="end"/>
          </w:r>
        </w:p>
      </w:tc>
      <w:tc>
        <w:tcPr>
          <w:tcW w:w="6454" w:type="dxa"/>
          <w:tcBorders>
            <w:top w:val="nil"/>
            <w:left w:val="single" w:sz="4" w:space="0" w:color="000000"/>
            <w:bottom w:val="single" w:sz="4" w:space="0" w:color="000000"/>
            <w:right w:val="single" w:sz="45" w:space="0" w:color="B8B8B8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912" w:type="dxa"/>
          <w:gridSpan w:val="2"/>
          <w:tcBorders>
            <w:top w:val="nil"/>
            <w:left w:val="single" w:sz="45" w:space="0" w:color="B8B8B8"/>
            <w:bottom w:val="single" w:sz="4" w:space="0" w:color="000000"/>
            <w:right w:val="nil"/>
          </w:tcBorders>
        </w:tcPr>
        <w:p w:rsidR="00BE2F70" w:rsidRDefault="00443B2D">
          <w:pPr>
            <w:spacing w:after="0" w:line="259" w:lineRule="auto"/>
            <w:ind w:left="0" w:right="-10" w:firstLine="0"/>
            <w:jc w:val="left"/>
          </w:pPr>
          <w:r>
            <w:rPr>
              <w:rFonts w:ascii="Century Gothic" w:eastAsia="Century Gothic" w:hAnsi="Century Gothic" w:cs="Century Gothic"/>
              <w:sz w:val="16"/>
            </w:rPr>
            <w:t>№ 2  2019</w:t>
          </w:r>
        </w:p>
      </w:tc>
    </w:tr>
    <w:tr w:rsidR="00BE2F70">
      <w:trPr>
        <w:trHeight w:val="208"/>
      </w:trPr>
      <w:tc>
        <w:tcPr>
          <w:tcW w:w="608" w:type="dxa"/>
          <w:tcBorders>
            <w:top w:val="single" w:sz="4" w:space="0" w:color="000000"/>
            <w:left w:val="nil"/>
            <w:bottom w:val="nil"/>
            <w:right w:val="single" w:sz="4" w:space="0" w:color="000000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6454" w:type="dxa"/>
          <w:tcBorders>
            <w:top w:val="single" w:sz="4" w:space="0" w:color="000000"/>
            <w:left w:val="single" w:sz="4" w:space="0" w:color="000000"/>
            <w:bottom w:val="nil"/>
            <w:right w:val="single" w:sz="4" w:space="0" w:color="000000"/>
          </w:tcBorders>
        </w:tcPr>
        <w:p w:rsidR="00BE2F70" w:rsidRDefault="00443B2D">
          <w:pPr>
            <w:spacing w:after="0" w:line="259" w:lineRule="auto"/>
            <w:ind w:left="0" w:right="-15" w:firstLine="0"/>
            <w:jc w:val="right"/>
          </w:pPr>
          <w:r>
            <w:rPr>
              <w:rFonts w:ascii="Century Gothic" w:eastAsia="Century Gothic" w:hAnsi="Century Gothic" w:cs="Century Gothic"/>
              <w:sz w:val="12"/>
            </w:rPr>
            <w:t>ДефектОЛОгИя</w:t>
          </w:r>
        </w:p>
      </w:tc>
      <w:tc>
        <w:tcPr>
          <w:tcW w:w="187" w:type="dxa"/>
          <w:tcBorders>
            <w:top w:val="single" w:sz="4" w:space="0" w:color="000000"/>
            <w:left w:val="single" w:sz="4" w:space="0" w:color="000000"/>
            <w:bottom w:val="nil"/>
            <w:right w:val="nil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725" w:type="dxa"/>
          <w:tcBorders>
            <w:top w:val="single" w:sz="4" w:space="0" w:color="000000"/>
            <w:left w:val="nil"/>
            <w:bottom w:val="nil"/>
            <w:right w:val="nil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</w:tr>
  </w:tbl>
  <w:p w:rsidR="00BE2F70" w:rsidRDefault="00BE2F70">
    <w:pPr>
      <w:spacing w:after="0" w:line="259" w:lineRule="auto"/>
      <w:ind w:left="-907" w:right="8419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634" w:tblpY="743"/>
      <w:tblOverlap w:val="never"/>
      <w:tblW w:w="7974" w:type="dxa"/>
      <w:tblInd w:w="0" w:type="dxa"/>
      <w:tblCellMar>
        <w:top w:w="0" w:type="dxa"/>
        <w:left w:w="70" w:type="dxa"/>
        <w:bottom w:w="0" w:type="dxa"/>
        <w:right w:w="115" w:type="dxa"/>
      </w:tblCellMar>
      <w:tblLook w:val="04A0" w:firstRow="1" w:lastRow="0" w:firstColumn="1" w:lastColumn="0" w:noHBand="0" w:noVBand="1"/>
    </w:tblPr>
    <w:tblGrid>
      <w:gridCol w:w="621"/>
      <w:gridCol w:w="181"/>
      <w:gridCol w:w="6580"/>
      <w:gridCol w:w="591"/>
    </w:tblGrid>
    <w:tr w:rsidR="00BE2F70">
      <w:trPr>
        <w:trHeight w:val="189"/>
      </w:trPr>
      <w:tc>
        <w:tcPr>
          <w:tcW w:w="621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181" w:type="dxa"/>
          <w:tcBorders>
            <w:top w:val="nil"/>
            <w:left w:val="single" w:sz="4" w:space="0" w:color="000000"/>
            <w:bottom w:val="single" w:sz="4" w:space="0" w:color="000000"/>
            <w:right w:val="nil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6580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591" w:type="dxa"/>
          <w:tcBorders>
            <w:top w:val="nil"/>
            <w:left w:val="single" w:sz="4" w:space="0" w:color="000000"/>
            <w:bottom w:val="single" w:sz="4" w:space="0" w:color="000000"/>
            <w:right w:val="nil"/>
          </w:tcBorders>
        </w:tcPr>
        <w:p w:rsidR="00BE2F70" w:rsidRDefault="00443B2D">
          <w:pPr>
            <w:spacing w:after="0" w:line="259" w:lineRule="auto"/>
            <w:ind w:left="0" w:right="0" w:firstLine="0"/>
            <w:jc w:val="lef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rFonts w:ascii="Century Gothic" w:eastAsia="Century Gothic" w:hAnsi="Century Gothic" w:cs="Century Gothic"/>
              <w:sz w:val="20"/>
            </w:rPr>
            <w:t>39</w:t>
          </w:r>
          <w:r>
            <w:rPr>
              <w:rFonts w:ascii="Century Gothic" w:eastAsia="Century Gothic" w:hAnsi="Century Gothic" w:cs="Century Gothic"/>
              <w:sz w:val="20"/>
            </w:rPr>
            <w:fldChar w:fldCharType="end"/>
          </w:r>
        </w:p>
      </w:tc>
    </w:tr>
    <w:tr w:rsidR="00BE2F70">
      <w:trPr>
        <w:trHeight w:val="208"/>
      </w:trPr>
      <w:tc>
        <w:tcPr>
          <w:tcW w:w="621" w:type="dxa"/>
          <w:tcBorders>
            <w:top w:val="single" w:sz="4" w:space="0" w:color="000000"/>
            <w:left w:val="nil"/>
            <w:bottom w:val="nil"/>
            <w:right w:val="single" w:sz="45" w:space="0" w:color="B8B8B8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6761" w:type="dxa"/>
          <w:gridSpan w:val="2"/>
          <w:tcBorders>
            <w:top w:val="single" w:sz="4" w:space="0" w:color="000000"/>
            <w:left w:val="single" w:sz="45" w:space="0" w:color="B8B8B8"/>
            <w:bottom w:val="nil"/>
            <w:right w:val="single" w:sz="4" w:space="0" w:color="000000"/>
          </w:tcBorders>
        </w:tcPr>
        <w:p w:rsidR="00BE2F70" w:rsidRDefault="00443B2D">
          <w:pPr>
            <w:spacing w:after="0" w:line="259" w:lineRule="auto"/>
            <w:ind w:left="66" w:right="0" w:firstLine="0"/>
            <w:jc w:val="left"/>
          </w:pPr>
          <w:r>
            <w:rPr>
              <w:rFonts w:ascii="Century Gothic" w:eastAsia="Century Gothic" w:hAnsi="Century Gothic" w:cs="Century Gothic"/>
              <w:sz w:val="12"/>
            </w:rPr>
            <w:t>СПецИАЛьнАя ПСИХОЛОгИя: ИССЛеДОВАнИя И ПРАктИкА</w:t>
          </w:r>
        </w:p>
      </w:tc>
      <w:tc>
        <w:tcPr>
          <w:tcW w:w="591" w:type="dxa"/>
          <w:tcBorders>
            <w:top w:val="single" w:sz="4" w:space="0" w:color="000000"/>
            <w:left w:val="single" w:sz="4" w:space="0" w:color="000000"/>
            <w:bottom w:val="nil"/>
            <w:right w:val="nil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</w:tr>
  </w:tbl>
  <w:p w:rsidR="00BE2F70" w:rsidRDefault="00BE2F70">
    <w:pPr>
      <w:spacing w:after="0" w:line="259" w:lineRule="auto"/>
      <w:ind w:left="-907" w:right="8419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17" w:tblpY="743"/>
      <w:tblOverlap w:val="never"/>
      <w:tblW w:w="7974" w:type="dxa"/>
      <w:tblInd w:w="0" w:type="dxa"/>
      <w:tblCellMar>
        <w:top w:w="0" w:type="dxa"/>
        <w:left w:w="144" w:type="dxa"/>
        <w:bottom w:w="0" w:type="dxa"/>
        <w:right w:w="0" w:type="dxa"/>
      </w:tblCellMar>
      <w:tblLook w:val="04A0" w:firstRow="1" w:lastRow="0" w:firstColumn="1" w:lastColumn="0" w:noHBand="0" w:noVBand="1"/>
    </w:tblPr>
    <w:tblGrid>
      <w:gridCol w:w="608"/>
      <w:gridCol w:w="6454"/>
      <w:gridCol w:w="187"/>
      <w:gridCol w:w="725"/>
    </w:tblGrid>
    <w:tr w:rsidR="00BE2F70">
      <w:trPr>
        <w:trHeight w:val="189"/>
      </w:trPr>
      <w:tc>
        <w:tcPr>
          <w:tcW w:w="608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</w:tcPr>
        <w:p w:rsidR="00BE2F70" w:rsidRDefault="00443B2D">
          <w:pPr>
            <w:spacing w:after="0" w:line="259" w:lineRule="auto"/>
            <w:ind w:left="0" w:right="74"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rFonts w:ascii="Century Gothic" w:eastAsia="Century Gothic" w:hAnsi="Century Gothic" w:cs="Century Gothic"/>
              <w:sz w:val="20"/>
            </w:rPr>
            <w:t>38</w:t>
          </w:r>
          <w:r>
            <w:rPr>
              <w:rFonts w:ascii="Century Gothic" w:eastAsia="Century Gothic" w:hAnsi="Century Gothic" w:cs="Century Gothic"/>
              <w:sz w:val="20"/>
            </w:rPr>
            <w:fldChar w:fldCharType="end"/>
          </w:r>
        </w:p>
      </w:tc>
      <w:tc>
        <w:tcPr>
          <w:tcW w:w="6454" w:type="dxa"/>
          <w:tcBorders>
            <w:top w:val="nil"/>
            <w:left w:val="single" w:sz="4" w:space="0" w:color="000000"/>
            <w:bottom w:val="single" w:sz="4" w:space="0" w:color="000000"/>
            <w:right w:val="single" w:sz="45" w:space="0" w:color="B8B8B8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912" w:type="dxa"/>
          <w:gridSpan w:val="2"/>
          <w:tcBorders>
            <w:top w:val="nil"/>
            <w:left w:val="single" w:sz="45" w:space="0" w:color="B8B8B8"/>
            <w:bottom w:val="single" w:sz="4" w:space="0" w:color="000000"/>
            <w:right w:val="nil"/>
          </w:tcBorders>
        </w:tcPr>
        <w:p w:rsidR="00BE2F70" w:rsidRDefault="00443B2D">
          <w:pPr>
            <w:spacing w:after="0" w:line="259" w:lineRule="auto"/>
            <w:ind w:left="0" w:right="-10" w:firstLine="0"/>
            <w:jc w:val="left"/>
          </w:pPr>
          <w:r>
            <w:rPr>
              <w:rFonts w:ascii="Century Gothic" w:eastAsia="Century Gothic" w:hAnsi="Century Gothic" w:cs="Century Gothic"/>
              <w:sz w:val="16"/>
            </w:rPr>
            <w:t>№ 2  2019</w:t>
          </w:r>
        </w:p>
      </w:tc>
    </w:tr>
    <w:tr w:rsidR="00BE2F70">
      <w:trPr>
        <w:trHeight w:val="208"/>
      </w:trPr>
      <w:tc>
        <w:tcPr>
          <w:tcW w:w="608" w:type="dxa"/>
          <w:tcBorders>
            <w:top w:val="single" w:sz="4" w:space="0" w:color="000000"/>
            <w:left w:val="nil"/>
            <w:bottom w:val="nil"/>
            <w:right w:val="single" w:sz="4" w:space="0" w:color="000000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6454" w:type="dxa"/>
          <w:tcBorders>
            <w:top w:val="single" w:sz="4" w:space="0" w:color="000000"/>
            <w:left w:val="single" w:sz="4" w:space="0" w:color="000000"/>
            <w:bottom w:val="nil"/>
            <w:right w:val="single" w:sz="4" w:space="0" w:color="000000"/>
          </w:tcBorders>
        </w:tcPr>
        <w:p w:rsidR="00BE2F70" w:rsidRDefault="00443B2D">
          <w:pPr>
            <w:spacing w:after="0" w:line="259" w:lineRule="auto"/>
            <w:ind w:left="0" w:right="-15" w:firstLine="0"/>
            <w:jc w:val="right"/>
          </w:pPr>
          <w:r>
            <w:rPr>
              <w:rFonts w:ascii="Century Gothic" w:eastAsia="Century Gothic" w:hAnsi="Century Gothic" w:cs="Century Gothic"/>
              <w:sz w:val="12"/>
            </w:rPr>
            <w:t>ДефектОЛОгИя</w:t>
          </w:r>
        </w:p>
      </w:tc>
      <w:tc>
        <w:tcPr>
          <w:tcW w:w="187" w:type="dxa"/>
          <w:tcBorders>
            <w:top w:val="single" w:sz="4" w:space="0" w:color="000000"/>
            <w:left w:val="single" w:sz="4" w:space="0" w:color="000000"/>
            <w:bottom w:val="nil"/>
            <w:right w:val="nil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725" w:type="dxa"/>
          <w:tcBorders>
            <w:top w:val="single" w:sz="4" w:space="0" w:color="000000"/>
            <w:left w:val="nil"/>
            <w:bottom w:val="nil"/>
            <w:right w:val="nil"/>
          </w:tcBorders>
        </w:tcPr>
        <w:p w:rsidR="00BE2F70" w:rsidRDefault="00BE2F70">
          <w:pPr>
            <w:spacing w:after="160" w:line="259" w:lineRule="auto"/>
            <w:ind w:left="0" w:right="0" w:firstLine="0"/>
            <w:jc w:val="left"/>
          </w:pPr>
        </w:p>
      </w:tc>
    </w:tr>
  </w:tbl>
  <w:p w:rsidR="00BE2F70" w:rsidRDefault="00BE2F70">
    <w:pPr>
      <w:spacing w:after="0" w:line="259" w:lineRule="auto"/>
      <w:ind w:left="-907" w:right="8419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BCB"/>
    <w:multiLevelType w:val="hybridMultilevel"/>
    <w:tmpl w:val="187CC1DC"/>
    <w:lvl w:ilvl="0" w:tplc="C7C6B2AC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63CED94">
      <w:start w:val="1"/>
      <w:numFmt w:val="bullet"/>
      <w:lvlText w:val="o"/>
      <w:lvlJc w:val="left"/>
      <w:pPr>
        <w:ind w:left="1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EDECC1A">
      <w:start w:val="1"/>
      <w:numFmt w:val="bullet"/>
      <w:lvlText w:val="▪"/>
      <w:lvlJc w:val="left"/>
      <w:pPr>
        <w:ind w:left="1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1385898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EF0E3C0">
      <w:start w:val="1"/>
      <w:numFmt w:val="bullet"/>
      <w:lvlText w:val="o"/>
      <w:lvlJc w:val="left"/>
      <w:pPr>
        <w:ind w:left="3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04CC65A">
      <w:start w:val="1"/>
      <w:numFmt w:val="bullet"/>
      <w:lvlText w:val="▪"/>
      <w:lvlJc w:val="left"/>
      <w:pPr>
        <w:ind w:left="4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AB27DB0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25418CC">
      <w:start w:val="1"/>
      <w:numFmt w:val="bullet"/>
      <w:lvlText w:val="o"/>
      <w:lvlJc w:val="left"/>
      <w:pPr>
        <w:ind w:left="5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180A282">
      <w:start w:val="1"/>
      <w:numFmt w:val="bullet"/>
      <w:lvlText w:val="▪"/>
      <w:lvlJc w:val="left"/>
      <w:pPr>
        <w:ind w:left="6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8C6F71"/>
    <w:multiLevelType w:val="hybridMultilevel"/>
    <w:tmpl w:val="1BE808BE"/>
    <w:lvl w:ilvl="0" w:tplc="E50A365E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E440BB6">
      <w:start w:val="1"/>
      <w:numFmt w:val="bullet"/>
      <w:lvlText w:val="o"/>
      <w:lvlJc w:val="left"/>
      <w:pPr>
        <w:ind w:left="1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9A8E85A">
      <w:start w:val="1"/>
      <w:numFmt w:val="bullet"/>
      <w:lvlText w:val="▪"/>
      <w:lvlJc w:val="left"/>
      <w:pPr>
        <w:ind w:left="1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9A89A6C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052AC8E">
      <w:start w:val="1"/>
      <w:numFmt w:val="bullet"/>
      <w:lvlText w:val="o"/>
      <w:lvlJc w:val="left"/>
      <w:pPr>
        <w:ind w:left="3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934AA14">
      <w:start w:val="1"/>
      <w:numFmt w:val="bullet"/>
      <w:lvlText w:val="▪"/>
      <w:lvlJc w:val="left"/>
      <w:pPr>
        <w:ind w:left="4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6EE5F0E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5A9FB6">
      <w:start w:val="1"/>
      <w:numFmt w:val="bullet"/>
      <w:lvlText w:val="o"/>
      <w:lvlJc w:val="left"/>
      <w:pPr>
        <w:ind w:left="5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B50F09E">
      <w:start w:val="1"/>
      <w:numFmt w:val="bullet"/>
      <w:lvlText w:val="▪"/>
      <w:lvlJc w:val="left"/>
      <w:pPr>
        <w:ind w:left="6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0453D6"/>
    <w:multiLevelType w:val="hybridMultilevel"/>
    <w:tmpl w:val="E8D6FBD2"/>
    <w:lvl w:ilvl="0" w:tplc="3738CDF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75AE8C0">
      <w:start w:val="1"/>
      <w:numFmt w:val="lowerLetter"/>
      <w:lvlText w:val="%2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DB4B56A">
      <w:start w:val="1"/>
      <w:numFmt w:val="lowerRoman"/>
      <w:lvlText w:val="%3"/>
      <w:lvlJc w:val="left"/>
      <w:pPr>
        <w:ind w:left="2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6E81202">
      <w:start w:val="1"/>
      <w:numFmt w:val="decimal"/>
      <w:lvlText w:val="%4"/>
      <w:lvlJc w:val="left"/>
      <w:pPr>
        <w:ind w:left="2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686095A">
      <w:start w:val="1"/>
      <w:numFmt w:val="lowerLetter"/>
      <w:lvlText w:val="%5"/>
      <w:lvlJc w:val="left"/>
      <w:pPr>
        <w:ind w:left="3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0AC6588">
      <w:start w:val="1"/>
      <w:numFmt w:val="lowerRoman"/>
      <w:lvlText w:val="%6"/>
      <w:lvlJc w:val="left"/>
      <w:pPr>
        <w:ind w:left="4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3DE52FC">
      <w:start w:val="1"/>
      <w:numFmt w:val="decimal"/>
      <w:lvlText w:val="%7"/>
      <w:lvlJc w:val="left"/>
      <w:pPr>
        <w:ind w:left="5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2C2ADDE">
      <w:start w:val="1"/>
      <w:numFmt w:val="lowerLetter"/>
      <w:lvlText w:val="%8"/>
      <w:lvlJc w:val="left"/>
      <w:pPr>
        <w:ind w:left="5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DECE06C">
      <w:start w:val="1"/>
      <w:numFmt w:val="lowerRoman"/>
      <w:lvlText w:val="%9"/>
      <w:lvlJc w:val="left"/>
      <w:pPr>
        <w:ind w:left="6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F81A77"/>
    <w:multiLevelType w:val="hybridMultilevel"/>
    <w:tmpl w:val="EE70CC44"/>
    <w:lvl w:ilvl="0" w:tplc="F0E4FD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90CD1FC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6328930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960EDB4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8C6FBBE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4D41DB4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A7A4110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804D182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D4BE7A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BC1AF4"/>
    <w:multiLevelType w:val="hybridMultilevel"/>
    <w:tmpl w:val="67FA66A0"/>
    <w:lvl w:ilvl="0" w:tplc="76B2F3D4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78F126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F45CDC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C662A4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9AFF98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D6C858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5E5AA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4A8DDA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F6BF7C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442B46"/>
    <w:multiLevelType w:val="hybridMultilevel"/>
    <w:tmpl w:val="BE38F924"/>
    <w:lvl w:ilvl="0" w:tplc="8E609C3A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A019A8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8AF7EC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7695E0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22579C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3623EC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C8A452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46DBA8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407946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965ABB"/>
    <w:multiLevelType w:val="hybridMultilevel"/>
    <w:tmpl w:val="E252EABA"/>
    <w:lvl w:ilvl="0" w:tplc="6C7C33C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BDE2EFC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BEC7DB8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352F4F6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CECF372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CCC0350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5CC43B2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0D266DA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56001AA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453D27"/>
    <w:multiLevelType w:val="hybridMultilevel"/>
    <w:tmpl w:val="7564D97A"/>
    <w:lvl w:ilvl="0" w:tplc="C9AC4CC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1AC0FA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34F742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D8887A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C6C4C2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485E5E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3036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DE7D58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C28268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B02F77"/>
    <w:multiLevelType w:val="hybridMultilevel"/>
    <w:tmpl w:val="6B9CB52E"/>
    <w:lvl w:ilvl="0" w:tplc="21DC3CF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06802">
      <w:start w:val="1"/>
      <w:numFmt w:val="bullet"/>
      <w:lvlText w:val="o"/>
      <w:lvlJc w:val="left"/>
      <w:pPr>
        <w:ind w:left="1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A7F6">
      <w:start w:val="1"/>
      <w:numFmt w:val="bullet"/>
      <w:lvlText w:val="▪"/>
      <w:lvlJc w:val="left"/>
      <w:pPr>
        <w:ind w:left="2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26E3E8">
      <w:start w:val="1"/>
      <w:numFmt w:val="bullet"/>
      <w:lvlText w:val="•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5E93BE">
      <w:start w:val="1"/>
      <w:numFmt w:val="bullet"/>
      <w:lvlText w:val="o"/>
      <w:lvlJc w:val="left"/>
      <w:pPr>
        <w:ind w:left="3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389066">
      <w:start w:val="1"/>
      <w:numFmt w:val="bullet"/>
      <w:lvlText w:val="▪"/>
      <w:lvlJc w:val="left"/>
      <w:pPr>
        <w:ind w:left="4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185E68">
      <w:start w:val="1"/>
      <w:numFmt w:val="bullet"/>
      <w:lvlText w:val="•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486290">
      <w:start w:val="1"/>
      <w:numFmt w:val="bullet"/>
      <w:lvlText w:val="o"/>
      <w:lvlJc w:val="left"/>
      <w:pPr>
        <w:ind w:left="57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66D38A">
      <w:start w:val="1"/>
      <w:numFmt w:val="bullet"/>
      <w:lvlText w:val="▪"/>
      <w:lvlJc w:val="left"/>
      <w:pPr>
        <w:ind w:left="6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70"/>
    <w:rsid w:val="00443B2D"/>
    <w:rsid w:val="00BE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83F2F5D-769F-4FC7-B466-023421D8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52" w:lineRule="auto"/>
      <w:ind w:left="283" w:right="52" w:firstLine="33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4189</Words>
  <Characters>23878</Characters>
  <Application>Microsoft Office Word</Application>
  <DocSecurity>4</DocSecurity>
  <Lines>198</Lines>
  <Paragraphs>56</Paragraphs>
  <ScaleCrop>false</ScaleCrop>
  <Company/>
  <LinksUpToDate>false</LinksUpToDate>
  <CharactersWithSpaces>28011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2024-04-27T08:36:00Z</dcterms:created>
  <dcterms:modified xsi:type="dcterms:W3CDTF">2024-04-27T08:36:00Z</dcterms:modified>
</cp:coreProperties>
</file>