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F40" w:rsidRDefault="00B32EC9">
      <w:pPr>
        <w:spacing w:after="0" w:line="259" w:lineRule="auto"/>
        <w:ind w:left="1" w:right="0" w:firstLine="0"/>
        <w:jc w:val="left"/>
      </w:pPr>
      <w:bookmarkStart w:id="0" w:name="_GoBack"/>
      <w:bookmarkEnd w:id="0"/>
      <w:r>
        <w:rPr>
          <w:rFonts w:ascii="Wingdings" w:eastAsia="Wingdings" w:hAnsi="Wingdings" w:cs="Wingdings"/>
          <w:color w:val="B8B8B8"/>
          <w:sz w:val="30"/>
        </w:rPr>
        <w:t></w:t>
      </w:r>
      <w:r>
        <w:rPr>
          <w:rFonts w:ascii="Wingdings" w:eastAsia="Wingdings" w:hAnsi="Wingdings" w:cs="Wingdings"/>
          <w:color w:val="B8B8B8"/>
          <w:sz w:val="30"/>
        </w:rPr>
        <w:t></w:t>
      </w:r>
      <w:r>
        <w:rPr>
          <w:rFonts w:ascii="Franklin Gothic" w:eastAsia="Franklin Gothic" w:hAnsi="Franklin Gothic" w:cs="Franklin Gothic"/>
          <w:b/>
          <w:sz w:val="24"/>
        </w:rPr>
        <w:t>СПеЦиАлЬНАя ПСиХология: иССлеДоВАНия и ПРАктикА</w:t>
      </w:r>
    </w:p>
    <w:p w:rsidR="00147F40" w:rsidRDefault="00B32EC9">
      <w:pPr>
        <w:spacing w:after="465" w:line="259" w:lineRule="auto"/>
        <w:ind w:right="-395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076000" cy="6350"/>
                <wp:effectExtent l="0" t="0" r="0" b="0"/>
                <wp:docPr id="11574" name="Group 115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6350"/>
                          <a:chOff x="0" y="0"/>
                          <a:chExt cx="5076000" cy="6350"/>
                        </a:xfrm>
                      </wpg:grpSpPr>
                      <wps:wsp>
                        <wps:cNvPr id="11" name="Shape 11"/>
                        <wps:cNvSpPr/>
                        <wps:spPr>
                          <a:xfrm>
                            <a:off x="0" y="0"/>
                            <a:ext cx="507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6000">
                                <a:moveTo>
                                  <a:pt x="0" y="0"/>
                                </a:moveTo>
                                <a:lnTo>
                                  <a:pt x="5076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74" style="width:399.685pt;height:0.5pt;mso-position-horizontal-relative:char;mso-position-vertical-relative:line" coordsize="50760,63">
                <v:shape id="Shape 11" style="position:absolute;width:50760;height:0;left:0;top:0;" coordsize="5076000,0" path="m0,0l507600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47F40" w:rsidRDefault="00B32EC9">
      <w:pPr>
        <w:spacing w:after="33" w:line="217" w:lineRule="auto"/>
        <w:ind w:right="0" w:firstLine="0"/>
        <w:jc w:val="left"/>
      </w:pPr>
      <w:r>
        <w:rPr>
          <w:rFonts w:ascii="Century Gothic" w:eastAsia="Century Gothic" w:hAnsi="Century Gothic" w:cs="Century Gothic"/>
          <w:sz w:val="36"/>
        </w:rPr>
        <w:t>Аутизм и расстройства аутистического спектра: направления диагностики</w:t>
      </w:r>
    </w:p>
    <w:p w:rsidR="00147F40" w:rsidRDefault="00B32EC9">
      <w:pPr>
        <w:spacing w:after="0" w:line="259" w:lineRule="auto"/>
        <w:ind w:right="0" w:firstLine="0"/>
        <w:jc w:val="left"/>
      </w:pPr>
      <w:r>
        <w:rPr>
          <w:rFonts w:ascii="Century Gothic" w:eastAsia="Century Gothic" w:hAnsi="Century Gothic" w:cs="Century Gothic"/>
          <w:sz w:val="28"/>
        </w:rPr>
        <w:t>(Сообщение 1)</w:t>
      </w:r>
    </w:p>
    <w:tbl>
      <w:tblPr>
        <w:tblStyle w:val="TableGrid"/>
        <w:tblW w:w="7994" w:type="dxa"/>
        <w:tblInd w:w="0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91"/>
        <w:gridCol w:w="5103"/>
      </w:tblGrid>
      <w:tr w:rsidR="00147F40">
        <w:trPr>
          <w:trHeight w:val="717"/>
        </w:trPr>
        <w:tc>
          <w:tcPr>
            <w:tcW w:w="2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9" w:line="259" w:lineRule="auto"/>
              <w:ind w:right="0" w:firstLine="0"/>
              <w:jc w:val="left"/>
            </w:pPr>
            <w:r>
              <w:rPr>
                <w:rFonts w:ascii="Century Gothic" w:eastAsia="Century Gothic" w:hAnsi="Century Gothic" w:cs="Century Gothic"/>
                <w:b/>
                <w:sz w:val="18"/>
              </w:rPr>
              <w:t>Н.Ю. Калмыкова,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rFonts w:ascii="Century Gothic" w:eastAsia="Century Gothic" w:hAnsi="Century Gothic" w:cs="Century Gothic"/>
                <w:sz w:val="18"/>
              </w:rPr>
              <w:t>Институт коррекционной педагогики РАО, Москва</w:t>
            </w:r>
          </w:p>
        </w:tc>
        <w:tc>
          <w:tcPr>
            <w:tcW w:w="51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147F40" w:rsidRDefault="00B32EC9">
            <w:pPr>
              <w:spacing w:after="0" w:line="259" w:lineRule="auto"/>
              <w:ind w:left="113" w:right="0" w:firstLine="0"/>
              <w:jc w:val="left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08001" cy="108001"/>
                      <wp:effectExtent l="0" t="0" r="0" b="0"/>
                      <wp:docPr id="11284" name="Group 112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1" cy="108001"/>
                                <a:chOff x="0" y="0"/>
                                <a:chExt cx="108001" cy="108001"/>
                              </a:xfrm>
                            </wpg:grpSpPr>
                            <wps:wsp>
                              <wps:cNvPr id="15318" name="Shape 15318"/>
                              <wps:cNvSpPr/>
                              <wps:spPr>
                                <a:xfrm>
                                  <a:off x="0" y="0"/>
                                  <a:ext cx="108001" cy="1080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001" h="108001">
                                      <a:moveTo>
                                        <a:pt x="0" y="0"/>
                                      </a:moveTo>
                                      <a:lnTo>
                                        <a:pt x="108001" y="0"/>
                                      </a:lnTo>
                                      <a:lnTo>
                                        <a:pt x="108001" y="108001"/>
                                      </a:lnTo>
                                      <a:lnTo>
                                        <a:pt x="0" y="1080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8B8B8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284" style="width:8.504pt;height:8.50403pt;mso-position-horizontal-relative:char;mso-position-vertical-relative:line" coordsize="1080,1080">
                      <v:shape id="Shape 15319" style="position:absolute;width:1080;height:1080;left:0;top:0;" coordsize="108001,108001" path="m0,0l108001,0l108001,108001l0,108001l0,0">
                        <v:stroke weight="0pt" endcap="flat" joinstyle="miter" miterlimit="10" on="false" color="#000000" opacity="0"/>
                        <v:fill on="true" color="#b8b8b8"/>
                      </v:shape>
                    </v:group>
                  </w:pict>
                </mc:Fallback>
              </mc:AlternateContent>
            </w:r>
          </w:p>
        </w:tc>
      </w:tr>
      <w:tr w:rsidR="00147F40">
        <w:trPr>
          <w:trHeight w:val="1818"/>
        </w:trPr>
        <w:tc>
          <w:tcPr>
            <w:tcW w:w="28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rFonts w:ascii="Century Gothic" w:eastAsia="Century Gothic" w:hAnsi="Century Gothic" w:cs="Century Gothic"/>
                <w:b/>
                <w:sz w:val="18"/>
              </w:rPr>
              <w:t xml:space="preserve">Ключевые слова:                    </w: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>
                      <wp:extent cx="108001" cy="108001"/>
                      <wp:effectExtent l="0" t="0" r="0" b="0"/>
                      <wp:docPr id="11295" name="Group 11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8001" cy="108001"/>
                                <a:chOff x="0" y="0"/>
                                <a:chExt cx="108001" cy="108001"/>
                              </a:xfrm>
                            </wpg:grpSpPr>
                            <wps:wsp>
                              <wps:cNvPr id="15320" name="Shape 15320"/>
                              <wps:cNvSpPr/>
                              <wps:spPr>
                                <a:xfrm>
                                  <a:off x="0" y="0"/>
                                  <a:ext cx="108001" cy="1080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001" h="108001">
                                      <a:moveTo>
                                        <a:pt x="0" y="0"/>
                                      </a:moveTo>
                                      <a:lnTo>
                                        <a:pt x="108001" y="0"/>
                                      </a:lnTo>
                                      <a:lnTo>
                                        <a:pt x="108001" y="108001"/>
                                      </a:lnTo>
                                      <a:lnTo>
                                        <a:pt x="0" y="1080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B8B8B8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1295" style="width:8.504pt;height:8.50403pt;mso-position-horizontal-relative:char;mso-position-vertical-relative:line" coordsize="1080,1080">
                      <v:shape id="Shape 15321" style="position:absolute;width:1080;height:1080;left:0;top:0;" coordsize="108001,108001" path="m0,0l108001,0l108001,108001l0,108001l0,0">
                        <v:stroke weight="0pt" endcap="flat" joinstyle="miter" miterlimit="10" on="false" color="#000000" opacity="0"/>
                        <v:fill on="true" color="#b8b8b8"/>
                      </v:shape>
                    </v:group>
                  </w:pict>
                </mc:Fallback>
              </mc:AlternateContent>
            </w:r>
            <w:r>
              <w:rPr>
                <w:rFonts w:ascii="Century Gothic" w:eastAsia="Century Gothic" w:hAnsi="Century Gothic" w:cs="Century Gothic"/>
                <w:sz w:val="18"/>
              </w:rPr>
              <w:t xml:space="preserve">аутизм, расстройства аутистического спектра (РАС), скрининг, клиническая диагностика, оценка динамики развития, психолого-педагогическое 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47F40" w:rsidRDefault="00B32EC9">
            <w:pPr>
              <w:spacing w:after="0" w:line="259" w:lineRule="auto"/>
              <w:ind w:left="113" w:right="9" w:firstLine="0"/>
              <w:jc w:val="left"/>
            </w:pPr>
            <w:r>
              <w:rPr>
                <w:rFonts w:ascii="Century Gothic" w:eastAsia="Century Gothic" w:hAnsi="Century Gothic" w:cs="Century Gothic"/>
                <w:sz w:val="18"/>
              </w:rPr>
              <w:t>В статье представлены основные направления диагностики при расстройствах аутистического спектра (РАС). Рассматриваются</w:t>
            </w:r>
            <w:r>
              <w:rPr>
                <w:rFonts w:ascii="Century Gothic" w:eastAsia="Century Gothic" w:hAnsi="Century Gothic" w:cs="Century Gothic"/>
                <w:sz w:val="18"/>
              </w:rPr>
              <w:t xml:space="preserve"> вопросы соотношения клинической диагностики и психолого-педагогической оценки развития при РАС; обсуждаются наиболее информативные тестовые методы, их достоинства и ограничения при диагностике развития детей с аутизмом.</w:t>
            </w:r>
          </w:p>
        </w:tc>
      </w:tr>
    </w:tbl>
    <w:p w:rsidR="00147F40" w:rsidRDefault="00B32EC9">
      <w:pPr>
        <w:spacing w:after="0" w:line="259" w:lineRule="auto"/>
        <w:ind w:right="0" w:firstLine="0"/>
        <w:jc w:val="left"/>
      </w:pPr>
      <w:r>
        <w:rPr>
          <w:rFonts w:ascii="Century Gothic" w:eastAsia="Century Gothic" w:hAnsi="Century Gothic" w:cs="Century Gothic"/>
          <w:sz w:val="18"/>
        </w:rPr>
        <w:t>тестирование.</w:t>
      </w:r>
    </w:p>
    <w:p w:rsidR="00147F40" w:rsidRDefault="00147F40">
      <w:pPr>
        <w:sectPr w:rsidR="00147F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9524" w:h="14740"/>
          <w:pgMar w:top="897" w:right="1303" w:bottom="1323" w:left="624" w:header="720" w:footer="885" w:gutter="0"/>
          <w:pgNumType w:start="35"/>
          <w:cols w:space="720"/>
          <w:titlePg/>
        </w:sectPr>
      </w:pPr>
    </w:p>
    <w:p w:rsidR="00147F40" w:rsidRDefault="00B32EC9">
      <w:pPr>
        <w:spacing w:after="40" w:line="231" w:lineRule="auto"/>
        <w:ind w:left="335" w:right="0" w:hanging="10"/>
        <w:jc w:val="left"/>
      </w:pPr>
      <w:r>
        <w:rPr>
          <w:rFonts w:ascii="Century Gothic" w:eastAsia="Century Gothic" w:hAnsi="Century Gothic" w:cs="Century Gothic"/>
        </w:rPr>
        <w:t>1. Проблемы диагностики и оценки распространенности аутизма и РАС</w:t>
      </w:r>
    </w:p>
    <w:p w:rsidR="00147F40" w:rsidRDefault="00B32EC9">
      <w:pPr>
        <w:ind w:left="-15" w:right="4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396000</wp:posOffset>
                </wp:positionH>
                <wp:positionV relativeFrom="page">
                  <wp:posOffset>487845</wp:posOffset>
                </wp:positionV>
                <wp:extent cx="5076000" cy="25400"/>
                <wp:effectExtent l="0" t="0" r="0" b="0"/>
                <wp:wrapTopAndBottom/>
                <wp:docPr id="11573" name="Group 11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6000" cy="25400"/>
                          <a:chOff x="0" y="0"/>
                          <a:chExt cx="5076000" cy="25400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507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6000">
                                <a:moveTo>
                                  <a:pt x="0" y="0"/>
                                </a:moveTo>
                                <a:lnTo>
                                  <a:pt x="5076000" y="0"/>
                                </a:lnTo>
                              </a:path>
                            </a:pathLst>
                          </a:custGeom>
                          <a:ln w="254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573" style="width:399.685pt;height:2pt;position:absolute;mso-position-horizontal-relative:page;mso-position-horizontal:absolute;margin-left:31.1811pt;mso-position-vertical-relative:page;margin-top:38.413pt;" coordsize="50760,254">
                <v:shape id="Shape 10" style="position:absolute;width:50760;height:0;left:0;top:0;" coordsize="5076000,0" path="m0,0l5076000,0">
                  <v:stroke weight="2pt" endcap="flat" joinstyle="miter" miterlimit="10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>
        <w:t>В настоящее время диагнозы «аутизм» и «расстройс</w:t>
      </w:r>
      <w:r>
        <w:t>тво аутистического спектра» (РАС) становятся все более распространенными. Известно, что аутизм представляет собой сложное дезинтегративное нарушение психического развития, которое характеризуется выраженным и всесторонним дефицитом социального взаимодейств</w:t>
      </w:r>
      <w:r>
        <w:t>ия и общения, а также ограниченными интересами и повторяющимися действиями [10]. Диагноз «расстройство аутистического спектра», не имеющий пока четкого определения в медицинской классификации болезней, принятой на территории России*, также предполагает у р</w:t>
      </w:r>
      <w:r>
        <w:t xml:space="preserve">ебенка триаду проблем коммуникации, социальной адаптации и стереотипности поведения. По-видимому, </w:t>
      </w:r>
    </w:p>
    <w:p w:rsidR="00147F40" w:rsidRDefault="00B32EC9">
      <w:pPr>
        <w:spacing w:after="87" w:line="259" w:lineRule="auto"/>
        <w:ind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720001" cy="6350"/>
                <wp:effectExtent l="0" t="0" r="0" b="0"/>
                <wp:docPr id="11575" name="Group 115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" cy="6350"/>
                          <a:chOff x="0" y="0"/>
                          <a:chExt cx="720001" cy="6350"/>
                        </a:xfrm>
                      </wpg:grpSpPr>
                      <wps:wsp>
                        <wps:cNvPr id="65" name="Shape 65"/>
                        <wps:cNvSpPr/>
                        <wps:spPr>
                          <a:xfrm>
                            <a:off x="0" y="0"/>
                            <a:ext cx="7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1">
                                <a:moveTo>
                                  <a:pt x="0" y="0"/>
                                </a:moveTo>
                                <a:lnTo>
                                  <a:pt x="720001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75" style="width:56.693pt;height:0.5pt;mso-position-horizontal-relative:char;mso-position-vertical-relative:line" coordsize="7200,63">
                <v:shape id="Shape 65" style="position:absolute;width:7200;height:0;left:0;top:0;" coordsize="720001,0" path="m0,0l720001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47F40" w:rsidRDefault="00B32EC9">
      <w:pPr>
        <w:spacing w:line="284" w:lineRule="auto"/>
        <w:ind w:left="-15" w:right="39"/>
      </w:pPr>
      <w:r>
        <w:rPr>
          <w:sz w:val="19"/>
        </w:rPr>
        <w:t>* Имеется в виду МКБ-10. В медицинской классификации, принятой в США (DSM-5), есть диагноз «расстройство аутистического спектра».</w:t>
      </w:r>
    </w:p>
    <w:p w:rsidR="00147F40" w:rsidRDefault="00B32EC9">
      <w:pPr>
        <w:ind w:left="-15" w:right="40" w:firstLine="0"/>
      </w:pPr>
      <w:r>
        <w:t>он охватывает более широк</w:t>
      </w:r>
      <w:r>
        <w:t>ий круг нарушений, которые не совсем точно соответствуют определению аутизма или проявляются в сглаженных вариантах его клинической картины. Диагноз «детский аутизм», таким образом, становится частным случаем «расстройств аутистического спектра»**.</w:t>
      </w:r>
    </w:p>
    <w:p w:rsidR="00147F40" w:rsidRDefault="00B32EC9">
      <w:pPr>
        <w:ind w:left="-15" w:right="40"/>
      </w:pPr>
      <w:r>
        <w:t>Отсутст</w:t>
      </w:r>
      <w:r>
        <w:t>вие четкого определения РАС и точных критериев дифференциации аутизма и РАС создают сложности как в понимании и диагностике данных нарушений, так и в представлении об их распространенности. Кроме того, оценка распространенности аутизма и РАС широко варьиру</w:t>
      </w:r>
      <w:r>
        <w:t xml:space="preserve">ет в зависимости от возраста обследованных детей и географического положения страны. </w:t>
      </w:r>
    </w:p>
    <w:p w:rsidR="00147F40" w:rsidRDefault="00B32EC9">
      <w:pPr>
        <w:tabs>
          <w:tab w:val="center" w:pos="1044"/>
          <w:tab w:val="right" w:pos="3880"/>
        </w:tabs>
        <w:spacing w:after="58" w:line="259" w:lineRule="auto"/>
        <w:ind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Современные </w:t>
      </w:r>
      <w:r>
        <w:tab/>
        <w:t>эпидемиологиче-</w:t>
      </w:r>
    </w:p>
    <w:p w:rsidR="00147F40" w:rsidRDefault="00B32EC9">
      <w:pPr>
        <w:spacing w:after="87" w:line="259" w:lineRule="auto"/>
        <w:ind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720001" cy="6350"/>
                <wp:effectExtent l="0" t="0" r="0" b="0"/>
                <wp:docPr id="11576" name="Group 11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" cy="6350"/>
                          <a:chOff x="0" y="0"/>
                          <a:chExt cx="720001" cy="6350"/>
                        </a:xfrm>
                      </wpg:grpSpPr>
                      <wps:wsp>
                        <wps:cNvPr id="90" name="Shape 90"/>
                        <wps:cNvSpPr/>
                        <wps:spPr>
                          <a:xfrm>
                            <a:off x="0" y="0"/>
                            <a:ext cx="7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1">
                                <a:moveTo>
                                  <a:pt x="0" y="0"/>
                                </a:moveTo>
                                <a:lnTo>
                                  <a:pt x="720001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76" style="width:56.693pt;height:0.5pt;mso-position-horizontal-relative:char;mso-position-vertical-relative:line" coordsize="7200,63">
                <v:shape id="Shape 90" style="position:absolute;width:7200;height:0;left:0;top:0;" coordsize="720001,0" path="m0,0l720001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47F40" w:rsidRDefault="00B32EC9">
      <w:pPr>
        <w:spacing w:line="284" w:lineRule="auto"/>
        <w:ind w:left="-15" w:right="39"/>
      </w:pPr>
      <w:r>
        <w:rPr>
          <w:sz w:val="19"/>
        </w:rPr>
        <w:lastRenderedPageBreak/>
        <w:t>** Например, О.С. Никольская по поводу соотношения понятий «аутизм» и «РАС» пишет: «Вокруг ядра классического синдрома, описанного Л. Канн</w:t>
      </w:r>
      <w:r>
        <w:rPr>
          <w:sz w:val="19"/>
        </w:rPr>
        <w:t>ером, группируются множественные случаи сходных нарушений в развитии» [4].</w:t>
      </w:r>
    </w:p>
    <w:p w:rsidR="00147F40" w:rsidRDefault="00B32EC9">
      <w:pPr>
        <w:ind w:left="-15" w:right="40" w:firstLine="0"/>
      </w:pPr>
      <w:r>
        <w:t>ские данные, как правило, оценивают распространенность аутизма, как 1–2 случая на 1000 детского населения, в то время как количество детей с РАС оценивается существенно выше: около 6 детей на 1000 [13].</w:t>
      </w:r>
    </w:p>
    <w:p w:rsidR="00147F40" w:rsidRDefault="00B32EC9">
      <w:pPr>
        <w:ind w:left="-15" w:right="40"/>
      </w:pPr>
      <w:r>
        <w:t>Во многих исследованиях отмечается, что данные об уве</w:t>
      </w:r>
      <w:r>
        <w:t>личении распространенности аутизма связаны, главным образом, с изменением диагностических методов и паттернов, со степенью доступности медицинских услуг и информированием общественности, а также с возрастом на момент установления диагноза. Проведенное в 20</w:t>
      </w:r>
      <w:r>
        <w:t>07 г. исследование, моделировавшее заболеваемость аутизмом, показало, что расширение диагностических критериев, установление диагноза в более молодом возрасте и повышение эффективности выявления случаев заболевания могут привести к увеличению частоты поста</w:t>
      </w:r>
      <w:r>
        <w:t xml:space="preserve">новки этого диагноза в диапазоне до 29-кратного в зависимости от частоты измерения [17]. Исследование 2008 г. показало, что значительное число (40 %) людей с диагнозом «нарушения практического использования речи», который они получили в детском возрасте в </w:t>
      </w:r>
      <w:r>
        <w:t>предыдущие десятилетия, теперь будут иметь диагноз «аутизм». В ходе исследования, проведенного в 2009 г. в Калифорнии, было обнаружено, что зарегистрированная заболеваемость аутизмом выросла с начала 1990-х гг. до 2007 г. в 7–8 раз, что, в том числе, объяс</w:t>
      </w:r>
      <w:r>
        <w:t>няется изменениями диагностических критериев, а именно – включением более легких случаев и установлением диагноза в более раннем возрасте [12].</w:t>
      </w:r>
    </w:p>
    <w:p w:rsidR="00147F40" w:rsidRDefault="00B32EC9">
      <w:pPr>
        <w:spacing w:after="219"/>
        <w:ind w:left="-15" w:right="40"/>
      </w:pPr>
      <w:r>
        <w:t>Помимо описанных сложностей есть существенные расхождения между медицинской и психологопедагогической диагностик</w:t>
      </w:r>
      <w:r>
        <w:t xml:space="preserve">ой аутизма, что нередко приводит к противоположным мнениям врачей и специалистов образования о том, есть ли у ребенка данное нарушение. </w:t>
      </w:r>
    </w:p>
    <w:p w:rsidR="00147F40" w:rsidRDefault="00B32EC9">
      <w:pPr>
        <w:spacing w:after="40" w:line="231" w:lineRule="auto"/>
        <w:ind w:left="335" w:right="0" w:hanging="10"/>
        <w:jc w:val="left"/>
      </w:pPr>
      <w:r>
        <w:rPr>
          <w:rFonts w:ascii="Century Gothic" w:eastAsia="Century Gothic" w:hAnsi="Century Gothic" w:cs="Century Gothic"/>
        </w:rPr>
        <w:t>2. Направления диагностики при аутизме и РАС</w:t>
      </w:r>
    </w:p>
    <w:p w:rsidR="00147F40" w:rsidRDefault="00B32EC9">
      <w:pPr>
        <w:ind w:left="-15" w:right="40"/>
      </w:pPr>
      <w:r>
        <w:t>На наш взгляд, существует возможность выстраивания определенной диагностич</w:t>
      </w:r>
      <w:r>
        <w:t xml:space="preserve">еской логики, которая, хотя бы отчасти, поможет справиться с указанными проблемами. </w:t>
      </w:r>
    </w:p>
    <w:p w:rsidR="00147F40" w:rsidRDefault="00B32EC9">
      <w:pPr>
        <w:ind w:left="-15" w:right="40"/>
      </w:pPr>
      <w:r>
        <w:t xml:space="preserve">1) Диагноз «аутизм», действительно, может быть поставлен только врачом-психиатром. Однако специалистам образования, социальным работникам, родителям должны быть доступны </w:t>
      </w:r>
      <w:r>
        <w:rPr>
          <w:b/>
          <w:i/>
        </w:rPr>
        <w:t>с</w:t>
      </w:r>
      <w:r>
        <w:rPr>
          <w:b/>
          <w:i/>
        </w:rPr>
        <w:t>крининговые методы диагностики</w:t>
      </w:r>
      <w:r>
        <w:t>.</w:t>
      </w:r>
    </w:p>
    <w:p w:rsidR="00147F40" w:rsidRDefault="00B32EC9">
      <w:pPr>
        <w:ind w:left="-15" w:right="40"/>
      </w:pPr>
      <w:r>
        <w:t>Скрининговые тесты предполагают первичную экспресс-диагностику с опорой на основные индикаторы детского аутизма, чтобы определить наличие группы риска в общей популяции детей. Поскольку скрининг не используется для установле</w:t>
      </w:r>
      <w:r>
        <w:t>ния диагноза, его могут осуществлять педиатры, невропатологи, педагоги, психологи, медицинские сестры, сами родители. Среди скрининговых тестов, которые применяются для определения группы риска аутизма, наиболее распространенными являются M-CHAT, CARS, SQR</w:t>
      </w:r>
      <w:r>
        <w:t>, CASD, ASSQ. Их краткое сравнительное описание представлено в таблице.</w:t>
      </w:r>
    </w:p>
    <w:p w:rsidR="00147F40" w:rsidRDefault="00B32EC9">
      <w:pPr>
        <w:ind w:left="-15" w:right="40"/>
      </w:pPr>
      <w:r>
        <w:t>Подчеркнем еще раз, что скрининговые тесты лишь помогают выявить вероятность аутистических нарушений, определить возможную принадлежность ребенка к группе риска по формированию РАС. Ре</w:t>
      </w:r>
      <w:r>
        <w:t xml:space="preserve">зультаты скрининга могут дать повод для обращения к дифференциальной клинической и психолого-педагогической диагностике, но не могут ее заменить. </w:t>
      </w:r>
    </w:p>
    <w:p w:rsidR="00147F40" w:rsidRDefault="00B32EC9">
      <w:pPr>
        <w:spacing w:after="0" w:line="245" w:lineRule="auto"/>
        <w:ind w:left="-15" w:right="37"/>
      </w:pPr>
      <w:r>
        <w:rPr>
          <w:b/>
          <w:i/>
        </w:rPr>
        <w:t>1) Две основные системы клинической диагностики аутизма и РАС</w:t>
      </w:r>
    </w:p>
    <w:p w:rsidR="00147F40" w:rsidRDefault="00B32EC9">
      <w:pPr>
        <w:ind w:left="-15" w:right="40"/>
      </w:pPr>
      <w:r>
        <w:t>Для постановки диагноза «детский аутизм» в наше</w:t>
      </w:r>
      <w:r>
        <w:t>й стране, так же как в большинстве европейских стран, в настоящее время применяется Международная Классификация Болезней 10-го пересмотра (МКБ-10, Всемирная Организация Здравоохранения, 1994)*. В США с этой целью используется Диагностико-Статистический Спр</w:t>
      </w:r>
      <w:r>
        <w:t>авочник по психическим расстройствам (DSM-V, Американская Ассоциация Психиатров, 2013). Две эти системы по своей ориентации являются феноменологическими, то есть ограничиваются перечислением клинических признаков нарушений, не рассматривая их этиологию или</w:t>
      </w:r>
      <w:r>
        <w:t xml:space="preserve"> патогенез.</w:t>
      </w:r>
    </w:p>
    <w:p w:rsidR="00147F40" w:rsidRDefault="00B32EC9">
      <w:pPr>
        <w:ind w:left="-15" w:right="40"/>
      </w:pPr>
      <w:r>
        <w:t>Описание поведенческих характеристик аутизма в этих двух системах почти идентично. Они основываются на триаде нарушений, сформулированной Лорной Винг (1979):</w:t>
      </w:r>
    </w:p>
    <w:p w:rsidR="00147F40" w:rsidRDefault="00B32EC9">
      <w:pPr>
        <w:numPr>
          <w:ilvl w:val="0"/>
          <w:numId w:val="1"/>
        </w:numPr>
        <w:ind w:right="40"/>
      </w:pPr>
      <w:r>
        <w:t>отсутствие или нарушение двухстороннего социального взаимодействия;</w:t>
      </w:r>
    </w:p>
    <w:p w:rsidR="00147F40" w:rsidRDefault="00B32EC9">
      <w:pPr>
        <w:numPr>
          <w:ilvl w:val="0"/>
          <w:numId w:val="1"/>
        </w:numPr>
        <w:ind w:right="40"/>
      </w:pPr>
      <w:r>
        <w:t>отсутствие или нар</w:t>
      </w:r>
      <w:r>
        <w:t>ушение понимания и использования языка, невербального, так же как и вербального;</w:t>
      </w:r>
    </w:p>
    <w:p w:rsidR="00147F40" w:rsidRDefault="00B32EC9">
      <w:pPr>
        <w:numPr>
          <w:ilvl w:val="0"/>
          <w:numId w:val="1"/>
        </w:numPr>
        <w:ind w:right="40"/>
      </w:pPr>
      <w:r>
        <w:t>отсутствие или нарушение истинно гибкой творческой деятельности с заменой на узкий круг повторяющихся, стереотипных занятий [18].</w:t>
      </w:r>
    </w:p>
    <w:p w:rsidR="00147F40" w:rsidRDefault="00B32EC9">
      <w:pPr>
        <w:spacing w:after="40"/>
        <w:ind w:left="-15" w:right="40"/>
      </w:pPr>
      <w:r>
        <w:t>Для того чтобы исключить или установить допол</w:t>
      </w:r>
      <w:r>
        <w:t>нительные факторы, влияющие на постановку диагноза «детский аутизм», врачом часто назначаются специальные лабораторные ис-</w:t>
      </w:r>
    </w:p>
    <w:p w:rsidR="00147F40" w:rsidRDefault="00B32EC9">
      <w:pPr>
        <w:spacing w:after="87" w:line="259" w:lineRule="auto"/>
        <w:ind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720001" cy="6350"/>
                <wp:effectExtent l="0" t="0" r="0" b="0"/>
                <wp:docPr id="12544" name="Group 125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" cy="6350"/>
                          <a:chOff x="0" y="0"/>
                          <a:chExt cx="720001" cy="6350"/>
                        </a:xfrm>
                      </wpg:grpSpPr>
                      <wps:wsp>
                        <wps:cNvPr id="277" name="Shape 277"/>
                        <wps:cNvSpPr/>
                        <wps:spPr>
                          <a:xfrm>
                            <a:off x="0" y="0"/>
                            <a:ext cx="7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1">
                                <a:moveTo>
                                  <a:pt x="0" y="0"/>
                                </a:moveTo>
                                <a:lnTo>
                                  <a:pt x="720001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544" style="width:56.693pt;height:0.5pt;mso-position-horizontal-relative:char;mso-position-vertical-relative:line" coordsize="7200,63">
                <v:shape id="Shape 277" style="position:absolute;width:7200;height:0;left:0;top:0;" coordsize="720001,0" path="m0,0l720001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47F40" w:rsidRDefault="00B32EC9">
      <w:pPr>
        <w:spacing w:line="284" w:lineRule="auto"/>
        <w:ind w:left="-15" w:right="39"/>
      </w:pPr>
      <w:r>
        <w:rPr>
          <w:sz w:val="19"/>
        </w:rPr>
        <w:t>* В июне 2018 г опубликована МКБ-11, но необходимо время для ее перевода на русский язык, в связи с чем официальным диагностическим руководством в России пока что остается МКБ-10</w:t>
      </w:r>
    </w:p>
    <w:p w:rsidR="00147F40" w:rsidRDefault="00B32EC9">
      <w:pPr>
        <w:ind w:left="-15" w:right="40" w:firstLine="0"/>
      </w:pPr>
      <w:r>
        <w:t xml:space="preserve">следования, включающие в себя проверку слуха и зрения, позволяющую исключить </w:t>
      </w:r>
      <w:r>
        <w:t>дефекты органов чувств, ЭКГ головного мозга, позволяющую обнаружить эпилептическую активность и оценить уровень зрелости и функциональной активности мозга, и другие.</w:t>
      </w:r>
    </w:p>
    <w:p w:rsidR="00147F40" w:rsidRDefault="00B32EC9">
      <w:pPr>
        <w:ind w:left="-15" w:right="40"/>
      </w:pPr>
      <w:r>
        <w:t>В МКБ-10 расстройства аутистического спектра (РАС) введены в рубрику F84.00 «Общие расстро</w:t>
      </w:r>
      <w:r>
        <w:t>йства психологического развития», и для диагностики РАС должно быть зафиксировано не менее 6 из перечисленных ниже симптомов (из них не менее двух признаков должны относиться к первой подгруппе и не менее одного – к остальным):</w:t>
      </w:r>
    </w:p>
    <w:p w:rsidR="00147F40" w:rsidRDefault="00B32EC9">
      <w:pPr>
        <w:spacing w:after="0" w:line="245" w:lineRule="auto"/>
        <w:ind w:left="-15" w:right="39"/>
      </w:pPr>
      <w:r>
        <w:rPr>
          <w:i/>
        </w:rPr>
        <w:t>1. Качественные нарушения со</w:t>
      </w:r>
      <w:r>
        <w:rPr>
          <w:i/>
        </w:rPr>
        <w:t>циального взаимодействия:</w:t>
      </w:r>
    </w:p>
    <w:p w:rsidR="00147F40" w:rsidRDefault="00B32EC9">
      <w:pPr>
        <w:numPr>
          <w:ilvl w:val="0"/>
          <w:numId w:val="2"/>
        </w:numPr>
        <w:ind w:right="40"/>
      </w:pPr>
      <w:r>
        <w:t>невозможность в общении ис-пользовать взгляд, мимические реакции, жесты и позу в целях взаимопонимания;</w:t>
      </w:r>
    </w:p>
    <w:p w:rsidR="00147F40" w:rsidRDefault="00B32EC9">
      <w:pPr>
        <w:numPr>
          <w:ilvl w:val="0"/>
          <w:numId w:val="2"/>
        </w:numPr>
        <w:ind w:right="40"/>
      </w:pPr>
      <w:r>
        <w:t>неспособность к формированию взаимодействия со сверстниками на почве общих интересов, деятельности, эмоций;</w:t>
      </w:r>
    </w:p>
    <w:p w:rsidR="00147F40" w:rsidRDefault="00B32EC9">
      <w:pPr>
        <w:numPr>
          <w:ilvl w:val="0"/>
          <w:numId w:val="2"/>
        </w:numPr>
        <w:ind w:right="40"/>
      </w:pPr>
      <w:r>
        <w:t>неспособность, несмотря на име-ющиеся формальные предпосылки, к установлению адекватных возрасту форм общения;</w:t>
      </w:r>
    </w:p>
    <w:p w:rsidR="00147F40" w:rsidRDefault="00B32EC9">
      <w:pPr>
        <w:numPr>
          <w:ilvl w:val="0"/>
          <w:numId w:val="2"/>
        </w:numPr>
        <w:ind w:right="40"/>
      </w:pPr>
      <w:r>
        <w:t>неспособность, отсутствие или девиантный тип реагирования на чувства окружающих, нарушение модуляции поведения в соответствии с социальным контек</w:t>
      </w:r>
      <w:r>
        <w:t>стом или нестойкая интеграция социального, эмоционального и коммуникативного поведения;</w:t>
      </w:r>
    </w:p>
    <w:p w:rsidR="00147F40" w:rsidRDefault="00B32EC9">
      <w:pPr>
        <w:numPr>
          <w:ilvl w:val="0"/>
          <w:numId w:val="2"/>
        </w:numPr>
        <w:ind w:right="40"/>
      </w:pPr>
      <w:r>
        <w:t>неспособность к спонтанному переживанию радости, интересов или деятельности с окружающими.</w:t>
      </w:r>
    </w:p>
    <w:p w:rsidR="00147F40" w:rsidRDefault="00B32EC9">
      <w:pPr>
        <w:spacing w:after="0" w:line="245" w:lineRule="auto"/>
        <w:ind w:left="-15" w:right="39"/>
      </w:pPr>
      <w:r>
        <w:rPr>
          <w:i/>
        </w:rPr>
        <w:t>2. Качественные изменения коммуникации:</w:t>
      </w:r>
    </w:p>
    <w:p w:rsidR="00147F40" w:rsidRDefault="00B32EC9">
      <w:pPr>
        <w:numPr>
          <w:ilvl w:val="0"/>
          <w:numId w:val="3"/>
        </w:numPr>
        <w:ind w:right="40"/>
      </w:pPr>
      <w:r>
        <w:t>задержка или полная остановка в разви</w:t>
      </w:r>
      <w:r>
        <w:t>тии разговорной речи, что не сопровождается компенсаторными мимикой, жестами как альтернативной формой общения;</w:t>
      </w:r>
    </w:p>
    <w:p w:rsidR="00147F40" w:rsidRDefault="00B32EC9">
      <w:pPr>
        <w:numPr>
          <w:ilvl w:val="0"/>
          <w:numId w:val="3"/>
        </w:numPr>
        <w:ind w:right="40"/>
      </w:pPr>
      <w:r>
        <w:t>относительная или полная не-возможность вступить в общение или поддержать речевой контакт на соответствующем уровне с другими лицами;</w:t>
      </w:r>
    </w:p>
    <w:p w:rsidR="00147F40" w:rsidRDefault="00B32EC9">
      <w:pPr>
        <w:numPr>
          <w:ilvl w:val="0"/>
          <w:numId w:val="3"/>
        </w:numPr>
        <w:spacing w:after="185" w:line="259" w:lineRule="auto"/>
        <w:ind w:right="40"/>
      </w:pPr>
      <w:r>
        <w:t>стереотипи</w:t>
      </w:r>
      <w:r>
        <w:t>и в речи или неадек-</w:t>
      </w:r>
    </w:p>
    <w:tbl>
      <w:tblPr>
        <w:tblStyle w:val="TableGrid"/>
        <w:tblpPr w:vertAnchor="text" w:horzAnchor="margin" w:tblpX="291" w:tblpY="241"/>
        <w:tblOverlap w:val="never"/>
        <w:tblW w:w="7994" w:type="dxa"/>
        <w:tblInd w:w="0" w:type="dxa"/>
        <w:tblCellMar>
          <w:top w:w="36" w:type="dxa"/>
          <w:left w:w="57" w:type="dxa"/>
          <w:bottom w:w="0" w:type="dxa"/>
          <w:right w:w="20" w:type="dxa"/>
        </w:tblCellMar>
        <w:tblLook w:val="04A0" w:firstRow="1" w:lastRow="0" w:firstColumn="1" w:lastColumn="0" w:noHBand="0" w:noVBand="1"/>
      </w:tblPr>
      <w:tblGrid>
        <w:gridCol w:w="340"/>
        <w:gridCol w:w="1361"/>
        <w:gridCol w:w="1871"/>
        <w:gridCol w:w="1871"/>
        <w:gridCol w:w="1134"/>
        <w:gridCol w:w="1417"/>
      </w:tblGrid>
      <w:tr w:rsidR="00147F40">
        <w:trPr>
          <w:trHeight w:val="52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:rsidR="00147F40" w:rsidRDefault="00B32EC9">
            <w:pPr>
              <w:spacing w:after="0" w:line="259" w:lineRule="auto"/>
              <w:ind w:left="14" w:right="0" w:firstLine="0"/>
            </w:pPr>
            <w:r>
              <w:rPr>
                <w:b/>
                <w:sz w:val="19"/>
              </w:rPr>
              <w:t>№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right="36" w:firstLine="0"/>
              <w:jc w:val="center"/>
            </w:pPr>
            <w:r>
              <w:rPr>
                <w:b/>
                <w:sz w:val="19"/>
              </w:rPr>
              <w:t xml:space="preserve">Название </w:t>
            </w:r>
          </w:p>
          <w:p w:rsidR="00147F40" w:rsidRDefault="00B32EC9">
            <w:pPr>
              <w:spacing w:after="0" w:line="259" w:lineRule="auto"/>
              <w:ind w:left="21" w:right="0" w:firstLine="0"/>
            </w:pPr>
            <w:r>
              <w:rPr>
                <w:b/>
                <w:sz w:val="19"/>
              </w:rPr>
              <w:t>скрининг-теста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right="36" w:firstLine="0"/>
              <w:jc w:val="center"/>
            </w:pPr>
            <w:r>
              <w:rPr>
                <w:b/>
                <w:sz w:val="19"/>
              </w:rPr>
              <w:t>Описание/адапта-</w:t>
            </w:r>
          </w:p>
          <w:p w:rsidR="00147F40" w:rsidRDefault="00B32EC9">
            <w:pPr>
              <w:spacing w:after="0" w:line="259" w:lineRule="auto"/>
              <w:ind w:right="36" w:firstLine="0"/>
              <w:jc w:val="center"/>
            </w:pPr>
            <w:r>
              <w:rPr>
                <w:b/>
                <w:sz w:val="19"/>
              </w:rPr>
              <w:t>ция/апробация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left="88" w:right="0" w:firstLine="0"/>
              <w:jc w:val="left"/>
            </w:pPr>
            <w:r>
              <w:rPr>
                <w:b/>
                <w:sz w:val="19"/>
              </w:rPr>
              <w:t>Области диагности-</w:t>
            </w:r>
          </w:p>
          <w:p w:rsidR="00147F40" w:rsidRDefault="00B32EC9">
            <w:pPr>
              <w:spacing w:after="0" w:line="259" w:lineRule="auto"/>
              <w:ind w:right="36" w:firstLine="0"/>
              <w:jc w:val="center"/>
            </w:pPr>
            <w:r>
              <w:rPr>
                <w:b/>
                <w:sz w:val="19"/>
              </w:rPr>
              <w:t>ческих критериев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:rsidR="00147F40" w:rsidRDefault="00B32EC9">
            <w:pPr>
              <w:spacing w:after="0" w:line="259" w:lineRule="auto"/>
              <w:ind w:right="36" w:firstLine="0"/>
              <w:jc w:val="center"/>
            </w:pPr>
            <w:r>
              <w:rPr>
                <w:b/>
                <w:sz w:val="19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left="27" w:right="0" w:firstLine="0"/>
            </w:pPr>
            <w:r>
              <w:rPr>
                <w:b/>
                <w:sz w:val="19"/>
              </w:rPr>
              <w:t>Оценка резуль-</w:t>
            </w:r>
          </w:p>
          <w:p w:rsidR="00147F40" w:rsidRDefault="00B32EC9">
            <w:pPr>
              <w:spacing w:after="0" w:line="259" w:lineRule="auto"/>
              <w:ind w:left="13" w:right="0" w:firstLine="0"/>
            </w:pPr>
            <w:r>
              <w:rPr>
                <w:b/>
                <w:sz w:val="19"/>
              </w:rPr>
              <w:t>тата (критерии)</w:t>
            </w:r>
          </w:p>
        </w:tc>
      </w:tr>
      <w:tr w:rsidR="00147F40">
        <w:trPr>
          <w:trHeight w:val="261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8" w:right="0" w:firstLine="0"/>
              <w:jc w:val="left"/>
            </w:pPr>
            <w:r>
              <w:rPr>
                <w:sz w:val="19"/>
              </w:rPr>
              <w:t>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М-CHAT-R (Модифицированный скрининговый тест на аутизм)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Начало использованию опросника было положено в штатах Коннектикут и Нью Ингланд (США), в исследовании приняло участие 33 000 детей. Главной целью теста M-CHAT-R является только выявление риска наличия аутизма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7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Нарушения общения</w:t>
            </w:r>
          </w:p>
          <w:p w:rsidR="00147F40" w:rsidRDefault="00B32EC9">
            <w:pPr>
              <w:numPr>
                <w:ilvl w:val="0"/>
                <w:numId w:val="7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Нарушения социального взаимодействия</w:t>
            </w:r>
          </w:p>
          <w:p w:rsidR="00147F40" w:rsidRDefault="00B32EC9">
            <w:pPr>
              <w:numPr>
                <w:ilvl w:val="0"/>
                <w:numId w:val="7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Стереотипные формы поведения</w:t>
            </w:r>
          </w:p>
          <w:p w:rsidR="00147F40" w:rsidRDefault="00B32EC9">
            <w:pPr>
              <w:numPr>
                <w:ilvl w:val="0"/>
                <w:numId w:val="7"/>
              </w:num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Соматосенсорные нарушения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center"/>
            </w:pPr>
            <w:r>
              <w:rPr>
                <w:sz w:val="19"/>
              </w:rPr>
              <w:t>От 16 до 30 месяцев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180" w:line="259" w:lineRule="auto"/>
              <w:ind w:right="0" w:firstLine="0"/>
              <w:jc w:val="left"/>
            </w:pPr>
            <w:r>
              <w:rPr>
                <w:sz w:val="19"/>
              </w:rPr>
              <w:t>Высокий риск</w:t>
            </w:r>
          </w:p>
          <w:p w:rsidR="00147F40" w:rsidRDefault="00B32EC9">
            <w:pPr>
              <w:spacing w:after="180" w:line="259" w:lineRule="auto"/>
              <w:ind w:right="0" w:firstLine="0"/>
              <w:jc w:val="left"/>
            </w:pPr>
            <w:r>
              <w:rPr>
                <w:sz w:val="19"/>
              </w:rPr>
              <w:t>Средний риск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Низкий риск</w:t>
            </w:r>
          </w:p>
        </w:tc>
      </w:tr>
      <w:tr w:rsidR="00147F40">
        <w:trPr>
          <w:trHeight w:val="6170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8" w:right="0" w:firstLine="0"/>
              <w:jc w:val="left"/>
            </w:pPr>
            <w:r>
              <w:rPr>
                <w:sz w:val="19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CARS (Диагностическая шкала раннего детского аутизма)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 xml:space="preserve">Наиболее распространен в США. Тест базируется на клинических наблюдениях за поведением ребенка, включает 15 функциональных групп по 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4 варианта ответа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8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Отношение к людям</w:t>
            </w:r>
          </w:p>
          <w:p w:rsidR="00147F40" w:rsidRDefault="00B32EC9">
            <w:pPr>
              <w:numPr>
                <w:ilvl w:val="0"/>
                <w:numId w:val="8"/>
              </w:num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Имитация</w:t>
            </w:r>
          </w:p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3.Эмоциональный ответ</w:t>
            </w:r>
          </w:p>
          <w:p w:rsidR="00147F40" w:rsidRDefault="00B32EC9">
            <w:pPr>
              <w:spacing w:after="0" w:line="228" w:lineRule="auto"/>
              <w:ind w:right="241" w:firstLine="0"/>
              <w:jc w:val="left"/>
            </w:pPr>
            <w:r>
              <w:rPr>
                <w:sz w:val="19"/>
              </w:rPr>
              <w:t>4. Владение телом 5. Использование предметов</w:t>
            </w:r>
          </w:p>
          <w:p w:rsidR="00147F40" w:rsidRDefault="00B32EC9">
            <w:pPr>
              <w:numPr>
                <w:ilvl w:val="0"/>
                <w:numId w:val="9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Адаптация к изменениям</w:t>
            </w:r>
          </w:p>
          <w:p w:rsidR="00147F40" w:rsidRDefault="00B32EC9">
            <w:pPr>
              <w:numPr>
                <w:ilvl w:val="0"/>
                <w:numId w:val="9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Использование зрения</w:t>
            </w:r>
          </w:p>
          <w:p w:rsidR="00147F40" w:rsidRDefault="00B32EC9">
            <w:pPr>
              <w:numPr>
                <w:ilvl w:val="0"/>
                <w:numId w:val="9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Использование слуха</w:t>
            </w:r>
          </w:p>
          <w:p w:rsidR="00147F40" w:rsidRDefault="00B32EC9">
            <w:pPr>
              <w:numPr>
                <w:ilvl w:val="0"/>
                <w:numId w:val="9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Ответ и использование обоняния, осязания и вкуса</w:t>
            </w:r>
          </w:p>
          <w:p w:rsidR="00147F40" w:rsidRDefault="00B32EC9">
            <w:pPr>
              <w:numPr>
                <w:ilvl w:val="0"/>
                <w:numId w:val="9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Нервозность и страхи</w:t>
            </w:r>
          </w:p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11.Вербальная коммуникация</w:t>
            </w:r>
          </w:p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12. Невербальная коммуникация</w:t>
            </w:r>
          </w:p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13.Уровень активности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14. Уровень и согласованность интеллектуального ответа 15.Общее впечатление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21" w:right="18" w:firstLine="0"/>
              <w:jc w:val="center"/>
            </w:pPr>
            <w:r>
              <w:rPr>
                <w:sz w:val="19"/>
              </w:rPr>
              <w:t>От 2-х до 4-х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209" w:line="228" w:lineRule="auto"/>
              <w:ind w:right="0" w:firstLine="0"/>
              <w:jc w:val="left"/>
            </w:pPr>
            <w:r>
              <w:rPr>
                <w:sz w:val="19"/>
              </w:rPr>
              <w:t>Тяжелый аутизм</w:t>
            </w:r>
          </w:p>
          <w:p w:rsidR="00147F40" w:rsidRDefault="00B32EC9">
            <w:pPr>
              <w:spacing w:after="0" w:line="259" w:lineRule="auto"/>
              <w:ind w:right="40" w:firstLine="0"/>
              <w:jc w:val="left"/>
            </w:pPr>
            <w:r>
              <w:rPr>
                <w:sz w:val="19"/>
              </w:rPr>
              <w:t>Проявления аутизма от легкого до среднего Нет аутизма</w:t>
            </w:r>
          </w:p>
        </w:tc>
      </w:tr>
    </w:tbl>
    <w:p w:rsidR="00147F40" w:rsidRDefault="00B32EC9">
      <w:pPr>
        <w:spacing w:after="3" w:line="259" w:lineRule="auto"/>
        <w:ind w:left="-5" w:right="0" w:hanging="10"/>
        <w:jc w:val="left"/>
      </w:pPr>
      <w:r>
        <w:rPr>
          <w:rFonts w:ascii="Century Gothic" w:eastAsia="Century Gothic" w:hAnsi="Century Gothic" w:cs="Century Gothic"/>
          <w:sz w:val="17"/>
        </w:rPr>
        <w:t>таблица</w:t>
      </w:r>
    </w:p>
    <w:p w:rsidR="00147F40" w:rsidRDefault="00B32EC9">
      <w:pPr>
        <w:ind w:left="-15" w:right="40" w:firstLine="0"/>
      </w:pPr>
      <w:r>
        <w:t>ватное использование слов и фраз, контуров – отсутствие символических игр в раннем возрасте, игр социального содержания.</w:t>
      </w:r>
    </w:p>
    <w:p w:rsidR="00147F40" w:rsidRDefault="00B32EC9">
      <w:pPr>
        <w:spacing w:after="0" w:line="245" w:lineRule="auto"/>
        <w:ind w:left="-15" w:right="39"/>
      </w:pPr>
      <w:r>
        <w:rPr>
          <w:i/>
        </w:rPr>
        <w:t>3. Ограниченные и повторяющиеся стереотипные шаблоны в поведении, интересах, деятельности:</w:t>
      </w:r>
    </w:p>
    <w:p w:rsidR="00147F40" w:rsidRDefault="00B32EC9">
      <w:pPr>
        <w:numPr>
          <w:ilvl w:val="0"/>
          <w:numId w:val="4"/>
        </w:numPr>
        <w:ind w:right="40"/>
      </w:pPr>
      <w:r>
        <w:t>обращенность к одному или не-скольким стерео</w:t>
      </w:r>
      <w:r>
        <w:t xml:space="preserve">типным интересам, </w:t>
      </w:r>
      <w:r>
        <w:br w:type="page"/>
      </w:r>
    </w:p>
    <w:p w:rsidR="00147F40" w:rsidRDefault="00B32EC9">
      <w:pPr>
        <w:ind w:left="-15" w:right="40" w:firstLine="0"/>
      </w:pPr>
      <w:r>
        <w:t>аномальным по содержанию, фиксация на неспецифических, нефункциональных поведенческих формах или ритуальных действиях, стереотипные движения в верхних конечностях или сложные движения всем телом;</w:t>
      </w:r>
    </w:p>
    <w:p w:rsidR="00147F40" w:rsidRDefault="00B32EC9">
      <w:pPr>
        <w:numPr>
          <w:ilvl w:val="0"/>
          <w:numId w:val="4"/>
        </w:numPr>
        <w:ind w:right="40"/>
      </w:pPr>
      <w:r>
        <w:t>преимущественная занятость от-дельными о</w:t>
      </w:r>
      <w:r>
        <w:t>бъектами или нефункциональными элементами игрового материала.</w:t>
      </w:r>
    </w:p>
    <w:p w:rsidR="00147F40" w:rsidRDefault="00B32EC9">
      <w:pPr>
        <w:numPr>
          <w:ilvl w:val="0"/>
          <w:numId w:val="5"/>
        </w:numPr>
        <w:spacing w:after="0" w:line="245" w:lineRule="auto"/>
        <w:ind w:right="39"/>
      </w:pPr>
      <w:r>
        <w:rPr>
          <w:i/>
        </w:rPr>
        <w:t>Неспецифические проблемы – страхи, фобии, возбуждение, нарушения сна и привычек приема пищи, приступы ярости, агрессия, самоповреждения.</w:t>
      </w:r>
    </w:p>
    <w:p w:rsidR="00147F40" w:rsidRDefault="00B32EC9">
      <w:pPr>
        <w:numPr>
          <w:ilvl w:val="0"/>
          <w:numId w:val="5"/>
        </w:numPr>
        <w:spacing w:after="0" w:line="245" w:lineRule="auto"/>
        <w:ind w:right="39"/>
      </w:pPr>
      <w:r>
        <w:rPr>
          <w:i/>
        </w:rPr>
        <w:t>Манифестация симптомов до трехлетнего возраста.</w:t>
      </w:r>
    </w:p>
    <w:p w:rsidR="00147F40" w:rsidRDefault="00B32EC9">
      <w:pPr>
        <w:ind w:left="-15" w:right="40"/>
      </w:pPr>
      <w:r>
        <w:t>При диагн</w:t>
      </w:r>
      <w:r>
        <w:t xml:space="preserve">остике аутистических расстройств (синдрома Каннера, детского психоза, атипичного детского </w:t>
      </w:r>
    </w:p>
    <w:tbl>
      <w:tblPr>
        <w:tblStyle w:val="TableGrid"/>
        <w:tblpPr w:vertAnchor="text" w:horzAnchor="margin" w:tblpX="-278"/>
        <w:tblOverlap w:val="never"/>
        <w:tblW w:w="7994" w:type="dxa"/>
        <w:tblInd w:w="0" w:type="dxa"/>
        <w:tblCellMar>
          <w:top w:w="36" w:type="dxa"/>
          <w:left w:w="57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340"/>
        <w:gridCol w:w="1361"/>
        <w:gridCol w:w="1871"/>
        <w:gridCol w:w="1871"/>
        <w:gridCol w:w="1134"/>
        <w:gridCol w:w="1417"/>
      </w:tblGrid>
      <w:tr w:rsidR="00147F40">
        <w:trPr>
          <w:trHeight w:val="52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:rsidR="00147F40" w:rsidRDefault="00B32EC9">
            <w:pPr>
              <w:spacing w:after="0" w:line="259" w:lineRule="auto"/>
              <w:ind w:left="14" w:right="0" w:firstLine="0"/>
            </w:pPr>
            <w:r>
              <w:rPr>
                <w:b/>
                <w:sz w:val="19"/>
              </w:rPr>
              <w:t>№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right="35" w:firstLine="0"/>
              <w:jc w:val="center"/>
            </w:pPr>
            <w:r>
              <w:rPr>
                <w:b/>
                <w:sz w:val="19"/>
              </w:rPr>
              <w:t xml:space="preserve">Название </w:t>
            </w:r>
          </w:p>
          <w:p w:rsidR="00147F40" w:rsidRDefault="00B32EC9">
            <w:pPr>
              <w:spacing w:after="0" w:line="259" w:lineRule="auto"/>
              <w:ind w:left="22" w:right="0" w:firstLine="0"/>
            </w:pPr>
            <w:r>
              <w:rPr>
                <w:b/>
                <w:sz w:val="19"/>
              </w:rPr>
              <w:t>скрининг-теста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right="35" w:firstLine="0"/>
              <w:jc w:val="center"/>
            </w:pPr>
            <w:r>
              <w:rPr>
                <w:b/>
                <w:sz w:val="19"/>
              </w:rPr>
              <w:t>Описание/адапта-</w:t>
            </w:r>
          </w:p>
          <w:p w:rsidR="00147F40" w:rsidRDefault="00B32EC9">
            <w:pPr>
              <w:spacing w:after="0" w:line="259" w:lineRule="auto"/>
              <w:ind w:right="35" w:firstLine="0"/>
              <w:jc w:val="center"/>
            </w:pPr>
            <w:r>
              <w:rPr>
                <w:b/>
                <w:sz w:val="19"/>
              </w:rPr>
              <w:t>ция/апробация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left="88" w:right="0" w:firstLine="0"/>
              <w:jc w:val="left"/>
            </w:pPr>
            <w:r>
              <w:rPr>
                <w:b/>
                <w:sz w:val="19"/>
              </w:rPr>
              <w:t>Области диагности-</w:t>
            </w:r>
          </w:p>
          <w:p w:rsidR="00147F40" w:rsidRDefault="00B32EC9">
            <w:pPr>
              <w:spacing w:after="0" w:line="259" w:lineRule="auto"/>
              <w:ind w:right="35" w:firstLine="0"/>
              <w:jc w:val="center"/>
            </w:pPr>
            <w:r>
              <w:rPr>
                <w:b/>
                <w:sz w:val="19"/>
              </w:rPr>
              <w:t>ческих критериев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  <w:vAlign w:val="center"/>
          </w:tcPr>
          <w:p w:rsidR="00147F40" w:rsidRDefault="00B32EC9">
            <w:pPr>
              <w:spacing w:after="0" w:line="259" w:lineRule="auto"/>
              <w:ind w:right="35" w:firstLine="0"/>
              <w:jc w:val="center"/>
            </w:pPr>
            <w:r>
              <w:rPr>
                <w:b/>
                <w:sz w:val="19"/>
              </w:rPr>
              <w:t>Возраст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left="27" w:right="0" w:firstLine="0"/>
            </w:pPr>
            <w:r>
              <w:rPr>
                <w:b/>
                <w:sz w:val="19"/>
              </w:rPr>
              <w:t>Оценка резуль-</w:t>
            </w:r>
          </w:p>
          <w:p w:rsidR="00147F40" w:rsidRDefault="00B32EC9">
            <w:pPr>
              <w:spacing w:after="0" w:line="259" w:lineRule="auto"/>
              <w:ind w:left="13" w:right="0" w:firstLine="0"/>
            </w:pPr>
            <w:r>
              <w:rPr>
                <w:b/>
                <w:sz w:val="19"/>
              </w:rPr>
              <w:t>тата (критерии)</w:t>
            </w:r>
          </w:p>
        </w:tc>
      </w:tr>
      <w:tr w:rsidR="00147F40">
        <w:trPr>
          <w:trHeight w:val="261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9" w:right="0" w:firstLine="0"/>
              <w:jc w:val="left"/>
            </w:pPr>
            <w:r>
              <w:rPr>
                <w:sz w:val="19"/>
              </w:rPr>
              <w:t>3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 xml:space="preserve">CASD (Шкала Расстройств </w:t>
            </w:r>
          </w:p>
          <w:p w:rsidR="00147F40" w:rsidRDefault="00B32EC9">
            <w:pPr>
              <w:spacing w:after="0" w:line="259" w:lineRule="auto"/>
              <w:ind w:right="0" w:firstLine="0"/>
            </w:pPr>
            <w:r>
              <w:rPr>
                <w:sz w:val="19"/>
              </w:rPr>
              <w:t xml:space="preserve">Аутистического 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Спектра)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 xml:space="preserve">CASD адаптирован и апробирован на 2469 детях с аутизмом, другими заболеваниями и исследуемых без нарушений развития. CASD охватывает 30 основных и сопутствующих симптомов аутизма и соответствует критериям 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DSM-V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10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Проблемы с социальным взаимодействием</w:t>
            </w:r>
          </w:p>
          <w:p w:rsidR="00147F40" w:rsidRDefault="00B32EC9">
            <w:pPr>
              <w:numPr>
                <w:ilvl w:val="0"/>
                <w:numId w:val="10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Персеверация3.Соматосенсорные нарушения</w:t>
            </w:r>
          </w:p>
          <w:p w:rsidR="00147F40" w:rsidRDefault="00B32EC9">
            <w:pPr>
              <w:numPr>
                <w:ilvl w:val="0"/>
                <w:numId w:val="11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Атипичное общение и развитие</w:t>
            </w:r>
          </w:p>
          <w:p w:rsidR="00147F40" w:rsidRDefault="00B32EC9">
            <w:pPr>
              <w:numPr>
                <w:ilvl w:val="0"/>
                <w:numId w:val="11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Расстройства настроения</w:t>
            </w:r>
          </w:p>
          <w:p w:rsidR="00147F40" w:rsidRDefault="00B32EC9">
            <w:pPr>
              <w:numPr>
                <w:ilvl w:val="0"/>
                <w:numId w:val="11"/>
              </w:num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Проблемы с вниманием и безопасностью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35" w:firstLine="0"/>
              <w:jc w:val="center"/>
            </w:pPr>
            <w:r>
              <w:rPr>
                <w:sz w:val="19"/>
              </w:rPr>
              <w:t>1–16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F40" w:rsidRDefault="00B32EC9">
            <w:pPr>
              <w:spacing w:after="209" w:line="228" w:lineRule="auto"/>
              <w:ind w:right="0" w:firstLine="0"/>
              <w:jc w:val="left"/>
            </w:pPr>
            <w:r>
              <w:rPr>
                <w:sz w:val="19"/>
              </w:rPr>
              <w:t>Расстройства спектра аутизма</w:t>
            </w:r>
          </w:p>
          <w:p w:rsidR="00147F40" w:rsidRDefault="00B32EC9">
            <w:pPr>
              <w:spacing w:after="209" w:line="228" w:lineRule="auto"/>
              <w:ind w:right="0" w:firstLine="0"/>
              <w:jc w:val="left"/>
            </w:pPr>
            <w:r>
              <w:rPr>
                <w:sz w:val="19"/>
              </w:rPr>
              <w:t>Другие заболевания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Типичное развитие</w:t>
            </w:r>
          </w:p>
        </w:tc>
      </w:tr>
      <w:tr w:rsidR="00147F40">
        <w:trPr>
          <w:trHeight w:val="1781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9" w:right="0" w:firstLine="0"/>
              <w:jc w:val="left"/>
            </w:pPr>
            <w:r>
              <w:rPr>
                <w:sz w:val="19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 xml:space="preserve">SQR 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(Социально-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ком му ни кат ивный опросник)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28" w:lineRule="auto"/>
              <w:ind w:right="123" w:firstLine="0"/>
              <w:jc w:val="left"/>
            </w:pPr>
            <w:r>
              <w:rPr>
                <w:sz w:val="19"/>
              </w:rPr>
              <w:t xml:space="preserve">SQR cостоит из 40 пунктов и основан на диагностических 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 xml:space="preserve">критериях МКБ-10 и 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DSM-IV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12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Нарушения общения</w:t>
            </w:r>
          </w:p>
          <w:p w:rsidR="00147F40" w:rsidRDefault="00B32EC9">
            <w:pPr>
              <w:numPr>
                <w:ilvl w:val="0"/>
                <w:numId w:val="12"/>
              </w:num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 xml:space="preserve">Нарушениясоциального взаимодействия 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3.Стереотипные и повторяющиеся формы поведения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35" w:firstLine="0"/>
              <w:jc w:val="center"/>
            </w:pPr>
            <w:r>
              <w:rPr>
                <w:sz w:val="19"/>
              </w:rPr>
              <w:t xml:space="preserve">Старше </w:t>
            </w:r>
          </w:p>
          <w:p w:rsidR="00147F40" w:rsidRDefault="00B32EC9">
            <w:pPr>
              <w:spacing w:after="0" w:line="228" w:lineRule="auto"/>
              <w:ind w:right="0" w:firstLine="0"/>
              <w:jc w:val="center"/>
            </w:pPr>
            <w:r>
              <w:rPr>
                <w:sz w:val="19"/>
              </w:rPr>
              <w:t xml:space="preserve">4-х лет при условии, </w:t>
            </w:r>
          </w:p>
          <w:p w:rsidR="00147F40" w:rsidRDefault="00B32EC9">
            <w:pPr>
              <w:spacing w:after="0" w:line="228" w:lineRule="auto"/>
              <w:ind w:right="0" w:firstLine="0"/>
              <w:jc w:val="center"/>
            </w:pPr>
            <w:r>
              <w:rPr>
                <w:sz w:val="19"/>
              </w:rPr>
              <w:t>что уровень психи-</w:t>
            </w:r>
          </w:p>
          <w:p w:rsidR="00147F40" w:rsidRDefault="00B32EC9">
            <w:pPr>
              <w:spacing w:after="0" w:line="259" w:lineRule="auto"/>
              <w:ind w:right="0" w:firstLine="0"/>
              <w:jc w:val="center"/>
            </w:pPr>
            <w:r>
              <w:rPr>
                <w:sz w:val="19"/>
              </w:rPr>
              <w:t>ческого развития больше 2-х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F40" w:rsidRDefault="00B32EC9">
            <w:pPr>
              <w:spacing w:after="0" w:line="228" w:lineRule="auto"/>
              <w:ind w:right="0" w:firstLine="0"/>
              <w:jc w:val="left"/>
            </w:pPr>
            <w:r>
              <w:rPr>
                <w:sz w:val="19"/>
              </w:rPr>
              <w:t>Расстройства спектра аутизма  Другие заболевания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Типичное развитие</w:t>
            </w:r>
          </w:p>
        </w:tc>
      </w:tr>
      <w:tr w:rsidR="00147F40">
        <w:trPr>
          <w:trHeight w:val="1572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8" w:right="0" w:firstLine="0"/>
              <w:jc w:val="left"/>
            </w:pPr>
            <w:r>
              <w:rPr>
                <w:sz w:val="19"/>
              </w:rPr>
              <w:t>5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ASSQ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Используется для обнаружения признаков аутизма. На вопросы могут ответить родители или сам испытуемый для самодиагностики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28" w:lineRule="auto"/>
              <w:ind w:right="228" w:firstLine="0"/>
              <w:jc w:val="left"/>
            </w:pPr>
            <w:r>
              <w:rPr>
                <w:sz w:val="19"/>
              </w:rPr>
              <w:t>1. Общение со сверстниками 2. Поведение</w:t>
            </w:r>
          </w:p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3. 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center"/>
            </w:pPr>
            <w:r>
              <w:rPr>
                <w:sz w:val="19"/>
              </w:rPr>
              <w:t>От 6 до 16 лет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113" w:firstLine="0"/>
              <w:jc w:val="left"/>
            </w:pPr>
            <w:r>
              <w:rPr>
                <w:sz w:val="19"/>
              </w:rPr>
              <w:t>Повышенная вероятность аутизма Есть вероятность аутизма Отсутствие аутизма</w:t>
            </w:r>
          </w:p>
        </w:tc>
      </w:tr>
    </w:tbl>
    <w:p w:rsidR="00147F40" w:rsidRDefault="00B32EC9">
      <w:pPr>
        <w:ind w:left="-15" w:right="40" w:firstLine="0"/>
      </w:pPr>
      <w:r>
        <w:t>психоза, синдрома Аспергера, синдрома Ретта, умственной отсталости с чертами аутизма и др.) должны присутствовать перечисленные общие критерии расстройств психического развития, и, в то же время, каждая из выделенных подрубрик имеет свои особенности.</w:t>
      </w:r>
    </w:p>
    <w:p w:rsidR="00147F40" w:rsidRDefault="00B32EC9">
      <w:pPr>
        <w:ind w:left="-15" w:right="40"/>
      </w:pPr>
      <w:r>
        <w:t>В DSM</w:t>
      </w:r>
      <w:r>
        <w:t>-5 (2013) аутистические расстройства обозначены как «расстройства аутистического спектра» («РАС») – 299 (F84.00). Уточняется, что проявления заболевания сильно различаются в зависимости от тяжести аутизма, уровня развития и хронологического возраста, и поэ</w:t>
      </w:r>
      <w:r>
        <w:t>тому используется термин «спектр». Тяжесть состояния определяется ухудшением и ограничением социального взаимодействия, повторяющейся картиной поведения. РАС в данной системе охватывают расстройства, ранее упомянутые как ранний детский аутизм, синдром Канн</w:t>
      </w:r>
      <w:r>
        <w:t>ера, высокофункциональный аутизм, атипичный аутизм, детское дезинтегративное расстройство и расстройство Аспергера.</w:t>
      </w:r>
    </w:p>
    <w:p w:rsidR="00147F40" w:rsidRDefault="00B32EC9">
      <w:pPr>
        <w:ind w:left="-15" w:right="40"/>
      </w:pPr>
      <w:r>
        <w:t>Перечисленные в классификационных системах критерии не могут охватить всех проявлений нарушения, что часто осложняет постановку диагноза. Кр</w:t>
      </w:r>
      <w:r>
        <w:t>оме того, неточность клинической диагностики может быть вызвана индивидуальными различиями выраженности симптомов; более того, один и тот же ребенок может проявлять различную симптоматику в разных возрастах. Часто диагностика аутизма осложняется присутстви</w:t>
      </w:r>
      <w:r>
        <w:t>ем симптомов других нарушений.</w:t>
      </w:r>
    </w:p>
    <w:p w:rsidR="00147F40" w:rsidRDefault="00B32EC9">
      <w:pPr>
        <w:ind w:left="-15" w:right="40"/>
      </w:pPr>
      <w:r>
        <w:t>В связи с этим встает вопрос о дополнительных диагностических методах, способных максимально полно оценить степень нарушений психического развития при аутизме, особенности развития аутичного ребенка, и выбрать соответствующие</w:t>
      </w:r>
      <w:r>
        <w:t xml:space="preserve"> методы психолого-педагогической коррекции.</w:t>
      </w:r>
    </w:p>
    <w:p w:rsidR="00147F40" w:rsidRDefault="00B32EC9">
      <w:pPr>
        <w:spacing w:after="0" w:line="245" w:lineRule="auto"/>
        <w:ind w:left="-15" w:right="37"/>
      </w:pPr>
      <w:r>
        <w:rPr>
          <w:b/>
          <w:i/>
        </w:rPr>
        <w:t>2) Психолого-педагогическая диагностика и оценка динамики развития аутичного ребенка</w:t>
      </w:r>
    </w:p>
    <w:p w:rsidR="00147F40" w:rsidRDefault="00B32EC9">
      <w:pPr>
        <w:ind w:left="-15" w:right="40"/>
      </w:pPr>
      <w:r>
        <w:t>Наибольшие сложности возникают в связи с психолого-педагогической диагностикой и оценкой развития детей с РАС, которая одноврем</w:t>
      </w:r>
      <w:r>
        <w:t xml:space="preserve">енно является очевидным ориентиром в построении программ психолого-педагогической работы и в оценке эффективности оказанной коррекционной помощи. </w:t>
      </w:r>
    </w:p>
    <w:p w:rsidR="00147F40" w:rsidRDefault="00B32EC9">
      <w:pPr>
        <w:ind w:left="-15" w:right="40"/>
      </w:pPr>
      <w:r>
        <w:t>Во-первых, диагностика детского развития и оценка достижений ребенка могут существенно различаться в разных с</w:t>
      </w:r>
      <w:r>
        <w:t>транах в связи с тем, что имеют различные теоретические основания в зависимости от наиболее развитых в стране психологических школ и традиций воспитания и обучения детей. Так, например, диагностика в русле психологии развития будет существенно отличаться о</w:t>
      </w:r>
      <w:r>
        <w:t>т той, которая задается рамками поведенческого подхода, основанного на скиннеровском бихевиоризме, и нацелена, в основном, на оценку сформированности функцио нальных навыков.</w:t>
      </w:r>
    </w:p>
    <w:p w:rsidR="00147F40" w:rsidRDefault="00B32EC9">
      <w:pPr>
        <w:ind w:left="-15" w:right="40"/>
      </w:pPr>
      <w:r>
        <w:t>Во-вторых, сложность объективной оценки достижений ребенка с РАС определяется спе</w:t>
      </w:r>
      <w:r>
        <w:t>цификой аутистического расстройства, так как в новых, непривычных условиях дети с аутизмом могут не продемонстрировать тех способностей и умений, которыми пользуются в привычной обстановке. Часто оценка интеллектуального уровня ребенка с РАС осложняется не</w:t>
      </w:r>
      <w:r>
        <w:t>возможностью или особой сложностью организации его произвольного внимания и поведения.</w:t>
      </w:r>
    </w:p>
    <w:p w:rsidR="00147F40" w:rsidRDefault="00B32EC9">
      <w:pPr>
        <w:ind w:left="-15" w:right="40"/>
      </w:pPr>
      <w:r>
        <w:t>В-третьих, если для проведения скрининга не требуются специальные навыки, то для проведения психологопедагогической диагностики требуются дополнительные клинические знан</w:t>
      </w:r>
      <w:r>
        <w:t>ия и умения со стороны специалиста, проводящего диагностику.</w:t>
      </w:r>
    </w:p>
    <w:p w:rsidR="00147F40" w:rsidRDefault="00B32EC9">
      <w:pPr>
        <w:ind w:left="-15" w:right="40"/>
      </w:pPr>
      <w:r>
        <w:t>Диагностика развития аутичного ребенка отличается от скриниговых тестов тем, что опирается на основные маркеры и этапы детского развития. Кроме того, существенное значение имеет сбор психодиагнос</w:t>
      </w:r>
      <w:r>
        <w:t>тической информации о развитии ребенка и разностороннее обследование с применением ряда методик, тестов, заданий, в том числе использование метода наблюдения в условиях учебно-воспитательного или лечебного учреждения.</w:t>
      </w:r>
    </w:p>
    <w:p w:rsidR="00147F40" w:rsidRDefault="00B32EC9">
      <w:pPr>
        <w:ind w:left="-15" w:right="40"/>
      </w:pPr>
      <w:r>
        <w:t>В-четвертых, диагноз «расстройство аут</w:t>
      </w:r>
      <w:r>
        <w:t>истического спектра» распространяется на обширную категорию детей, крайне разнообразную как по выраженности и качеству аутистических проявлений, так и по возможностям развития. Диагностика развития аутичного ребенка не может не учитывать тот факт, что целы</w:t>
      </w:r>
      <w:r>
        <w:t xml:space="preserve">й ряд феноменов, которые для одного ребенка являются показателями положительной динамики развития, для другого будут свидетельствами регресса*. </w:t>
      </w:r>
    </w:p>
    <w:p w:rsidR="00147F40" w:rsidRDefault="00B32EC9">
      <w:pPr>
        <w:ind w:left="-15" w:right="40"/>
      </w:pPr>
      <w:r>
        <w:t xml:space="preserve">Поэтому необходимым ориентиром в диагностике развития при РАС нам видится не только представление о нормальном </w:t>
      </w:r>
      <w:r>
        <w:t>онтогенезе, но и типологизация детей с аутизмом, которая дает различные «ступени», определенные точки отсчета внутри огромного континуума вариантов данного расстройства.</w:t>
      </w:r>
    </w:p>
    <w:p w:rsidR="00147F40" w:rsidRDefault="00B32EC9">
      <w:pPr>
        <w:ind w:left="-15" w:right="40"/>
      </w:pPr>
      <w:r>
        <w:t>Принимая во внимание все перечисленные сложности, мы остановимся подробнее на некоторы</w:t>
      </w:r>
      <w:r>
        <w:t xml:space="preserve">х диагностических методах, специально разработанных для детей с РАС. Рассмотрим эти методы более детально с точки зрения плюсов и минусов их использования для оценки развития аутичного ребенка. </w:t>
      </w:r>
    </w:p>
    <w:p w:rsidR="00147F40" w:rsidRDefault="00B32EC9">
      <w:pPr>
        <w:ind w:left="-15" w:right="40"/>
      </w:pPr>
      <w:r>
        <w:t>К наиболее полным и информативным диагностическим методам, ис</w:t>
      </w:r>
      <w:r>
        <w:t>пользуемых при аутизме, можно отнести Шкалу адаптивного поведения Вайнленд (VABS), Шкалу наблюдения для Диагностики Аутизма (ADOS) и Интервью при диагностике аутизма (ADI-R), которые предназначены для совместного использования, а также Психолого-образовате</w:t>
      </w:r>
      <w:r>
        <w:t xml:space="preserve">льный профиль (PEP-тест). </w:t>
      </w:r>
    </w:p>
    <w:p w:rsidR="00147F40" w:rsidRDefault="00B32EC9">
      <w:pPr>
        <w:spacing w:after="87" w:line="259" w:lineRule="auto"/>
        <w:ind w:right="0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720001" cy="6350"/>
                <wp:effectExtent l="0" t="0" r="0" b="0"/>
                <wp:docPr id="12644" name="Group 126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1" cy="6350"/>
                          <a:chOff x="0" y="0"/>
                          <a:chExt cx="720001" cy="6350"/>
                        </a:xfrm>
                      </wpg:grpSpPr>
                      <wps:wsp>
                        <wps:cNvPr id="1000" name="Shape 1000"/>
                        <wps:cNvSpPr/>
                        <wps:spPr>
                          <a:xfrm>
                            <a:off x="0" y="0"/>
                            <a:ext cx="7200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0001">
                                <a:moveTo>
                                  <a:pt x="0" y="0"/>
                                </a:moveTo>
                                <a:lnTo>
                                  <a:pt x="720001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644" style="width:56.693pt;height:0.5pt;mso-position-horizontal-relative:char;mso-position-vertical-relative:line" coordsize="7200,63">
                <v:shape id="Shape 1000" style="position:absolute;width:7200;height:0;left:0;top:0;" coordsize="720001,0" path="m0,0l720001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47F40" w:rsidRDefault="00B32EC9">
      <w:pPr>
        <w:spacing w:line="284" w:lineRule="auto"/>
        <w:ind w:left="-15" w:right="39"/>
      </w:pPr>
      <w:r>
        <w:rPr>
          <w:sz w:val="19"/>
        </w:rPr>
        <w:t>* Так, например, появление заметной чувствительности и осторожности у ребенка, который исходно не имел «чувства края», является очевидным шагом вперед, в то время как те же признаки у ребенка, имевшего адекватное чувство опасно</w:t>
      </w:r>
      <w:r>
        <w:rPr>
          <w:sz w:val="19"/>
        </w:rPr>
        <w:t xml:space="preserve">сти, свидетельствуют об ухудшении его психического состояния. </w:t>
      </w:r>
    </w:p>
    <w:p w:rsidR="00147F40" w:rsidRDefault="00B32EC9">
      <w:pPr>
        <w:spacing w:after="0" w:line="245" w:lineRule="auto"/>
        <w:ind w:right="0" w:firstLine="340"/>
        <w:jc w:val="left"/>
      </w:pPr>
      <w:r>
        <w:rPr>
          <w:b/>
        </w:rPr>
        <w:t>VABS – Шкала адаптивного поведения Вайнленд.</w:t>
      </w:r>
    </w:p>
    <w:p w:rsidR="00147F40" w:rsidRDefault="00B32EC9">
      <w:pPr>
        <w:ind w:left="-15" w:right="40"/>
      </w:pPr>
      <w:r>
        <w:t>Данная шкала является одной из наиболее распространенных западных методик, используемых в США, применяется с 1984 г., оценивает уровень развития ада</w:t>
      </w:r>
      <w:r>
        <w:t>птивного поведения ребенка, а также используется для планирования психокоррекционных мероприятий и мониторинга их эффективности.</w:t>
      </w:r>
    </w:p>
    <w:p w:rsidR="00147F40" w:rsidRDefault="00B32EC9">
      <w:pPr>
        <w:ind w:left="-15" w:right="40"/>
      </w:pPr>
      <w:r>
        <w:t>Шкала Вайнленд основана на исследовании большой статистически значимой выборки (около 3000 человек), на которой проводилась ста</w:t>
      </w:r>
      <w:r>
        <w:t>ндартизация данной методики, поэтому имеет высокие показатели надежности, валидности и достоверности получаемых данных.</w:t>
      </w:r>
    </w:p>
    <w:p w:rsidR="00147F40" w:rsidRDefault="00B32EC9">
      <w:pPr>
        <w:ind w:left="-15" w:right="40"/>
      </w:pPr>
      <w:r>
        <w:t>В VABS термин «адаптивное поведение» понимается как ежедневная деятельность индивида, обеспечивающая взаимодействие с другими и возможность заботиться о себе. При нормальном онтогенезе с возрастом у ребенка изменяется адаптивное поведение, в частности умен</w:t>
      </w:r>
      <w:r>
        <w:t>ьшается зависимость от ближайшего окружения и помощи близких. Кроме того, каждому возрастному периоду соответствуют определенные навыки, важные для адаптации в семье, школе, детском саду, и в целом, в социуме. В связи с этим в шкале оцениваются четыре осно</w:t>
      </w:r>
      <w:r>
        <w:t>вные сферы жизнедеятельности, каждая из которых состоит из нескольких субшкал, в соответствии с которыми оцениваются приобретенные навыки, соответствующие определенному возрастному периоду.</w:t>
      </w:r>
    </w:p>
    <w:p w:rsidR="00147F40" w:rsidRDefault="00B32EC9">
      <w:pPr>
        <w:ind w:left="-15" w:right="40"/>
      </w:pPr>
      <w:r>
        <w:t>Кроме того, VABS оценивает проявления дезадаптивного поведения, ко</w:t>
      </w:r>
      <w:r>
        <w:t xml:space="preserve">торые представлены в виде </w:t>
      </w:r>
      <w:r>
        <w:rPr>
          <w:i/>
        </w:rPr>
        <w:t>Шкалы Дезадаптации</w:t>
      </w:r>
      <w:r>
        <w:t xml:space="preserve">, состоящей из описания поведенческих паттернов, которые доставляют неудобства либо самому ребенку, либо окружающим (например, </w:t>
      </w:r>
    </w:p>
    <w:p w:rsidR="00147F40" w:rsidRDefault="00B32EC9">
      <w:pPr>
        <w:spacing w:after="3" w:line="259" w:lineRule="auto"/>
        <w:ind w:left="-5" w:right="0" w:hanging="10"/>
        <w:jc w:val="left"/>
      </w:pPr>
      <w:r>
        <w:rPr>
          <w:rFonts w:ascii="Century Gothic" w:eastAsia="Century Gothic" w:hAnsi="Century Gothic" w:cs="Century Gothic"/>
          <w:sz w:val="17"/>
        </w:rPr>
        <w:t>таблица</w:t>
      </w:r>
    </w:p>
    <w:tbl>
      <w:tblPr>
        <w:tblStyle w:val="TableGrid"/>
        <w:tblW w:w="3855" w:type="dxa"/>
        <w:tblInd w:w="5" w:type="dxa"/>
        <w:tblCellMar>
          <w:top w:w="36" w:type="dxa"/>
          <w:left w:w="57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340"/>
        <w:gridCol w:w="1701"/>
        <w:gridCol w:w="1814"/>
      </w:tblGrid>
      <w:tr w:rsidR="00147F40">
        <w:trPr>
          <w:trHeight w:val="318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left="14" w:right="0" w:firstLine="0"/>
            </w:pPr>
            <w:r>
              <w:rPr>
                <w:b/>
                <w:sz w:val="19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  <w:sz w:val="19"/>
              </w:rPr>
              <w:t>Шкалы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8E8E8"/>
          </w:tcPr>
          <w:p w:rsidR="00147F40" w:rsidRDefault="00B32EC9">
            <w:pPr>
              <w:spacing w:after="0" w:line="259" w:lineRule="auto"/>
              <w:ind w:left="30" w:right="0" w:firstLine="0"/>
            </w:pPr>
            <w:r>
              <w:rPr>
                <w:b/>
                <w:sz w:val="19"/>
              </w:rPr>
              <w:t>Субшкалы (навыки)</w:t>
            </w:r>
          </w:p>
        </w:tc>
      </w:tr>
      <w:tr w:rsidR="00147F40">
        <w:trPr>
          <w:trHeight w:val="736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8" w:right="0" w:firstLine="0"/>
              <w:jc w:val="left"/>
            </w:pPr>
            <w:r>
              <w:rPr>
                <w:sz w:val="19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Коммуникация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13"/>
              </w:numPr>
              <w:spacing w:after="0" w:line="259" w:lineRule="auto"/>
              <w:ind w:right="110" w:firstLine="0"/>
              <w:jc w:val="left"/>
            </w:pPr>
            <w:r>
              <w:rPr>
                <w:sz w:val="19"/>
              </w:rPr>
              <w:t>рецептивные;</w:t>
            </w:r>
          </w:p>
          <w:p w:rsidR="00147F40" w:rsidRDefault="00B32EC9">
            <w:pPr>
              <w:numPr>
                <w:ilvl w:val="0"/>
                <w:numId w:val="13"/>
              </w:numPr>
              <w:spacing w:after="0" w:line="259" w:lineRule="auto"/>
              <w:ind w:right="110" w:firstLine="0"/>
              <w:jc w:val="left"/>
            </w:pPr>
            <w:r>
              <w:rPr>
                <w:sz w:val="19"/>
              </w:rPr>
              <w:t>экспрессивные;– письменные</w:t>
            </w:r>
          </w:p>
        </w:tc>
      </w:tr>
      <w:tr w:rsidR="00147F40">
        <w:trPr>
          <w:trHeight w:val="736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8" w:right="0" w:firstLine="0"/>
              <w:jc w:val="left"/>
            </w:pPr>
            <w:r>
              <w:rPr>
                <w:sz w:val="19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Повседневные житейские навыки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14"/>
              </w:numPr>
              <w:spacing w:after="0" w:line="259" w:lineRule="auto"/>
              <w:ind w:right="0" w:hanging="159"/>
              <w:jc w:val="left"/>
            </w:pPr>
            <w:r>
              <w:rPr>
                <w:sz w:val="19"/>
              </w:rPr>
              <w:t>личные;</w:t>
            </w:r>
          </w:p>
          <w:p w:rsidR="00147F40" w:rsidRDefault="00B32EC9">
            <w:pPr>
              <w:numPr>
                <w:ilvl w:val="0"/>
                <w:numId w:val="14"/>
              </w:numPr>
              <w:spacing w:after="0" w:line="259" w:lineRule="auto"/>
              <w:ind w:right="0" w:hanging="159"/>
              <w:jc w:val="left"/>
            </w:pPr>
            <w:r>
              <w:rPr>
                <w:sz w:val="19"/>
              </w:rPr>
              <w:t>домашние;</w:t>
            </w:r>
          </w:p>
          <w:p w:rsidR="00147F40" w:rsidRDefault="00B32EC9">
            <w:pPr>
              <w:numPr>
                <w:ilvl w:val="0"/>
                <w:numId w:val="14"/>
              </w:numPr>
              <w:spacing w:after="0" w:line="259" w:lineRule="auto"/>
              <w:ind w:right="0" w:hanging="159"/>
              <w:jc w:val="left"/>
            </w:pPr>
            <w:r>
              <w:rPr>
                <w:sz w:val="19"/>
              </w:rPr>
              <w:t>общественные</w:t>
            </w:r>
          </w:p>
        </w:tc>
      </w:tr>
      <w:tr w:rsidR="00147F40">
        <w:trPr>
          <w:trHeight w:val="1363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8" w:right="0" w:firstLine="0"/>
              <w:jc w:val="left"/>
            </w:pPr>
            <w:r>
              <w:rPr>
                <w:sz w:val="19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Социализация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15"/>
              </w:numPr>
              <w:spacing w:after="0" w:line="228" w:lineRule="auto"/>
              <w:ind w:right="13" w:firstLine="0"/>
              <w:jc w:val="left"/>
            </w:pPr>
            <w:r>
              <w:rPr>
                <w:sz w:val="19"/>
              </w:rPr>
              <w:t>межличностное взаимодействие; – игра, времяпрепровождение;</w:t>
            </w:r>
          </w:p>
          <w:p w:rsidR="00147F40" w:rsidRDefault="00B32EC9">
            <w:pPr>
              <w:numPr>
                <w:ilvl w:val="0"/>
                <w:numId w:val="15"/>
              </w:numPr>
              <w:spacing w:after="0" w:line="259" w:lineRule="auto"/>
              <w:ind w:right="13" w:firstLine="0"/>
              <w:jc w:val="left"/>
            </w:pPr>
            <w:r>
              <w:rPr>
                <w:sz w:val="19"/>
              </w:rPr>
              <w:t>навыки сотрудни-чества</w:t>
            </w:r>
          </w:p>
        </w:tc>
      </w:tr>
      <w:tr w:rsidR="00147F40">
        <w:trPr>
          <w:trHeight w:val="527"/>
        </w:trPr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left="68" w:right="0" w:firstLine="0"/>
              <w:jc w:val="left"/>
            </w:pPr>
            <w:r>
              <w:rPr>
                <w:sz w:val="19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spacing w:after="0" w:line="259" w:lineRule="auto"/>
              <w:ind w:right="0" w:firstLine="0"/>
              <w:jc w:val="left"/>
            </w:pPr>
            <w:r>
              <w:rPr>
                <w:sz w:val="19"/>
              </w:rPr>
              <w:t>Моторные навыки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F40" w:rsidRDefault="00B32EC9">
            <w:pPr>
              <w:numPr>
                <w:ilvl w:val="0"/>
                <w:numId w:val="16"/>
              </w:numPr>
              <w:spacing w:after="0" w:line="259" w:lineRule="auto"/>
              <w:ind w:right="0" w:hanging="159"/>
              <w:jc w:val="left"/>
            </w:pPr>
            <w:r>
              <w:rPr>
                <w:sz w:val="19"/>
              </w:rPr>
              <w:t>крупная моторика;</w:t>
            </w:r>
          </w:p>
          <w:p w:rsidR="00147F40" w:rsidRDefault="00B32EC9">
            <w:pPr>
              <w:numPr>
                <w:ilvl w:val="0"/>
                <w:numId w:val="16"/>
              </w:numPr>
              <w:spacing w:after="0" w:line="259" w:lineRule="auto"/>
              <w:ind w:right="0" w:hanging="159"/>
              <w:jc w:val="left"/>
            </w:pPr>
            <w:r>
              <w:rPr>
                <w:sz w:val="19"/>
              </w:rPr>
              <w:t>мелкая моторика</w:t>
            </w:r>
          </w:p>
        </w:tc>
      </w:tr>
    </w:tbl>
    <w:p w:rsidR="00147F40" w:rsidRDefault="00B32EC9">
      <w:pPr>
        <w:ind w:left="-15" w:right="40" w:firstLine="0"/>
      </w:pPr>
      <w:r>
        <w:t>сосет большой палец, избегает смотреть в глаза, умышленно портит чужое имущество).</w:t>
      </w:r>
    </w:p>
    <w:p w:rsidR="00147F40" w:rsidRDefault="00B32EC9">
      <w:pPr>
        <w:ind w:left="-15" w:right="40"/>
      </w:pPr>
      <w:r>
        <w:t>Шкала Вайнленд используется для обследования людей от 0 до 18 лет 11 мес. с различным уровнем развития и представляет собой полуструктурированное интервью, где на вопросы ин</w:t>
      </w:r>
      <w:r>
        <w:t xml:space="preserve">тервьюера отвечают эксперты – родители ребенка или близкие значимые люди (те, кто о нем заботится и проводит с ним много времени). </w:t>
      </w:r>
    </w:p>
    <w:p w:rsidR="00147F40" w:rsidRDefault="00B32EC9">
      <w:pPr>
        <w:ind w:left="-15" w:right="40"/>
      </w:pPr>
      <w:r>
        <w:t>Интервью начинается с вопросов, соответствующих календарному возрасту ребенка. Затем осуществляется обследование навыков, ха</w:t>
      </w:r>
      <w:r>
        <w:t>рактерных для детей более младшего и более старшего возраста. Каждый вопрос оценивается по трехбалльной шкале (от 0 до 2-х баллов):</w:t>
      </w:r>
    </w:p>
    <w:p w:rsidR="00147F40" w:rsidRDefault="00B32EC9">
      <w:pPr>
        <w:ind w:left="-15" w:right="40"/>
      </w:pPr>
      <w:r>
        <w:rPr>
          <w:i/>
        </w:rPr>
        <w:t>2 балла</w:t>
      </w:r>
      <w:r>
        <w:t xml:space="preserve"> – действие совершается регулярно и успешно в повседневных ситуациях или в прошлом ребенок выполнял это действие успе</w:t>
      </w:r>
      <w:r>
        <w:t>шно, но сейчас «перерос» и в его выполнении уже нет потребности;</w:t>
      </w:r>
    </w:p>
    <w:p w:rsidR="00147F40" w:rsidRDefault="00B32EC9">
      <w:pPr>
        <w:ind w:left="-15" w:right="40"/>
      </w:pPr>
      <w:r>
        <w:rPr>
          <w:i/>
        </w:rPr>
        <w:t>1 балл</w:t>
      </w:r>
      <w:r>
        <w:t xml:space="preserve"> – данное умение начинает появляться у ребенка или действие выполняется успешно, но не регулярно; а также, когда ребенок выполняет действие неполностью (для некоторых вопросов оценка в </w:t>
      </w:r>
      <w:r>
        <w:t>1 балл неприменима, например, при оценке навыков письма или умения соблюдать общепринятые правила);</w:t>
      </w:r>
    </w:p>
    <w:p w:rsidR="00147F40" w:rsidRDefault="00B32EC9">
      <w:pPr>
        <w:ind w:left="-15" w:right="40"/>
      </w:pPr>
      <w:r>
        <w:rPr>
          <w:i/>
        </w:rPr>
        <w:t>0 баллов</w:t>
      </w:r>
      <w:r>
        <w:t xml:space="preserve"> – ребенок очень редко или никогда не выполняет то или иное действие.</w:t>
      </w:r>
    </w:p>
    <w:p w:rsidR="00147F40" w:rsidRDefault="00B32EC9">
      <w:pPr>
        <w:ind w:left="-15" w:right="40"/>
      </w:pPr>
      <w:r>
        <w:t>После оценки всех умений по Шкале адаптивного поведения ведутся подсчет и обра</w:t>
      </w:r>
      <w:r>
        <w:t>ботка результатов. Для подсчета «сырых» баллов суммируются все баллы по каждой субшкале. На основании этих данных выявляется уровень сформированности навыков в каждой сфере и определяется «возрастной эквивалент», т. е. соответствие развития ребенка усредне</w:t>
      </w:r>
      <w:r>
        <w:t xml:space="preserve">нным показателям возрастной нормы. </w:t>
      </w:r>
    </w:p>
    <w:p w:rsidR="00147F40" w:rsidRDefault="00B32EC9">
      <w:pPr>
        <w:ind w:left="-15" w:right="40"/>
      </w:pPr>
      <w:r>
        <w:t>Затем осуществляется перевод «сырых» баллов в стандартные с помощью таблицы перевода баллов. Суммирование стандартных баллов позволяет оценить общий уровень адаптации ребенка. Результаты обследования отображаются графиче</w:t>
      </w:r>
      <w:r>
        <w:t xml:space="preserve">ски в виде профиля развития ребенка, позволяющего сравнить полученные результаты с показателями среднестатистической возрастной нормы. </w:t>
      </w:r>
    </w:p>
    <w:p w:rsidR="00147F40" w:rsidRDefault="00B32EC9">
      <w:pPr>
        <w:ind w:left="-15" w:right="40"/>
      </w:pPr>
      <w:r>
        <w:t xml:space="preserve">Уровень адаптивного поведения характеризуется как </w:t>
      </w:r>
      <w:r>
        <w:rPr>
          <w:i/>
        </w:rPr>
        <w:t>высокий, умеренно высокий, нормативный, умеренно низкий или низкий</w:t>
      </w:r>
      <w:r>
        <w:t xml:space="preserve">. В </w:t>
      </w:r>
      <w:r>
        <w:t xml:space="preserve">той же форме оценивается и каждая из сфер, выделяются наиболее сильные и слабые области адаптивного поведения. Уровень дезадаптивного поведения ребенка определяется как </w:t>
      </w:r>
      <w:r>
        <w:rPr>
          <w:i/>
        </w:rPr>
        <w:t>значительный, средний или незначительный</w:t>
      </w:r>
      <w:r>
        <w:t>.</w:t>
      </w:r>
    </w:p>
    <w:p w:rsidR="00147F40" w:rsidRDefault="00B32EC9">
      <w:pPr>
        <w:ind w:left="-15" w:right="40"/>
      </w:pPr>
      <w:r>
        <w:t>Таким образом, в процессе обследования с помо</w:t>
      </w:r>
      <w:r>
        <w:t>щью VABS выявляются умения и навыки, которые либо уже сформированы у ребенка, либо формируются, либо отсутствуют. Кроме того, анализ адаптивного профиля ребенка позволяет спланировать конкретные пути повышения адаптации ребенка путем развития у него соотве</w:t>
      </w:r>
      <w:r>
        <w:t xml:space="preserve">тствующих адаптивных навыков. </w:t>
      </w:r>
      <w:r>
        <w:rPr>
          <w:rFonts w:ascii="Century Gothic" w:eastAsia="Century Gothic" w:hAnsi="Century Gothic" w:cs="Century Gothic"/>
        </w:rPr>
        <w:t>литература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Майес С.Д.,</w:t>
      </w:r>
      <w:r>
        <w:rPr>
          <w:sz w:val="19"/>
        </w:rPr>
        <w:t xml:space="preserve"> CASD. Опросник расстройств аутистического спектра / пер. с англ. Е. Литвиненко: Western Psychological Services; Giunti O.S., 2015.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sz w:val="19"/>
        </w:rPr>
        <w:t xml:space="preserve">Международная классификация болезней (10-й пересмотр). Классификация психических и поведенческих расстройств. </w:t>
      </w:r>
    </w:p>
    <w:p w:rsidR="00147F40" w:rsidRDefault="00B32EC9">
      <w:pPr>
        <w:spacing w:line="284" w:lineRule="auto"/>
        <w:ind w:left="-15" w:right="39" w:firstLine="0"/>
      </w:pPr>
      <w:r>
        <w:rPr>
          <w:sz w:val="19"/>
        </w:rPr>
        <w:t>СПб., 1994.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Мещерякова Б.Г., Зинченко В.П.</w:t>
      </w:r>
      <w:r>
        <w:rPr>
          <w:sz w:val="19"/>
        </w:rPr>
        <w:t xml:space="preserve"> Большой психологический словарь / под  ред. Б.Г. Мещерякова, В.П. Зинченко.  М., 2003.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Никольская О.С.</w:t>
      </w:r>
      <w:r>
        <w:rPr>
          <w:sz w:val="19"/>
        </w:rPr>
        <w:t xml:space="preserve"> Развитие клиникопсихологических представлений о детском аутизме // Альманах Института коррекционной педагогики РАО (электронное издание). 2014. № 18.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Раттер М., Бэйли Э., Лорд К.,</w:t>
      </w:r>
      <w:r>
        <w:rPr>
          <w:sz w:val="19"/>
        </w:rPr>
        <w:t xml:space="preserve"> SCQ. Социально-коммуникативный опросник: руководство / пер. на русский язык</w:t>
      </w:r>
      <w:r>
        <w:rPr>
          <w:sz w:val="19"/>
        </w:rPr>
        <w:t xml:space="preserve"> и адаптация А. Моховикова, О. Донец, Е. Давыдовой, А. Сорокина: Western Psychological Services; Giunti O.S., 2014.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Сайфутдинова Л.Р.</w:t>
      </w:r>
      <w:r>
        <w:rPr>
          <w:sz w:val="19"/>
        </w:rPr>
        <w:t xml:space="preserve"> Использование шкалы Вайнленд при диагностике больных аутизмом и синдромом Аспергера (по материалам зарубежной печати) // А</w:t>
      </w:r>
      <w:r>
        <w:rPr>
          <w:sz w:val="19"/>
        </w:rPr>
        <w:t>утизм и нарушения развития. № 2. 2003.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Сайфутдинова Л.Р., Сударикова М.А.</w:t>
      </w:r>
      <w:r>
        <w:rPr>
          <w:sz w:val="19"/>
        </w:rPr>
        <w:t xml:space="preserve"> Оценка уровня развития адаптации ребенка с помощью шкалы Вайнленд // Школа здоровья. №1. 2004.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Симашкова Н.В., Макушкин Е.В.</w:t>
      </w:r>
      <w:r>
        <w:rPr>
          <w:sz w:val="19"/>
        </w:rPr>
        <w:t xml:space="preserve"> Расстройства аутистического спектра: диагностика, лечение</w:t>
      </w:r>
      <w:r>
        <w:rPr>
          <w:sz w:val="19"/>
        </w:rPr>
        <w:t>, наблюдение. Клинические рекомендации (протокол лечения). Российское общество психиатров // psychiatr.ru, 2015.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Сорокин А.Б., Зотова М.А., Корови-на М.Ю.</w:t>
      </w:r>
      <w:r>
        <w:rPr>
          <w:sz w:val="19"/>
        </w:rPr>
        <w:t xml:space="preserve"> Скрининговые методы для выявления целевой группы «спектр аутизма» педагогами и психологами // Психоло</w:t>
      </w:r>
      <w:r>
        <w:rPr>
          <w:sz w:val="19"/>
        </w:rPr>
        <w:t>гическая наука и образование. Т. 21. № 3. 2016.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Филиппова Н.В., Барыльник Ю.Б.</w:t>
      </w:r>
      <w:r>
        <w:rPr>
          <w:sz w:val="19"/>
        </w:rPr>
        <w:t xml:space="preserve"> Эпидемиология аутизма: современный взгляд на проблему // Социальная и клиническая психиатрия. Т. 24. № 3. 2014.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sz w:val="19"/>
        </w:rPr>
        <w:t>Diagnostic and Statistical Manual of Mental Disorders: DSM-5. Was</w:t>
      </w:r>
      <w:r>
        <w:rPr>
          <w:sz w:val="19"/>
        </w:rPr>
        <w:t>hington, D.C.: American Psychiatric Association, 2013.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Hertz-Picciotto I., Delwiche L.</w:t>
      </w:r>
      <w:r>
        <w:rPr>
          <w:sz w:val="19"/>
        </w:rPr>
        <w:t xml:space="preserve"> The rise in autism and the role of age at diagnosis. Epidemiology. 2009. Vol. 20, № 1.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Newschaffer C.J., Croen L.A., Daniels J.</w:t>
      </w:r>
      <w:r>
        <w:rPr>
          <w:sz w:val="19"/>
        </w:rPr>
        <w:t xml:space="preserve"> et al., The epidemiology of autism spectr</w:t>
      </w:r>
      <w:r>
        <w:rPr>
          <w:sz w:val="19"/>
        </w:rPr>
        <w:t>um disorders. Ann. Rev. Public Health. 2007. Vol. 28.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Robins D.L., Fein D., Barton M.</w:t>
      </w:r>
      <w:r>
        <w:rPr>
          <w:sz w:val="19"/>
        </w:rPr>
        <w:t xml:space="preserve"> The Modified Checklist for Autism in Toddlers (M-CHAT); Robins, Fein, &amp; Barton, 1999.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Schopler E., Reichler R.J., Renner B.R.</w:t>
      </w:r>
      <w:r>
        <w:rPr>
          <w:sz w:val="19"/>
        </w:rPr>
        <w:t xml:space="preserve"> The Children Autism Rating Scale (CARS). </w:t>
      </w:r>
    </w:p>
    <w:p w:rsidR="00147F40" w:rsidRDefault="00B32EC9">
      <w:pPr>
        <w:spacing w:line="284" w:lineRule="auto"/>
        <w:ind w:left="-15" w:right="39" w:firstLine="0"/>
      </w:pPr>
      <w:r>
        <w:rPr>
          <w:sz w:val="19"/>
        </w:rPr>
        <w:t>Lo</w:t>
      </w:r>
      <w:r>
        <w:rPr>
          <w:sz w:val="19"/>
        </w:rPr>
        <w:t>s Angeles, CA: Western Psychological Services, 1988.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Schopler, E., Reichler, R. J., Lansing.</w:t>
      </w:r>
      <w:r>
        <w:rPr>
          <w:sz w:val="19"/>
        </w:rPr>
        <w:t xml:space="preserve"> M.: Strategien der Entwicklungsforderung fur Eitern, Padagogen und The-rapeuten. Verlag Modernes Lernen, Dortmund, 1983.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i/>
          <w:sz w:val="19"/>
        </w:rPr>
        <w:t>Wazana A., Bresnahan M., Kline J.</w:t>
      </w:r>
      <w:r>
        <w:rPr>
          <w:sz w:val="19"/>
        </w:rPr>
        <w:t xml:space="preserve"> The auti</w:t>
      </w:r>
      <w:r>
        <w:rPr>
          <w:sz w:val="19"/>
        </w:rPr>
        <w:t>sm epidemic: fact or artifact? J. Am. Acad. Child. Adolesc. Psychiatry. 2007. Vol. 46, № 6.</w:t>
      </w:r>
    </w:p>
    <w:p w:rsidR="00147F40" w:rsidRDefault="00B32EC9">
      <w:pPr>
        <w:numPr>
          <w:ilvl w:val="0"/>
          <w:numId w:val="6"/>
        </w:numPr>
        <w:spacing w:line="284" w:lineRule="auto"/>
        <w:ind w:right="39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1818020</wp:posOffset>
                </wp:positionH>
                <wp:positionV relativeFrom="paragraph">
                  <wp:posOffset>1073041</wp:posOffset>
                </wp:positionV>
                <wp:extent cx="1079995" cy="280802"/>
                <wp:effectExtent l="0" t="0" r="0" b="0"/>
                <wp:wrapTopAndBottom/>
                <wp:docPr id="13499" name="Group 13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9995" cy="280802"/>
                          <a:chOff x="0" y="0"/>
                          <a:chExt cx="1079995" cy="280802"/>
                        </a:xfrm>
                      </wpg:grpSpPr>
                      <wps:wsp>
                        <wps:cNvPr id="1363" name="Shape 1363"/>
                        <wps:cNvSpPr/>
                        <wps:spPr>
                          <a:xfrm>
                            <a:off x="0" y="137999"/>
                            <a:ext cx="10799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9995">
                                <a:moveTo>
                                  <a:pt x="0" y="0"/>
                                </a:moveTo>
                                <a:lnTo>
                                  <a:pt x="107999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150000" y="0"/>
                            <a:ext cx="0" cy="216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002">
                                <a:moveTo>
                                  <a:pt x="0" y="0"/>
                                </a:moveTo>
                                <a:lnTo>
                                  <a:pt x="0" y="216002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941997" y="64801"/>
                            <a:ext cx="0" cy="216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6002">
                                <a:moveTo>
                                  <a:pt x="0" y="0"/>
                                </a:moveTo>
                                <a:lnTo>
                                  <a:pt x="0" y="216002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0" name="Shape 15410"/>
                        <wps:cNvSpPr/>
                        <wps:spPr>
                          <a:xfrm>
                            <a:off x="975004" y="174000"/>
                            <a:ext cx="71996" cy="71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71996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71996"/>
                                </a:lnTo>
                                <a:lnTo>
                                  <a:pt x="0" y="719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8B8B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11" name="Shape 15411"/>
                        <wps:cNvSpPr/>
                        <wps:spPr>
                          <a:xfrm>
                            <a:off x="40805" y="26401"/>
                            <a:ext cx="71996" cy="71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96" h="71996">
                                <a:moveTo>
                                  <a:pt x="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71996" y="71996"/>
                                </a:lnTo>
                                <a:lnTo>
                                  <a:pt x="0" y="7199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8B8B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499" style="width:85.039pt;height:22.1104pt;position:absolute;mso-position-horizontal-relative:margin;mso-position-horizontal:absolute;margin-left:143.151pt;mso-position-vertical-relative:text;margin-top:84.4914pt;" coordsize="10799,2808">
                <v:shape id="Shape 1363" style="position:absolute;width:10799;height:0;left:0;top:1379;" coordsize="1079995,0" path="m0,0l1079995,0">
                  <v:stroke weight="0.5pt" endcap="flat" joinstyle="miter" miterlimit="4" on="true" color="#000000"/>
                  <v:fill on="false" color="#000000" opacity="0"/>
                </v:shape>
                <v:shape id="Shape 1364" style="position:absolute;width:0;height:2160;left:1500;top:0;" coordsize="0,216002" path="m0,0l0,216002">
                  <v:stroke weight="0.5pt" endcap="flat" joinstyle="miter" miterlimit="4" on="true" color="#000000"/>
                  <v:fill on="false" color="#000000" opacity="0"/>
                </v:shape>
                <v:shape id="Shape 1365" style="position:absolute;width:0;height:2160;left:9419;top:648;" coordsize="0,216002" path="m0,0l0,216002">
                  <v:stroke weight="0.5pt" endcap="flat" joinstyle="miter" miterlimit="4" on="true" color="#000000"/>
                  <v:fill on="false" color="#000000" opacity="0"/>
                </v:shape>
                <v:shape id="Shape 15412" style="position:absolute;width:719;height:719;left:9750;top:1740;" coordsize="71996,71996" path="m0,0l71996,0l71996,71996l0,71996l0,0">
                  <v:stroke weight="0pt" endcap="flat" joinstyle="miter" miterlimit="4" on="false" color="#000000" opacity="0"/>
                  <v:fill on="true" color="#b8b8b8"/>
                </v:shape>
                <v:shape id="Shape 15413" style="position:absolute;width:719;height:719;left:408;top:264;" coordsize="71996,71996" path="m0,0l71996,0l71996,71996l0,71996l0,0">
                  <v:stroke weight="0pt" endcap="flat" joinstyle="miter" miterlimit="4" on="false" color="#000000" opacity="0"/>
                  <v:fill on="true" color="#b8b8b8"/>
                </v:shape>
                <w10:wrap type="topAndBottom"/>
              </v:group>
            </w:pict>
          </mc:Fallback>
        </mc:AlternateContent>
      </w:r>
      <w:r>
        <w:rPr>
          <w:i/>
          <w:sz w:val="19"/>
        </w:rPr>
        <w:t>Wing L.</w:t>
      </w:r>
      <w:r>
        <w:rPr>
          <w:sz w:val="19"/>
        </w:rPr>
        <w:t xml:space="preserve"> Asperger syndrome: a clinical account. Lorna Wing, from the MRC Social Psychiatry Unit, Institute of Psychiatry, London, 1981.</w:t>
      </w:r>
    </w:p>
    <w:sectPr w:rsidR="00147F40">
      <w:type w:val="continuous"/>
      <w:pgSz w:w="9524" w:h="14740"/>
      <w:pgMar w:top="1149" w:right="621" w:bottom="1323" w:left="907" w:header="720" w:footer="720" w:gutter="0"/>
      <w:cols w:num="2" w:space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32EC9">
      <w:pPr>
        <w:spacing w:after="0" w:line="240" w:lineRule="auto"/>
      </w:pPr>
      <w:r>
        <w:separator/>
      </w:r>
    </w:p>
  </w:endnote>
  <w:endnote w:type="continuationSeparator" w:id="0">
    <w:p w:rsidR="00000000" w:rsidRDefault="00B3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40" w:rsidRDefault="00B32EC9">
    <w:pPr>
      <w:spacing w:after="0" w:line="259" w:lineRule="auto"/>
      <w:ind w:right="-704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601810</wp:posOffset>
              </wp:positionH>
              <wp:positionV relativeFrom="page">
                <wp:posOffset>8713074</wp:posOffset>
              </wp:positionV>
              <wp:extent cx="70104" cy="70104"/>
              <wp:effectExtent l="0" t="0" r="0" b="0"/>
              <wp:wrapSquare wrapText="bothSides"/>
              <wp:docPr id="14922" name="Group 149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4" cy="70104"/>
                        <a:chOff x="0" y="0"/>
                        <a:chExt cx="70104" cy="70104"/>
                      </a:xfrm>
                    </wpg:grpSpPr>
                    <wps:wsp>
                      <wps:cNvPr id="14923" name="Shape 14923"/>
                      <wps:cNvSpPr/>
                      <wps:spPr>
                        <a:xfrm>
                          <a:off x="0" y="0"/>
                          <a:ext cx="70104" cy="701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0104">
                              <a:moveTo>
                                <a:pt x="35052" y="70104"/>
                              </a:moveTo>
                              <a:cubicBezTo>
                                <a:pt x="54407" y="70104"/>
                                <a:pt x="70104" y="54407"/>
                                <a:pt x="70104" y="35052"/>
                              </a:cubicBezTo>
                              <a:cubicBezTo>
                                <a:pt x="70104" y="15697"/>
                                <a:pt x="54407" y="0"/>
                                <a:pt x="35052" y="0"/>
                              </a:cubicBezTo>
                              <a:cubicBezTo>
                                <a:pt x="15697" y="0"/>
                                <a:pt x="0" y="15697"/>
                                <a:pt x="0" y="35052"/>
                              </a:cubicBezTo>
                              <a:cubicBezTo>
                                <a:pt x="0" y="54407"/>
                                <a:pt x="15697" y="70104"/>
                                <a:pt x="35052" y="70104"/>
                              </a:cubicBez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24" name="Shape 14924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0"/>
                              </a:moveTo>
                              <a:cubicBezTo>
                                <a:pt x="10681" y="0"/>
                                <a:pt x="13767" y="3073"/>
                                <a:pt x="13767" y="6883"/>
                              </a:cubicBezTo>
                              <a:cubicBezTo>
                                <a:pt x="13767" y="10681"/>
                                <a:pt x="10681" y="13767"/>
                                <a:pt x="6883" y="13767"/>
                              </a:cubicBezTo>
                              <a:cubicBezTo>
                                <a:pt x="3086" y="13767"/>
                                <a:pt x="0" y="10681"/>
                                <a:pt x="0" y="6883"/>
                              </a:cubicBezTo>
                              <a:cubicBezTo>
                                <a:pt x="0" y="3073"/>
                                <a:pt x="3086" y="0"/>
                                <a:pt x="68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25" name="Shape 14925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13767"/>
                              </a:moveTo>
                              <a:cubicBezTo>
                                <a:pt x="10681" y="13767"/>
                                <a:pt x="13767" y="10681"/>
                                <a:pt x="13767" y="6883"/>
                              </a:cubicBezTo>
                              <a:cubicBezTo>
                                <a:pt x="13767" y="3073"/>
                                <a:pt x="10681" y="0"/>
                                <a:pt x="6883" y="0"/>
                              </a:cubicBezTo>
                              <a:cubicBezTo>
                                <a:pt x="3086" y="0"/>
                                <a:pt x="0" y="3073"/>
                                <a:pt x="0" y="6883"/>
                              </a:cubicBezTo>
                              <a:cubicBezTo>
                                <a:pt x="0" y="10681"/>
                                <a:pt x="3086" y="13767"/>
                                <a:pt x="6883" y="13767"/>
                              </a:cubicBezTo>
                              <a:close/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922" style="width:5.52pt;height:5.52002pt;position:absolute;mso-position-horizontal-relative:page;mso-position-horizontal:absolute;margin-left:47.3866pt;mso-position-vertical-relative:page;margin-top:686.069pt;" coordsize="701,701">
              <v:shape id="Shape 14923" style="position:absolute;width:701;height:701;left:0;top:0;" coordsize="70104,70104" path="m35052,70104c54407,70104,70104,54407,70104,35052c70104,15697,54407,0,35052,0c15697,0,0,15697,0,35052c0,54407,15697,70104,35052,70104x">
                <v:stroke weight="0.5pt" endcap="flat" joinstyle="miter" miterlimit="4" on="true" color="#000000"/>
                <v:fill on="false" color="#000000" opacity="0"/>
              </v:shape>
              <v:shape id="Shape 14924" style="position:absolute;width:137;height:137;left:281;top:281;" coordsize="13767,13767" path="m6883,0c10681,0,13767,3073,13767,6883c13767,10681,10681,13767,6883,13767c3086,13767,0,10681,0,6883c0,3073,3086,0,6883,0x">
                <v:stroke weight="0pt" endcap="flat" joinstyle="miter" miterlimit="4" on="false" color="#000000" opacity="0"/>
                <v:fill on="true" color="#000000"/>
              </v:shape>
              <v:shape id="Shape 14925" style="position:absolute;width:137;height:137;left:281;top:281;" coordsize="13767,13767" path="m6883,13767c10681,13767,13767,10681,13767,6883c13767,3073,10681,0,6883,0c3086,0,0,3073,0,6883c0,10681,3086,13767,6883,13767x">
                <v:stroke weight="1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14"/>
      </w:rPr>
      <w:t xml:space="preserve"> Любое распространение материалов журнала, в т.ч. архивных номеров, возможно только с письменного согласия редакции.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40" w:rsidRDefault="00B32EC9">
    <w:pPr>
      <w:spacing w:after="0" w:line="259" w:lineRule="auto"/>
      <w:ind w:right="-44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435969</wp:posOffset>
              </wp:positionH>
              <wp:positionV relativeFrom="page">
                <wp:posOffset>8713074</wp:posOffset>
              </wp:positionV>
              <wp:extent cx="70104" cy="70104"/>
              <wp:effectExtent l="0" t="0" r="0" b="0"/>
              <wp:wrapSquare wrapText="bothSides"/>
              <wp:docPr id="14878" name="Group 148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4" cy="70104"/>
                        <a:chOff x="0" y="0"/>
                        <a:chExt cx="70104" cy="70104"/>
                      </a:xfrm>
                    </wpg:grpSpPr>
                    <wps:wsp>
                      <wps:cNvPr id="14879" name="Shape 14879"/>
                      <wps:cNvSpPr/>
                      <wps:spPr>
                        <a:xfrm>
                          <a:off x="0" y="0"/>
                          <a:ext cx="70104" cy="701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0104">
                              <a:moveTo>
                                <a:pt x="35052" y="70104"/>
                              </a:moveTo>
                              <a:cubicBezTo>
                                <a:pt x="54407" y="70104"/>
                                <a:pt x="70104" y="54407"/>
                                <a:pt x="70104" y="35052"/>
                              </a:cubicBezTo>
                              <a:cubicBezTo>
                                <a:pt x="70104" y="15697"/>
                                <a:pt x="54407" y="0"/>
                                <a:pt x="35052" y="0"/>
                              </a:cubicBezTo>
                              <a:cubicBezTo>
                                <a:pt x="15697" y="0"/>
                                <a:pt x="0" y="15697"/>
                                <a:pt x="0" y="35052"/>
                              </a:cubicBezTo>
                              <a:cubicBezTo>
                                <a:pt x="0" y="54407"/>
                                <a:pt x="15697" y="70104"/>
                                <a:pt x="35052" y="70104"/>
                              </a:cubicBez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80" name="Shape 14880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0"/>
                              </a:moveTo>
                              <a:cubicBezTo>
                                <a:pt x="10681" y="0"/>
                                <a:pt x="13767" y="3073"/>
                                <a:pt x="13767" y="6883"/>
                              </a:cubicBezTo>
                              <a:cubicBezTo>
                                <a:pt x="13767" y="10681"/>
                                <a:pt x="10681" y="13767"/>
                                <a:pt x="6883" y="13767"/>
                              </a:cubicBezTo>
                              <a:cubicBezTo>
                                <a:pt x="3086" y="13767"/>
                                <a:pt x="0" y="10681"/>
                                <a:pt x="0" y="6883"/>
                              </a:cubicBezTo>
                              <a:cubicBezTo>
                                <a:pt x="0" y="3073"/>
                                <a:pt x="3086" y="0"/>
                                <a:pt x="68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81" name="Shape 14881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13767"/>
                              </a:moveTo>
                              <a:cubicBezTo>
                                <a:pt x="10681" y="13767"/>
                                <a:pt x="13767" y="10681"/>
                                <a:pt x="13767" y="6883"/>
                              </a:cubicBezTo>
                              <a:cubicBezTo>
                                <a:pt x="13767" y="3073"/>
                                <a:pt x="10681" y="0"/>
                                <a:pt x="6883" y="0"/>
                              </a:cubicBezTo>
                              <a:cubicBezTo>
                                <a:pt x="3086" y="0"/>
                                <a:pt x="0" y="3073"/>
                                <a:pt x="0" y="6883"/>
                              </a:cubicBezTo>
                              <a:cubicBezTo>
                                <a:pt x="0" y="10681"/>
                                <a:pt x="3086" y="13767"/>
                                <a:pt x="6883" y="13767"/>
                              </a:cubicBezTo>
                              <a:close/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878" style="width:5.52pt;height:5.52002pt;position:absolute;mso-position-horizontal-relative:page;mso-position-horizontal:absolute;margin-left:34.3283pt;mso-position-vertical-relative:page;margin-top:686.069pt;" coordsize="701,701">
              <v:shape id="Shape 14879" style="position:absolute;width:701;height:701;left:0;top:0;" coordsize="70104,70104" path="m35052,70104c54407,70104,70104,54407,70104,35052c70104,15697,54407,0,35052,0c15697,0,0,15697,0,35052c0,54407,15697,70104,35052,70104x">
                <v:stroke weight="0.5pt" endcap="flat" joinstyle="miter" miterlimit="4" on="true" color="#000000"/>
                <v:fill on="false" color="#000000" opacity="0"/>
              </v:shape>
              <v:shape id="Shape 14880" style="position:absolute;width:137;height:137;left:281;top:281;" coordsize="13767,13767" path="m6883,0c10681,0,13767,3073,13767,6883c13767,10681,10681,13767,6883,13767c3086,13767,0,10681,0,6883c0,3073,3086,0,6883,0x">
                <v:stroke weight="0pt" endcap="flat" joinstyle="miter" miterlimit="4" on="false" color="#000000" opacity="0"/>
                <v:fill on="true" color="#000000"/>
              </v:shape>
              <v:shape id="Shape 14881" style="position:absolute;width:137;height:137;left:281;top:281;" coordsize="13767,13767" path="m6883,13767c10681,13767,13767,10681,13767,6883c13767,3073,10681,0,6883,0c3086,0,0,3073,0,6883c0,10681,3086,13767,6883,13767x">
                <v:stroke weight="1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14"/>
      </w:rPr>
      <w:t xml:space="preserve"> Любое распространение материалов журнала, в т.ч. архивных номеров, возможно только с письменного согласия редакции.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40" w:rsidRDefault="00B32EC9">
    <w:pPr>
      <w:spacing w:after="0" w:line="259" w:lineRule="auto"/>
      <w:ind w:right="-442" w:firstLine="0"/>
      <w:jc w:val="righ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435969</wp:posOffset>
              </wp:positionH>
              <wp:positionV relativeFrom="page">
                <wp:posOffset>8713074</wp:posOffset>
              </wp:positionV>
              <wp:extent cx="70104" cy="70104"/>
              <wp:effectExtent l="0" t="0" r="0" b="0"/>
              <wp:wrapSquare wrapText="bothSides"/>
              <wp:docPr id="14840" name="Group 1484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04" cy="70104"/>
                        <a:chOff x="0" y="0"/>
                        <a:chExt cx="70104" cy="70104"/>
                      </a:xfrm>
                    </wpg:grpSpPr>
                    <wps:wsp>
                      <wps:cNvPr id="14841" name="Shape 14841"/>
                      <wps:cNvSpPr/>
                      <wps:spPr>
                        <a:xfrm>
                          <a:off x="0" y="0"/>
                          <a:ext cx="70104" cy="7010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04" h="70104">
                              <a:moveTo>
                                <a:pt x="35052" y="70104"/>
                              </a:moveTo>
                              <a:cubicBezTo>
                                <a:pt x="54407" y="70104"/>
                                <a:pt x="70104" y="54407"/>
                                <a:pt x="70104" y="35052"/>
                              </a:cubicBezTo>
                              <a:cubicBezTo>
                                <a:pt x="70104" y="15697"/>
                                <a:pt x="54407" y="0"/>
                                <a:pt x="35052" y="0"/>
                              </a:cubicBezTo>
                              <a:cubicBezTo>
                                <a:pt x="15697" y="0"/>
                                <a:pt x="0" y="15697"/>
                                <a:pt x="0" y="35052"/>
                              </a:cubicBezTo>
                              <a:cubicBezTo>
                                <a:pt x="0" y="54407"/>
                                <a:pt x="15697" y="70104"/>
                                <a:pt x="35052" y="70104"/>
                              </a:cubicBezTo>
                              <a:close/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42" name="Shape 14842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0"/>
                              </a:moveTo>
                              <a:cubicBezTo>
                                <a:pt x="10681" y="0"/>
                                <a:pt x="13767" y="3073"/>
                                <a:pt x="13767" y="6883"/>
                              </a:cubicBezTo>
                              <a:cubicBezTo>
                                <a:pt x="13767" y="10681"/>
                                <a:pt x="10681" y="13767"/>
                                <a:pt x="6883" y="13767"/>
                              </a:cubicBezTo>
                              <a:cubicBezTo>
                                <a:pt x="3086" y="13767"/>
                                <a:pt x="0" y="10681"/>
                                <a:pt x="0" y="6883"/>
                              </a:cubicBezTo>
                              <a:cubicBezTo>
                                <a:pt x="0" y="3073"/>
                                <a:pt x="3086" y="0"/>
                                <a:pt x="68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43" name="Shape 14843"/>
                      <wps:cNvSpPr/>
                      <wps:spPr>
                        <a:xfrm>
                          <a:off x="28169" y="28173"/>
                          <a:ext cx="13767" cy="137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767" h="13767">
                              <a:moveTo>
                                <a:pt x="6883" y="13767"/>
                              </a:moveTo>
                              <a:cubicBezTo>
                                <a:pt x="10681" y="13767"/>
                                <a:pt x="13767" y="10681"/>
                                <a:pt x="13767" y="6883"/>
                              </a:cubicBezTo>
                              <a:cubicBezTo>
                                <a:pt x="13767" y="3073"/>
                                <a:pt x="10681" y="0"/>
                                <a:pt x="6883" y="0"/>
                              </a:cubicBezTo>
                              <a:cubicBezTo>
                                <a:pt x="3086" y="0"/>
                                <a:pt x="0" y="3073"/>
                                <a:pt x="0" y="6883"/>
                              </a:cubicBezTo>
                              <a:cubicBezTo>
                                <a:pt x="0" y="10681"/>
                                <a:pt x="3086" y="13767"/>
                                <a:pt x="6883" y="13767"/>
                              </a:cubicBezTo>
                              <a:close/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840" style="width:5.52pt;height:5.52002pt;position:absolute;mso-position-horizontal-relative:page;mso-position-horizontal:absolute;margin-left:34.3283pt;mso-position-vertical-relative:page;margin-top:686.069pt;" coordsize="701,701">
              <v:shape id="Shape 14841" style="position:absolute;width:701;height:701;left:0;top:0;" coordsize="70104,70104" path="m35052,70104c54407,70104,70104,54407,70104,35052c70104,15697,54407,0,35052,0c15697,0,0,15697,0,35052c0,54407,15697,70104,35052,70104x">
                <v:stroke weight="0.5pt" endcap="flat" joinstyle="miter" miterlimit="4" on="true" color="#000000"/>
                <v:fill on="false" color="#000000" opacity="0"/>
              </v:shape>
              <v:shape id="Shape 14842" style="position:absolute;width:137;height:137;left:281;top:281;" coordsize="13767,13767" path="m6883,0c10681,0,13767,3073,13767,6883c13767,10681,10681,13767,6883,13767c3086,13767,0,10681,0,6883c0,3073,3086,0,6883,0x">
                <v:stroke weight="0pt" endcap="flat" joinstyle="miter" miterlimit="4" on="false" color="#000000" opacity="0"/>
                <v:fill on="true" color="#000000"/>
              </v:shape>
              <v:shape id="Shape 14843" style="position:absolute;width:137;height:137;left:281;top:281;" coordsize="13767,13767" path="m6883,13767c10681,13767,13767,10681,13767,6883c13767,3073,10681,0,6883,0c3086,0,0,3073,0,6883c0,10681,3086,13767,6883,13767x">
                <v:stroke weight="1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rFonts w:ascii="Calibri" w:eastAsia="Calibri" w:hAnsi="Calibri" w:cs="Calibri"/>
        <w:sz w:val="14"/>
      </w:rPr>
      <w:t xml:space="preserve"> Любое распространение материалов журнала, в т.ч. архивных номеров, возможно только с письменного согласия редакции.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32EC9">
      <w:pPr>
        <w:spacing w:after="0" w:line="240" w:lineRule="auto"/>
      </w:pPr>
      <w:r>
        <w:separator/>
      </w:r>
    </w:p>
  </w:footnote>
  <w:footnote w:type="continuationSeparator" w:id="0">
    <w:p w:rsidR="00000000" w:rsidRDefault="00B32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917" w:tblpY="743"/>
      <w:tblOverlap w:val="never"/>
      <w:tblW w:w="7974" w:type="dxa"/>
      <w:tblInd w:w="0" w:type="dxa"/>
      <w:tblCellMar>
        <w:top w:w="0" w:type="dxa"/>
        <w:left w:w="144" w:type="dxa"/>
        <w:bottom w:w="0" w:type="dxa"/>
        <w:right w:w="0" w:type="dxa"/>
      </w:tblCellMar>
      <w:tblLook w:val="04A0" w:firstRow="1" w:lastRow="0" w:firstColumn="1" w:lastColumn="0" w:noHBand="0" w:noVBand="1"/>
    </w:tblPr>
    <w:tblGrid>
      <w:gridCol w:w="608"/>
      <w:gridCol w:w="6454"/>
      <w:gridCol w:w="187"/>
      <w:gridCol w:w="725"/>
    </w:tblGrid>
    <w:tr w:rsidR="00147F40">
      <w:trPr>
        <w:trHeight w:val="189"/>
      </w:trPr>
      <w:tc>
        <w:tcPr>
          <w:tcW w:w="608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</w:tcPr>
        <w:p w:rsidR="00147F40" w:rsidRDefault="00B32EC9">
          <w:pPr>
            <w:spacing w:after="0" w:line="259" w:lineRule="auto"/>
            <w:ind w:right="74"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rFonts w:ascii="Century Gothic" w:eastAsia="Century Gothic" w:hAnsi="Century Gothic" w:cs="Century Gothic"/>
              <w:sz w:val="20"/>
            </w:rPr>
            <w:t>36</w:t>
          </w:r>
          <w:r>
            <w:rPr>
              <w:rFonts w:ascii="Century Gothic" w:eastAsia="Century Gothic" w:hAnsi="Century Gothic" w:cs="Century Gothic"/>
              <w:sz w:val="20"/>
            </w:rPr>
            <w:fldChar w:fldCharType="end"/>
          </w:r>
        </w:p>
      </w:tc>
      <w:tc>
        <w:tcPr>
          <w:tcW w:w="6454" w:type="dxa"/>
          <w:tcBorders>
            <w:top w:val="nil"/>
            <w:left w:val="single" w:sz="4" w:space="0" w:color="000000"/>
            <w:bottom w:val="single" w:sz="4" w:space="0" w:color="000000"/>
            <w:right w:val="single" w:sz="45" w:space="0" w:color="B8B8B8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  <w:tc>
        <w:tcPr>
          <w:tcW w:w="912" w:type="dxa"/>
          <w:gridSpan w:val="2"/>
          <w:tcBorders>
            <w:top w:val="nil"/>
            <w:left w:val="single" w:sz="45" w:space="0" w:color="B8B8B8"/>
            <w:bottom w:val="single" w:sz="4" w:space="0" w:color="000000"/>
            <w:right w:val="nil"/>
          </w:tcBorders>
        </w:tcPr>
        <w:p w:rsidR="00147F40" w:rsidRDefault="00B32EC9">
          <w:pPr>
            <w:spacing w:after="0" w:line="259" w:lineRule="auto"/>
            <w:ind w:right="-10" w:firstLine="0"/>
            <w:jc w:val="left"/>
          </w:pPr>
          <w:r>
            <w:rPr>
              <w:rFonts w:ascii="Century Gothic" w:eastAsia="Century Gothic" w:hAnsi="Century Gothic" w:cs="Century Gothic"/>
              <w:sz w:val="16"/>
            </w:rPr>
            <w:t>№ 1  2019</w:t>
          </w:r>
        </w:p>
      </w:tc>
    </w:tr>
    <w:tr w:rsidR="00147F40">
      <w:trPr>
        <w:trHeight w:val="208"/>
      </w:trPr>
      <w:tc>
        <w:tcPr>
          <w:tcW w:w="608" w:type="dxa"/>
          <w:tcBorders>
            <w:top w:val="single" w:sz="4" w:space="0" w:color="000000"/>
            <w:left w:val="nil"/>
            <w:bottom w:val="nil"/>
            <w:right w:val="single" w:sz="4" w:space="0" w:color="000000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  <w:tc>
        <w:tcPr>
          <w:tcW w:w="6454" w:type="dxa"/>
          <w:tcBorders>
            <w:top w:val="single" w:sz="4" w:space="0" w:color="000000"/>
            <w:left w:val="single" w:sz="4" w:space="0" w:color="000000"/>
            <w:bottom w:val="nil"/>
            <w:right w:val="single" w:sz="4" w:space="0" w:color="000000"/>
          </w:tcBorders>
        </w:tcPr>
        <w:p w:rsidR="00147F40" w:rsidRDefault="00B32EC9">
          <w:pPr>
            <w:spacing w:after="0" w:line="259" w:lineRule="auto"/>
            <w:ind w:right="-15" w:firstLine="0"/>
            <w:jc w:val="right"/>
          </w:pPr>
          <w:r>
            <w:rPr>
              <w:rFonts w:ascii="Century Gothic" w:eastAsia="Century Gothic" w:hAnsi="Century Gothic" w:cs="Century Gothic"/>
              <w:sz w:val="12"/>
            </w:rPr>
            <w:t>ДефектОлОгИя</w:t>
          </w:r>
        </w:p>
      </w:tc>
      <w:tc>
        <w:tcPr>
          <w:tcW w:w="187" w:type="dxa"/>
          <w:tcBorders>
            <w:top w:val="single" w:sz="4" w:space="0" w:color="000000"/>
            <w:left w:val="single" w:sz="4" w:space="0" w:color="000000"/>
            <w:bottom w:val="nil"/>
            <w:right w:val="nil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  <w:tc>
        <w:tcPr>
          <w:tcW w:w="725" w:type="dxa"/>
          <w:tcBorders>
            <w:top w:val="single" w:sz="4" w:space="0" w:color="000000"/>
            <w:left w:val="nil"/>
            <w:bottom w:val="nil"/>
            <w:right w:val="nil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</w:tr>
  </w:tbl>
  <w:p w:rsidR="00147F40" w:rsidRDefault="00147F40">
    <w:pPr>
      <w:spacing w:after="0" w:line="259" w:lineRule="auto"/>
      <w:ind w:left="-624" w:right="8222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vertAnchor="page" w:horzAnchor="page" w:tblpX="634" w:tblpY="743"/>
      <w:tblOverlap w:val="never"/>
      <w:tblW w:w="7974" w:type="dxa"/>
      <w:tblInd w:w="0" w:type="dxa"/>
      <w:tblCellMar>
        <w:top w:w="0" w:type="dxa"/>
        <w:left w:w="70" w:type="dxa"/>
        <w:bottom w:w="0" w:type="dxa"/>
        <w:right w:w="115" w:type="dxa"/>
      </w:tblCellMar>
      <w:tblLook w:val="04A0" w:firstRow="1" w:lastRow="0" w:firstColumn="1" w:lastColumn="0" w:noHBand="0" w:noVBand="1"/>
    </w:tblPr>
    <w:tblGrid>
      <w:gridCol w:w="621"/>
      <w:gridCol w:w="181"/>
      <w:gridCol w:w="6580"/>
      <w:gridCol w:w="591"/>
    </w:tblGrid>
    <w:tr w:rsidR="00147F40">
      <w:trPr>
        <w:trHeight w:val="189"/>
      </w:trPr>
      <w:tc>
        <w:tcPr>
          <w:tcW w:w="621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  <w:tc>
        <w:tcPr>
          <w:tcW w:w="181" w:type="dxa"/>
          <w:tcBorders>
            <w:top w:val="nil"/>
            <w:left w:val="single" w:sz="4" w:space="0" w:color="000000"/>
            <w:bottom w:val="single" w:sz="4" w:space="0" w:color="000000"/>
            <w:right w:val="nil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  <w:tc>
        <w:tcPr>
          <w:tcW w:w="6580" w:type="dxa"/>
          <w:tcBorders>
            <w:top w:val="nil"/>
            <w:left w:val="nil"/>
            <w:bottom w:val="single" w:sz="4" w:space="0" w:color="000000"/>
            <w:right w:val="single" w:sz="4" w:space="0" w:color="000000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  <w:tc>
        <w:tcPr>
          <w:tcW w:w="591" w:type="dxa"/>
          <w:tcBorders>
            <w:top w:val="nil"/>
            <w:left w:val="single" w:sz="4" w:space="0" w:color="000000"/>
            <w:bottom w:val="single" w:sz="4" w:space="0" w:color="000000"/>
            <w:right w:val="nil"/>
          </w:tcBorders>
        </w:tcPr>
        <w:p w:rsidR="00147F40" w:rsidRDefault="00B32EC9">
          <w:pPr>
            <w:spacing w:after="0" w:line="259" w:lineRule="auto"/>
            <w:ind w:right="0" w:firstLine="0"/>
            <w:jc w:val="lef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rFonts w:ascii="Century Gothic" w:eastAsia="Century Gothic" w:hAnsi="Century Gothic" w:cs="Century Gothic"/>
              <w:sz w:val="20"/>
            </w:rPr>
            <w:t>37</w:t>
          </w:r>
          <w:r>
            <w:rPr>
              <w:rFonts w:ascii="Century Gothic" w:eastAsia="Century Gothic" w:hAnsi="Century Gothic" w:cs="Century Gothic"/>
              <w:sz w:val="20"/>
            </w:rPr>
            <w:fldChar w:fldCharType="end"/>
          </w:r>
        </w:p>
      </w:tc>
    </w:tr>
    <w:tr w:rsidR="00147F40">
      <w:trPr>
        <w:trHeight w:val="208"/>
      </w:trPr>
      <w:tc>
        <w:tcPr>
          <w:tcW w:w="621" w:type="dxa"/>
          <w:tcBorders>
            <w:top w:val="single" w:sz="4" w:space="0" w:color="000000"/>
            <w:left w:val="nil"/>
            <w:bottom w:val="nil"/>
            <w:right w:val="single" w:sz="45" w:space="0" w:color="B8B8B8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  <w:tc>
        <w:tcPr>
          <w:tcW w:w="6761" w:type="dxa"/>
          <w:gridSpan w:val="2"/>
          <w:tcBorders>
            <w:top w:val="single" w:sz="4" w:space="0" w:color="000000"/>
            <w:left w:val="single" w:sz="45" w:space="0" w:color="B8B8B8"/>
            <w:bottom w:val="nil"/>
            <w:right w:val="single" w:sz="4" w:space="0" w:color="000000"/>
          </w:tcBorders>
        </w:tcPr>
        <w:p w:rsidR="00147F40" w:rsidRDefault="00B32EC9">
          <w:pPr>
            <w:spacing w:after="0" w:line="259" w:lineRule="auto"/>
            <w:ind w:left="66" w:right="0" w:firstLine="0"/>
            <w:jc w:val="left"/>
          </w:pPr>
          <w:r>
            <w:rPr>
              <w:rFonts w:ascii="Century Gothic" w:eastAsia="Century Gothic" w:hAnsi="Century Gothic" w:cs="Century Gothic"/>
              <w:sz w:val="12"/>
            </w:rPr>
            <w:t>СПеЦИАлЬНАя ПСИХОлОгИя: ИССлеДОВАНИя И ПРАктИкА</w:t>
          </w:r>
        </w:p>
      </w:tc>
      <w:tc>
        <w:tcPr>
          <w:tcW w:w="591" w:type="dxa"/>
          <w:tcBorders>
            <w:top w:val="single" w:sz="4" w:space="0" w:color="000000"/>
            <w:left w:val="single" w:sz="4" w:space="0" w:color="000000"/>
            <w:bottom w:val="nil"/>
            <w:right w:val="nil"/>
          </w:tcBorders>
        </w:tcPr>
        <w:p w:rsidR="00147F40" w:rsidRDefault="00147F40">
          <w:pPr>
            <w:spacing w:after="160" w:line="259" w:lineRule="auto"/>
            <w:ind w:right="0" w:firstLine="0"/>
            <w:jc w:val="left"/>
          </w:pPr>
        </w:p>
      </w:tc>
    </w:tr>
  </w:tbl>
  <w:p w:rsidR="00147F40" w:rsidRDefault="00147F40">
    <w:pPr>
      <w:spacing w:after="0" w:line="259" w:lineRule="auto"/>
      <w:ind w:left="-624" w:right="8222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F40" w:rsidRDefault="00147F40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C34"/>
    <w:multiLevelType w:val="hybridMultilevel"/>
    <w:tmpl w:val="79B476A2"/>
    <w:lvl w:ilvl="0" w:tplc="816A5A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6E4070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104668C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22CACE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F682208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B1A6408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AFC7810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40A0E9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3321406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376A56"/>
    <w:multiLevelType w:val="hybridMultilevel"/>
    <w:tmpl w:val="6038D522"/>
    <w:lvl w:ilvl="0" w:tplc="2586EA0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CEF3B0">
      <w:start w:val="1"/>
      <w:numFmt w:val="bullet"/>
      <w:lvlText w:val="o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704B1A">
      <w:start w:val="1"/>
      <w:numFmt w:val="bullet"/>
      <w:lvlText w:val="▪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1AAA0E">
      <w:start w:val="1"/>
      <w:numFmt w:val="bullet"/>
      <w:lvlText w:val="•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166938">
      <w:start w:val="1"/>
      <w:numFmt w:val="bullet"/>
      <w:lvlText w:val="o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A243FE">
      <w:start w:val="1"/>
      <w:numFmt w:val="bullet"/>
      <w:lvlText w:val="▪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12CDB2">
      <w:start w:val="1"/>
      <w:numFmt w:val="bullet"/>
      <w:lvlText w:val="•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CEBF50">
      <w:start w:val="1"/>
      <w:numFmt w:val="bullet"/>
      <w:lvlText w:val="o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A2ED1A">
      <w:start w:val="1"/>
      <w:numFmt w:val="bullet"/>
      <w:lvlText w:val="▪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017022"/>
    <w:multiLevelType w:val="hybridMultilevel"/>
    <w:tmpl w:val="3AAE728E"/>
    <w:lvl w:ilvl="0" w:tplc="3496E4E6">
      <w:start w:val="1"/>
      <w:numFmt w:val="bullet"/>
      <w:lvlText w:val="–"/>
      <w:lvlJc w:val="left"/>
      <w:pPr>
        <w:ind w:left="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9C8A74">
      <w:start w:val="1"/>
      <w:numFmt w:val="bullet"/>
      <w:lvlText w:val="o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3A031C4">
      <w:start w:val="1"/>
      <w:numFmt w:val="bullet"/>
      <w:lvlText w:val="▪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79A6608">
      <w:start w:val="1"/>
      <w:numFmt w:val="bullet"/>
      <w:lvlText w:val="•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6564A58">
      <w:start w:val="1"/>
      <w:numFmt w:val="bullet"/>
      <w:lvlText w:val="o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F7C2FC0">
      <w:start w:val="1"/>
      <w:numFmt w:val="bullet"/>
      <w:lvlText w:val="▪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72AAE06">
      <w:start w:val="1"/>
      <w:numFmt w:val="bullet"/>
      <w:lvlText w:val="•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DB0D002">
      <w:start w:val="1"/>
      <w:numFmt w:val="bullet"/>
      <w:lvlText w:val="o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BDAAB28">
      <w:start w:val="1"/>
      <w:numFmt w:val="bullet"/>
      <w:lvlText w:val="▪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C555C6"/>
    <w:multiLevelType w:val="hybridMultilevel"/>
    <w:tmpl w:val="9022F93E"/>
    <w:lvl w:ilvl="0" w:tplc="7B7CC1E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4B46F2C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53898FA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882F610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9540FEA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AF21A14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668B12C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BB2D776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A482AE2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A81CD1"/>
    <w:multiLevelType w:val="hybridMultilevel"/>
    <w:tmpl w:val="7FA67562"/>
    <w:lvl w:ilvl="0" w:tplc="CF6E34E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2ACE098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09C9246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8527B12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F724B46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70631B2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D1847EE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C78793C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8064A68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E02F3A"/>
    <w:multiLevelType w:val="hybridMultilevel"/>
    <w:tmpl w:val="2564BE72"/>
    <w:lvl w:ilvl="0" w:tplc="8FF403E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402E58">
      <w:start w:val="1"/>
      <w:numFmt w:val="bullet"/>
      <w:lvlText w:val="o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D0C2C0">
      <w:start w:val="1"/>
      <w:numFmt w:val="bullet"/>
      <w:lvlText w:val="▪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F8A2E6">
      <w:start w:val="1"/>
      <w:numFmt w:val="bullet"/>
      <w:lvlText w:val="•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02E5EA">
      <w:start w:val="1"/>
      <w:numFmt w:val="bullet"/>
      <w:lvlText w:val="o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74B682">
      <w:start w:val="1"/>
      <w:numFmt w:val="bullet"/>
      <w:lvlText w:val="▪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883500">
      <w:start w:val="1"/>
      <w:numFmt w:val="bullet"/>
      <w:lvlText w:val="•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64D8E">
      <w:start w:val="1"/>
      <w:numFmt w:val="bullet"/>
      <w:lvlText w:val="o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06726A">
      <w:start w:val="1"/>
      <w:numFmt w:val="bullet"/>
      <w:lvlText w:val="▪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3F5A7C"/>
    <w:multiLevelType w:val="hybridMultilevel"/>
    <w:tmpl w:val="2DA6A102"/>
    <w:lvl w:ilvl="0" w:tplc="60A88D3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A405ECE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40841E0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8E2DDA2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B8CE936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342C0C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BEE0D9C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CBA8818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B103C2C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F5B097B"/>
    <w:multiLevelType w:val="hybridMultilevel"/>
    <w:tmpl w:val="B78888C8"/>
    <w:lvl w:ilvl="0" w:tplc="C9240A8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B7E44AC">
      <w:start w:val="1"/>
      <w:numFmt w:val="bullet"/>
      <w:lvlText w:val="o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2A6FB02">
      <w:start w:val="1"/>
      <w:numFmt w:val="bullet"/>
      <w:lvlText w:val="▪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24C067C">
      <w:start w:val="1"/>
      <w:numFmt w:val="bullet"/>
      <w:lvlText w:val="•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092C230">
      <w:start w:val="1"/>
      <w:numFmt w:val="bullet"/>
      <w:lvlText w:val="o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73A060E">
      <w:start w:val="1"/>
      <w:numFmt w:val="bullet"/>
      <w:lvlText w:val="▪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A5E6C38">
      <w:start w:val="1"/>
      <w:numFmt w:val="bullet"/>
      <w:lvlText w:val="•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8E3BD2">
      <w:start w:val="1"/>
      <w:numFmt w:val="bullet"/>
      <w:lvlText w:val="o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702B9A">
      <w:start w:val="1"/>
      <w:numFmt w:val="bullet"/>
      <w:lvlText w:val="▪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4623C9"/>
    <w:multiLevelType w:val="hybridMultilevel"/>
    <w:tmpl w:val="3C76E576"/>
    <w:lvl w:ilvl="0" w:tplc="9864AA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6CD7E0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6E33F2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848188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641FF4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30310A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D26FD2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67623CE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E22538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2A14188"/>
    <w:multiLevelType w:val="hybridMultilevel"/>
    <w:tmpl w:val="6CD0E866"/>
    <w:lvl w:ilvl="0" w:tplc="49FA826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6FAE702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9AA9E9E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C068F0A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BA8AE8C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AAA99AC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0C47BEE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C2A0034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1B63EC0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EF7002A"/>
    <w:multiLevelType w:val="hybridMultilevel"/>
    <w:tmpl w:val="0644B06E"/>
    <w:lvl w:ilvl="0" w:tplc="1E7E0780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765636">
      <w:start w:val="1"/>
      <w:numFmt w:val="lowerLetter"/>
      <w:lvlText w:val="%2"/>
      <w:lvlJc w:val="left"/>
      <w:pPr>
        <w:ind w:left="14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2226D2">
      <w:start w:val="1"/>
      <w:numFmt w:val="lowerRoman"/>
      <w:lvlText w:val="%3"/>
      <w:lvlJc w:val="left"/>
      <w:pPr>
        <w:ind w:left="2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FCC332">
      <w:start w:val="1"/>
      <w:numFmt w:val="decimal"/>
      <w:lvlText w:val="%4"/>
      <w:lvlJc w:val="left"/>
      <w:pPr>
        <w:ind w:left="2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228F54">
      <w:start w:val="1"/>
      <w:numFmt w:val="lowerLetter"/>
      <w:lvlText w:val="%5"/>
      <w:lvlJc w:val="left"/>
      <w:pPr>
        <w:ind w:left="35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622462">
      <w:start w:val="1"/>
      <w:numFmt w:val="lowerRoman"/>
      <w:lvlText w:val="%6"/>
      <w:lvlJc w:val="left"/>
      <w:pPr>
        <w:ind w:left="43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14B0EE">
      <w:start w:val="1"/>
      <w:numFmt w:val="decimal"/>
      <w:lvlText w:val="%7"/>
      <w:lvlJc w:val="left"/>
      <w:pPr>
        <w:ind w:left="50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C6ECE8">
      <w:start w:val="1"/>
      <w:numFmt w:val="lowerLetter"/>
      <w:lvlText w:val="%8"/>
      <w:lvlJc w:val="left"/>
      <w:pPr>
        <w:ind w:left="57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D0D7A6">
      <w:start w:val="1"/>
      <w:numFmt w:val="lowerRoman"/>
      <w:lvlText w:val="%9"/>
      <w:lvlJc w:val="left"/>
      <w:pPr>
        <w:ind w:left="64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E22E03"/>
    <w:multiLevelType w:val="hybridMultilevel"/>
    <w:tmpl w:val="BD88914A"/>
    <w:lvl w:ilvl="0" w:tplc="6FDAA13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352AA50">
      <w:start w:val="1"/>
      <w:numFmt w:val="bullet"/>
      <w:lvlText w:val="o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74069C">
      <w:start w:val="1"/>
      <w:numFmt w:val="bullet"/>
      <w:lvlText w:val="▪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BAA100">
      <w:start w:val="1"/>
      <w:numFmt w:val="bullet"/>
      <w:lvlText w:val="•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56389C">
      <w:start w:val="1"/>
      <w:numFmt w:val="bullet"/>
      <w:lvlText w:val="o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D62A20">
      <w:start w:val="1"/>
      <w:numFmt w:val="bullet"/>
      <w:lvlText w:val="▪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00190E">
      <w:start w:val="1"/>
      <w:numFmt w:val="bullet"/>
      <w:lvlText w:val="•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768354">
      <w:start w:val="1"/>
      <w:numFmt w:val="bullet"/>
      <w:lvlText w:val="o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B2D108">
      <w:start w:val="1"/>
      <w:numFmt w:val="bullet"/>
      <w:lvlText w:val="▪"/>
      <w:lvlJc w:val="left"/>
      <w:pPr>
        <w:ind w:left="6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82632D"/>
    <w:multiLevelType w:val="hybridMultilevel"/>
    <w:tmpl w:val="E56A9D6E"/>
    <w:lvl w:ilvl="0" w:tplc="02D2923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9F879EC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108A928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85E1EFE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F14FD20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924E0AE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D184284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50C2BB2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57CFFC6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F88034E"/>
    <w:multiLevelType w:val="hybridMultilevel"/>
    <w:tmpl w:val="DD0C9C82"/>
    <w:lvl w:ilvl="0" w:tplc="B36A65E2">
      <w:start w:val="1"/>
      <w:numFmt w:val="bullet"/>
      <w:lvlText w:val="–"/>
      <w:lvlJc w:val="left"/>
      <w:pPr>
        <w:ind w:left="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E98D196">
      <w:start w:val="1"/>
      <w:numFmt w:val="bullet"/>
      <w:lvlText w:val="o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746D6FA">
      <w:start w:val="1"/>
      <w:numFmt w:val="bullet"/>
      <w:lvlText w:val="▪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C78CFFA">
      <w:start w:val="1"/>
      <w:numFmt w:val="bullet"/>
      <w:lvlText w:val="•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F100606">
      <w:start w:val="1"/>
      <w:numFmt w:val="bullet"/>
      <w:lvlText w:val="o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32077C">
      <w:start w:val="1"/>
      <w:numFmt w:val="bullet"/>
      <w:lvlText w:val="▪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EFC98DA">
      <w:start w:val="1"/>
      <w:numFmt w:val="bullet"/>
      <w:lvlText w:val="•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F58F78C">
      <w:start w:val="1"/>
      <w:numFmt w:val="bullet"/>
      <w:lvlText w:val="o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FF621B6">
      <w:start w:val="1"/>
      <w:numFmt w:val="bullet"/>
      <w:lvlText w:val="▪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9A00BE"/>
    <w:multiLevelType w:val="hybridMultilevel"/>
    <w:tmpl w:val="40DEF82A"/>
    <w:lvl w:ilvl="0" w:tplc="F40AB54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33E28CE">
      <w:start w:val="1"/>
      <w:numFmt w:val="bullet"/>
      <w:lvlText w:val="o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756F354">
      <w:start w:val="1"/>
      <w:numFmt w:val="bullet"/>
      <w:lvlText w:val="▪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A408164">
      <w:start w:val="1"/>
      <w:numFmt w:val="bullet"/>
      <w:lvlText w:val="•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984D2E8">
      <w:start w:val="1"/>
      <w:numFmt w:val="bullet"/>
      <w:lvlText w:val="o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AE9BE6">
      <w:start w:val="1"/>
      <w:numFmt w:val="bullet"/>
      <w:lvlText w:val="▪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DAEB8F4">
      <w:start w:val="1"/>
      <w:numFmt w:val="bullet"/>
      <w:lvlText w:val="•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08C133A">
      <w:start w:val="1"/>
      <w:numFmt w:val="bullet"/>
      <w:lvlText w:val="o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7A0D424">
      <w:start w:val="1"/>
      <w:numFmt w:val="bullet"/>
      <w:lvlText w:val="▪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F8A1392"/>
    <w:multiLevelType w:val="hybridMultilevel"/>
    <w:tmpl w:val="06CAF246"/>
    <w:lvl w:ilvl="0" w:tplc="1026094E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4AE990A">
      <w:start w:val="1"/>
      <w:numFmt w:val="lowerLetter"/>
      <w:lvlText w:val="%2"/>
      <w:lvlJc w:val="left"/>
      <w:pPr>
        <w:ind w:left="1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7F43888">
      <w:start w:val="1"/>
      <w:numFmt w:val="lowerRoman"/>
      <w:lvlText w:val="%3"/>
      <w:lvlJc w:val="left"/>
      <w:pPr>
        <w:ind w:left="1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17E071D4">
      <w:start w:val="1"/>
      <w:numFmt w:val="decimal"/>
      <w:lvlText w:val="%4"/>
      <w:lvlJc w:val="left"/>
      <w:pPr>
        <w:ind w:left="2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521972">
      <w:start w:val="1"/>
      <w:numFmt w:val="lowerLetter"/>
      <w:lvlText w:val="%5"/>
      <w:lvlJc w:val="left"/>
      <w:pPr>
        <w:ind w:left="3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3AEB44">
      <w:start w:val="1"/>
      <w:numFmt w:val="lowerRoman"/>
      <w:lvlText w:val="%6"/>
      <w:lvlJc w:val="left"/>
      <w:pPr>
        <w:ind w:left="4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9300DA0">
      <w:start w:val="1"/>
      <w:numFmt w:val="decimal"/>
      <w:lvlText w:val="%7"/>
      <w:lvlJc w:val="left"/>
      <w:pPr>
        <w:ind w:left="4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0A4599A">
      <w:start w:val="1"/>
      <w:numFmt w:val="lowerLetter"/>
      <w:lvlText w:val="%8"/>
      <w:lvlJc w:val="left"/>
      <w:pPr>
        <w:ind w:left="5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AD45D70">
      <w:start w:val="1"/>
      <w:numFmt w:val="lowerRoman"/>
      <w:lvlText w:val="%9"/>
      <w:lvlJc w:val="left"/>
      <w:pPr>
        <w:ind w:left="6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1"/>
  </w:num>
  <w:num w:numId="5">
    <w:abstractNumId w:val="10"/>
  </w:num>
  <w:num w:numId="6">
    <w:abstractNumId w:val="9"/>
  </w:num>
  <w:num w:numId="7">
    <w:abstractNumId w:val="6"/>
  </w:num>
  <w:num w:numId="8">
    <w:abstractNumId w:val="12"/>
  </w:num>
  <w:num w:numId="9">
    <w:abstractNumId w:val="15"/>
  </w:num>
  <w:num w:numId="10">
    <w:abstractNumId w:val="0"/>
  </w:num>
  <w:num w:numId="11">
    <w:abstractNumId w:val="3"/>
  </w:num>
  <w:num w:numId="12">
    <w:abstractNumId w:val="4"/>
  </w:num>
  <w:num w:numId="13">
    <w:abstractNumId w:val="14"/>
  </w:num>
  <w:num w:numId="14">
    <w:abstractNumId w:val="13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40"/>
    <w:rsid w:val="00147F40"/>
    <w:rsid w:val="00B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79D87A65-2E54-436A-B3BB-7670AED1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6" w:lineRule="auto"/>
      <w:ind w:right="51" w:firstLine="33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3605</Words>
  <Characters>20549</Characters>
  <Application>Microsoft Office Word</Application>
  <DocSecurity>4</DocSecurity>
  <Lines>171</Lines>
  <Paragraphs>48</Paragraphs>
  <ScaleCrop>false</ScaleCrop>
  <Company/>
  <LinksUpToDate>false</LinksUpToDate>
  <CharactersWithSpaces>24106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2024-04-27T08:35:00Z</dcterms:created>
  <dcterms:modified xsi:type="dcterms:W3CDTF">2024-04-27T08:35:00Z</dcterms:modified>
</cp:coreProperties>
</file>